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二、</w:t>
      </w:r>
      <w:r>
        <w:rPr>
          <w:rStyle w:val="4"/>
          <w:rFonts w:hint="default"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shd w:val="clear" w:color="auto" w:fill="FFFFFF"/>
        </w:rPr>
        <w:t>银行转账、微信转账、现金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金额：</w:t>
      </w:r>
      <w:r>
        <w:rPr>
          <w:rFonts w:hint="eastAsia" w:ascii="Times New Roman" w:hAnsi="Times New Roman" w:eastAsia="宋体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106300.00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）</w:t>
      </w:r>
    </w:p>
    <w:tbl>
      <w:tblPr>
        <w:tblStyle w:val="2"/>
        <w:tblpPr w:leftFromText="180" w:rightFromText="180" w:vertAnchor="text" w:horzAnchor="page" w:tblpX="837" w:tblpY="438"/>
        <w:tblOverlap w:val="never"/>
        <w:tblW w:w="10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25"/>
        <w:gridCol w:w="1415"/>
        <w:gridCol w:w="1105"/>
        <w:gridCol w:w="525"/>
        <w:gridCol w:w="570"/>
        <w:gridCol w:w="600"/>
        <w:gridCol w:w="735"/>
        <w:gridCol w:w="1680"/>
        <w:gridCol w:w="1185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捐款人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捐款金额（元）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捐款时间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捐款方式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定向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定向地点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定向金额（元）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银行转账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微信转财务人员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盈江万安生态陵园有限公司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定向捐赠支那乡庐山村委会用于开展疫情防控工作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德宏九祥房地产开发经营有限公司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定向捐赠苏典乡人民政府疫情防控经费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盈江县盈海硅业有限公司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37,300.00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定向捐赠卡场镇人民政府疫情防控经费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37,300.00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盈江县高河流域电力开发有限公司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定向捐赠苏典乡人民政府疫情防控经费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盈江县勐典河三级电站开发有限公司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定向捐赠卡场镇人民政府疫情防控经费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106,300.00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106,300.00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841D1"/>
    <w:rsid w:val="38B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2022-04-06T02:50:00Z</dcterms:created>
  <dc:creator>Administrator</dc:creator>
  <cp:lastModifiedBy>Administrator</cp:lastModifiedBy>
  <dcterms:modified xsi:type="dcterms:W3CDTF">2022-04-06T02:53:04Z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