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43.8pt;height:46.8pt;mso-position-horizontal-relative:char;mso-position-vertical-relative:line" coordorigin="0,0" coordsize="8876,936">
            <v:shape style="position:absolute;left:0;top:0;width:2934;height:936" type="#_x0000_t75" stroked="false">
              <v:imagedata r:id="rId7" o:title=""/>
            </v:shape>
            <v:shape style="position:absolute;left:3000;top:0;width:4371;height:936" type="#_x0000_t75" stroked="false">
              <v:imagedata r:id="rId8" o:title=""/>
            </v:shape>
            <v:shape style="position:absolute;left:7411;top:0;width:706;height:936" coordorigin="7412,0" coordsize="706,936" path="m7750,209l7733,209,7728,204,7721,199,7714,190,7709,180,7707,170,7702,158,7700,144,7697,127,7697,108,7692,89,7690,72,7683,58,7678,43,7671,29,7661,17,7652,7,7649,7,7648,7,7648,6,7649,2,7654,0,7671,2,7685,7,7697,12,7712,14,7721,22,7733,26,7743,34,7752,38,7762,46,7769,55,7776,62,7784,72,7793,91,7796,101,7800,110,7800,139,7796,163,7791,173,7776,192,7767,199,7760,204,7750,209xm8115,238l7964,238,7976,214,8004,170,8020,150,8021,148,8023,148,8026,149,8028,149,8100,221,8115,238xm7445,262l7436,262,7416,235,7424,235,7431,238,8115,238,8117,245,8117,250,8117,253,8116,254,8114,256,8112,257,7481,257,7469,259,7457,259,7445,262xm7416,936l7413,936,7412,935,7412,934,7414,931,7416,929,7440,922,7464,912,7508,893,7551,869,7608,826,7661,773,7676,754,7692,734,7721,691,7709,667,7697,646,7673,598,7664,571,7654,547,7647,521,7637,494,7630,466,7625,439,7616,382,7606,319,7604,290,7604,257,7620,257,7623,286,7628,312,7635,338,7640,365,7647,389,7654,415,7661,439,7668,461,7678,485,7688,506,7697,526,7709,547,7745,605,7760,622,7847,622,7844,629,7836,648,7827,665,7817,684,7832,696,7848,708,7863,720,7880,732,7913,751,7923,756,7764,756,7748,775,7714,809,7695,826,7676,840,7654,852,7635,866,7613,878,7592,888,7544,907,7496,922,7469,926,7445,931,7416,936xm7847,622l7760,622,7767,602,7774,581,7781,562,7796,518,7805,475,7810,451,7815,430,7820,406,7822,382,7827,358,7829,334,7832,307,7834,283,7834,257,7901,257,7923,271,7944,288,7947,290,7947,300,7944,302,7935,314,7925,324,7920,334,7918,360,7913,386,7908,410,7906,437,7899,461,7894,482,7889,506,7868,571,7853,610,7847,622xm8028,936l8026,936,8007,931,7973,917,7954,910,7904,881,7887,869,7872,859,7856,845,7839,833,7810,804,7793,790,7764,756,7923,756,7932,761,7949,768,7968,773,7988,780,8007,785,8028,790,8048,792,8091,797,8112,797,8115,802,8115,804,8116,807,8115,809,8100,814,8096,818,8088,823,8084,828,8076,833,8062,854,8057,864,8052,871,8050,883,8045,893,8038,929,8033,931,8028,936xe" filled="true" fillcolor="#ff0000" stroked="false">
              <v:path arrowok="t"/>
              <v:fill type="solid"/>
            </v:shape>
            <v:shape style="position:absolute;left:8149;top:0;width:727;height:936" coordorigin="8149,0" coordsize="727,936" path="m8652,310l8576,310,8575,62,8572,8,8572,6,8572,4,8573,2,8576,0,8580,0,8588,2,8607,7,8636,17,8674,29,8674,43,8669,50,8667,58,8660,60,8652,65,8652,310xm8156,540l8152,539,8150,537,8149,535,8151,533,8160,509,8196,430,8216,372,8244,278,8264,211,8271,175,8280,139,8295,62,8304,24,8304,19,8308,16,8310,15,8312,14,8319,17,8328,24,8412,74,8415,80,8415,82,8415,89,8410,96,8403,96,8396,101,8386,108,8376,120,8364,154,8355,185,8343,218,8328,250,8348,266,8355,274,8355,290,8350,298,8340,307,8336,310,8336,374,8266,374,8254,394,8230,437,8216,456,8172,521,8156,540xm8399,526l8396,526,8396,521,8393,516,8403,475,8412,432,8420,386,8427,336,8432,286,8441,175,8445,115,8446,113,8448,110,8451,110,8453,108,8499,132,8544,158,8544,175,8540,180,8532,182,8523,192,8518,202,8506,259,8494,310,8841,310,8844,314,8844,322,8845,324,8845,326,8844,328,8843,329,8489,329,8477,360,8458,418,8446,442,8436,466,8424,487,8412,506,8403,526,8399,526xm8841,310l8703,310,8703,307,8720,278,8732,254,8744,238,8752,227,8752,225,8753,226,8760,226,8794,254,8828,288,8835,298,8840,307,8841,310xm8652,564l8576,564,8576,329,8652,329,8652,564xm8841,330l8840,329,8843,329,8842,329,8841,330xm8297,936l8283,936,8264,926,8261,924,8261,919,8259,907,8259,874,8264,833,8266,775,8266,374,8336,374,8336,840,8338,881,8338,902,8328,914,8321,924,8312,929,8307,934,8302,934,8297,936xm8873,564l8732,564,8739,552,8751,528,8760,511,8768,499,8782,480,8789,480,8792,481,8793,483,8794,485,8799,490,8830,516,8861,547,8868,557,8873,564xm8408,588l8384,588,8367,562,8374,562,8379,564,8873,564,8876,569,8876,576,8873,581,8871,583,8432,583,8408,588xm8612,936l8600,936,8590,931,8583,929,8578,926,8571,919,8571,914,8568,900,8568,854,8573,830,8573,809,8576,787,8576,583,8652,583,8652,840,8655,874,8657,898,8648,912,8633,926,8626,929,8612,936xe" filled="true" fillcolor="#ff0000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BodyText"/>
        <w:spacing w:line="477" w:lineRule="exact" w:before="24"/>
        <w:ind w:left="229" w:right="409"/>
        <w:jc w:val="center"/>
      </w:pPr>
      <w:r>
        <w:rPr/>
        <w:t>盈政办发〔</w:t>
      </w:r>
      <w:r>
        <w:rPr>
          <w:rFonts w:ascii="Times New Roman" w:eastAsia="Times New Roman"/>
        </w:rPr>
        <w:t>2023</w:t>
      </w:r>
      <w:r>
        <w:rPr/>
        <w:t>〕</w:t>
      </w:r>
      <w:r>
        <w:rPr>
          <w:rFonts w:ascii="Times New Roman" w:eastAsia="Times New Roman"/>
        </w:rPr>
        <w:t>22 </w:t>
      </w:r>
      <w:r>
        <w:rPr/>
        <w:t>号</w:t>
      </w:r>
    </w:p>
    <w:p>
      <w:pPr>
        <w:spacing w:line="372" w:lineRule="exact" w:before="0"/>
        <w:ind w:left="254" w:right="409" w:firstLine="0"/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color w:val="FF0000"/>
          <w:w w:val="95"/>
          <w:sz w:val="32"/>
        </w:rPr>
        <w:t>━━━━━━━━━━━━━━━━━━━━━━━━━━━━</w:t>
      </w:r>
    </w:p>
    <w:p>
      <w:pPr>
        <w:pStyle w:val="BodyText"/>
        <w:spacing w:before="7"/>
        <w:rPr>
          <w:rFonts w:ascii="宋体"/>
          <w:b/>
          <w:sz w:val="26"/>
        </w:rPr>
      </w:pPr>
    </w:p>
    <w:p>
      <w:pPr>
        <w:pStyle w:val="Heading1"/>
        <w:spacing w:line="165" w:lineRule="auto" w:before="1"/>
        <w:ind w:left="1673" w:right="1853"/>
      </w:pPr>
      <w:r>
        <w:rPr/>
        <w:t>盈江县人民政府办公室关于 </w:t>
      </w:r>
      <w:r>
        <w:rPr>
          <w:spacing w:val="-2"/>
        </w:rPr>
        <w:t>印发盈江县实施税收协同治理</w:t>
      </w:r>
    </w:p>
    <w:p>
      <w:pPr>
        <w:spacing w:line="622" w:lineRule="exact" w:before="0"/>
        <w:ind w:left="229" w:right="409" w:firstLine="0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落实税费精准服务工作方案的通知</w:t>
      </w:r>
    </w:p>
    <w:p>
      <w:pPr>
        <w:pStyle w:val="BodyText"/>
        <w:spacing w:line="252" w:lineRule="auto" w:before="465"/>
        <w:ind w:left="111" w:right="291"/>
      </w:pPr>
      <w:r>
        <w:rPr>
          <w:spacing w:val="-9"/>
          <w:w w:val="95"/>
        </w:rPr>
        <w:t>各乡镇人民政府、盈江农场社区管理委员会，县直有关单位，中 </w:t>
      </w:r>
      <w:r>
        <w:rPr>
          <w:spacing w:val="-9"/>
        </w:rPr>
        <w:t>央、省、州属驻盈江有关单位：</w:t>
      </w:r>
    </w:p>
    <w:p>
      <w:pPr>
        <w:pStyle w:val="BodyText"/>
        <w:spacing w:line="252" w:lineRule="auto"/>
        <w:ind w:left="111" w:right="291" w:firstLine="640"/>
      </w:pPr>
      <w:r>
        <w:rPr>
          <w:spacing w:val="-11"/>
          <w:w w:val="95"/>
        </w:rPr>
        <w:t>经县人民政府同意，现将《盈江县实施税收协同治理落实税 </w:t>
      </w:r>
      <w:r>
        <w:rPr>
          <w:spacing w:val="-11"/>
        </w:rPr>
        <w:t>费精准服务工作方案》印发给你们，请认真贯彻落实。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22"/>
        <w:ind w:left="751"/>
      </w:pPr>
      <w:r>
        <w:rPr/>
        <w:pict>
          <v:group style="position:absolute;margin-left:343.679993pt;margin-top:-105.75pt;width:159.950pt;height:127.6pt;mso-position-horizontal-relative:page;mso-position-vertical-relative:paragraph;z-index:251660288" coordorigin="6874,-2115" coordsize="3199,2552">
            <v:shape style="position:absolute;left:7231;top:-2115;width:2552;height:2552" type="#_x0000_t75" stroked="false">
              <v:imagedata r:id="rId9" o:title=""/>
            </v:shape>
            <v:shape style="position:absolute;left:6873;top:-2115;width:3199;height:255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9"/>
                      </w:rPr>
                    </w:pPr>
                  </w:p>
                  <w:p>
                    <w:pPr>
                      <w:spacing w:before="1"/>
                      <w:ind w:left="-1" w:right="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pacing w:val="-2"/>
                        <w:sz w:val="32"/>
                      </w:rPr>
                      <w:t>盈江县人民政府办公室</w:t>
                    </w:r>
                  </w:p>
                  <w:p>
                    <w:pPr>
                      <w:spacing w:before="25"/>
                      <w:ind w:left="0" w:right="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rFonts w:ascii="Times New Roman" w:eastAsia="Times New Roman"/>
                        <w:sz w:val="32"/>
                      </w:rPr>
                      <w:t>2023 </w:t>
                    </w:r>
                    <w:r>
                      <w:rPr>
                        <w:sz w:val="32"/>
                      </w:rPr>
                      <w:t>年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>4 </w:t>
                    </w:r>
                    <w:r>
                      <w:rPr>
                        <w:sz w:val="32"/>
                      </w:rPr>
                      <w:t>月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>18 </w:t>
                    </w:r>
                    <w:r>
                      <w:rPr>
                        <w:sz w:val="32"/>
                      </w:rPr>
                      <w:t>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（此件公开发布）</w:t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840"/>
          <w:pgMar w:footer="1127" w:top="1580" w:bottom="1320" w:left="1420" w:right="1240"/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Heading1"/>
        <w:spacing w:line="172" w:lineRule="auto" w:before="119"/>
        <w:ind w:left="3653" w:right="531" w:hanging="3300"/>
        <w:jc w:val="left"/>
      </w:pPr>
      <w:r>
        <w:rPr/>
        <w:t>盈江县实施税收协同治理落实税费精准服务工作方案</w:t>
      </w:r>
    </w:p>
    <w:p>
      <w:pPr>
        <w:pStyle w:val="BodyText"/>
        <w:spacing w:before="9"/>
        <w:rPr>
          <w:rFonts w:ascii="方正小标宋_GBK"/>
        </w:rPr>
      </w:pPr>
    </w:p>
    <w:p>
      <w:pPr>
        <w:pStyle w:val="BodyText"/>
        <w:spacing w:line="261" w:lineRule="auto" w:before="1"/>
        <w:ind w:left="111" w:right="130" w:firstLine="640"/>
      </w:pPr>
      <w:r>
        <w:rPr>
          <w:spacing w:val="-7"/>
        </w:rPr>
        <w:t>为全面深入贯彻落实党的二十大精神，扎实推进《关于进一</w:t>
      </w:r>
      <w:r>
        <w:rPr>
          <w:spacing w:val="-14"/>
        </w:rPr>
        <w:t>步深化税收征管改革的意见》《云南省税收征管保障办法》落地</w:t>
      </w:r>
      <w:r>
        <w:rPr>
          <w:spacing w:val="-13"/>
        </w:rPr>
        <w:t>落细，进一步拓宽税源监控领域，强化税费征收管理，加强涉税</w:t>
      </w:r>
      <w:r>
        <w:rPr>
          <w:spacing w:val="-21"/>
          <w:w w:val="95"/>
        </w:rPr>
        <w:t>费信息交换和综合利用，建立健康、规范、和谐的税费征收秩序，  </w:t>
      </w:r>
      <w:r>
        <w:rPr>
          <w:spacing w:val="-20"/>
        </w:rPr>
        <w:t>促进我县财政收入的稳定增长，根据《盈江县税收征管保障实施意见》有关内容，结合工作实际，特制定本工作方案。</w:t>
      </w:r>
    </w:p>
    <w:p>
      <w:pPr>
        <w:pStyle w:val="BodyText"/>
        <w:spacing w:line="497" w:lineRule="exact"/>
        <w:ind w:left="75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一、工作背景</w:t>
      </w:r>
    </w:p>
    <w:p>
      <w:pPr>
        <w:pStyle w:val="BodyText"/>
        <w:spacing w:line="261" w:lineRule="auto" w:before="56"/>
        <w:ind w:left="111" w:right="289" w:firstLine="640"/>
        <w:jc w:val="both"/>
      </w:pPr>
      <w:r>
        <w:rPr>
          <w:spacing w:val="-9"/>
        </w:rPr>
        <w:t>随着盈江县经济社会快速发展，涉税信息在税收工作中显得</w:t>
      </w:r>
      <w:r>
        <w:rPr>
          <w:spacing w:val="-13"/>
          <w:w w:val="95"/>
        </w:rPr>
        <w:t>日益重要，税收征管面临很多新情况和新问题。由于目前全县涉 </w:t>
      </w:r>
      <w:r>
        <w:rPr>
          <w:spacing w:val="-18"/>
        </w:rPr>
        <w:t>税信息传递工作仍存在未传递、传递不及时、信息质量不高等问</w:t>
      </w:r>
      <w:r>
        <w:rPr>
          <w:spacing w:val="-12"/>
        </w:rPr>
        <w:t>题，导致对部分税源缺乏有效的源头控管，影响了我县税收征管</w:t>
      </w:r>
      <w:r>
        <w:rPr>
          <w:spacing w:val="-15"/>
        </w:rPr>
        <w:t>质效的同时，在一定程度上形成了税收流失，影响了全县的财政增收，亟待建立</w:t>
      </w:r>
      <w:r>
        <w:rPr>
          <w:rFonts w:ascii="Times New Roman" w:hAnsi="Times New Roman" w:eastAsia="Times New Roman"/>
          <w:spacing w:val="-15"/>
        </w:rPr>
        <w:t>“</w:t>
      </w:r>
      <w:r>
        <w:rPr>
          <w:spacing w:val="-15"/>
        </w:rPr>
        <w:t>政府领导、税务主管、部门配合、社会参与、制度保障、信息支撑、齐管共治</w:t>
      </w:r>
      <w:r>
        <w:rPr>
          <w:rFonts w:ascii="Times New Roman" w:hAnsi="Times New Roman" w:eastAsia="Times New Roman"/>
          <w:spacing w:val="-15"/>
        </w:rPr>
        <w:t>”</w:t>
      </w:r>
      <w:r>
        <w:rPr>
          <w:spacing w:val="-15"/>
        </w:rPr>
        <w:t>的税收协同治理工作格局。</w:t>
      </w:r>
    </w:p>
    <w:p>
      <w:pPr>
        <w:pStyle w:val="BodyText"/>
        <w:spacing w:line="495" w:lineRule="exact"/>
        <w:ind w:left="75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二、总体要求和工作目标</w:t>
      </w:r>
    </w:p>
    <w:p>
      <w:pPr>
        <w:pStyle w:val="BodyText"/>
        <w:spacing w:before="67"/>
        <w:ind w:left="75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（一）总体要求</w:t>
      </w:r>
    </w:p>
    <w:p>
      <w:pPr>
        <w:pStyle w:val="BodyText"/>
        <w:spacing w:line="261" w:lineRule="auto" w:before="59"/>
        <w:ind w:left="111" w:right="173" w:firstLine="640"/>
        <w:jc w:val="both"/>
      </w:pPr>
      <w:r>
        <w:rPr>
          <w:spacing w:val="-6"/>
        </w:rPr>
        <w:t>以习近平新时代中国特色社会主义思想为指导，以税收法律</w:t>
      </w:r>
      <w:r>
        <w:rPr>
          <w:spacing w:val="-13"/>
        </w:rPr>
        <w:t>法规为依据，以强化税源信息控管为核心，以促进财政收入稳步增长为目标，以数据共享共用为主线，以现代信息技术为支撑，</w:t>
      </w:r>
    </w:p>
    <w:p>
      <w:pPr>
        <w:spacing w:after="0" w:line="261" w:lineRule="auto"/>
        <w:jc w:val="both"/>
        <w:sectPr>
          <w:pgSz w:w="11910" w:h="16840"/>
          <w:pgMar w:header="0" w:footer="1127" w:top="1580" w:bottom="1320" w:left="14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61" w:lineRule="auto" w:before="21"/>
        <w:ind w:left="111" w:right="173"/>
        <w:jc w:val="both"/>
      </w:pPr>
      <w:r>
        <w:rPr/>
        <w:t>创新征管方式和手段，夯实税收管理基础，提升纳税服务水平， </w:t>
      </w:r>
      <w:r>
        <w:rPr>
          <w:spacing w:val="-10"/>
        </w:rPr>
        <w:t>坚持部门联动、整体推进，建立健全税收协同治理工作体系；综</w:t>
      </w:r>
      <w:r>
        <w:rPr>
          <w:spacing w:val="-13"/>
        </w:rPr>
        <w:t>合运用法律、经济和必要的行政等手段，强化诚信纳税意识，加</w:t>
      </w:r>
      <w:r>
        <w:rPr>
          <w:spacing w:val="-2"/>
        </w:rPr>
        <w:t>大税收征管力度，形成</w:t>
      </w:r>
      <w:r>
        <w:rPr>
          <w:rFonts w:ascii="Times New Roman" w:hAnsi="Times New Roman" w:eastAsia="Times New Roman"/>
          <w:spacing w:val="4"/>
        </w:rPr>
        <w:t>“</w:t>
      </w:r>
      <w:r>
        <w:rPr/>
        <w:t>政府依法管税、税务部门依法征税、纳税人依法纳税、社会各界协税护税</w:t>
      </w:r>
      <w:r>
        <w:rPr>
          <w:rFonts w:ascii="Times New Roman" w:hAnsi="Times New Roman" w:eastAsia="Times New Roman"/>
        </w:rPr>
        <w:t>”</w:t>
      </w:r>
      <w:r>
        <w:rPr/>
        <w:t>的税收协同治理新格局，促进全县经济社会快速、协调、健康、可持续发展。</w:t>
      </w:r>
    </w:p>
    <w:p>
      <w:pPr>
        <w:pStyle w:val="BodyText"/>
        <w:spacing w:before="5"/>
        <w:ind w:left="75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（二）工作目标</w:t>
      </w:r>
    </w:p>
    <w:p>
      <w:pPr>
        <w:pStyle w:val="BodyText"/>
        <w:spacing w:line="261" w:lineRule="auto" w:before="59"/>
        <w:ind w:left="111" w:right="130" w:firstLine="640"/>
      </w:pPr>
      <w:r>
        <w:rPr/>
        <w:t>通过加强税收协同治理工作，建立</w:t>
      </w:r>
      <w:r>
        <w:rPr>
          <w:rFonts w:ascii="Times New Roman" w:hAnsi="Times New Roman" w:eastAsia="Times New Roman"/>
        </w:rPr>
        <w:t>“</w:t>
      </w:r>
      <w:r>
        <w:rPr/>
        <w:t>政府领导、税务主管、部门配合、社会参与、制度保障、信息支撑、齐管共治</w:t>
      </w:r>
      <w:r>
        <w:rPr>
          <w:rFonts w:ascii="Times New Roman" w:hAnsi="Times New Roman" w:eastAsia="Times New Roman"/>
        </w:rPr>
        <w:t>”</w:t>
      </w:r>
      <w:r>
        <w:rPr>
          <w:spacing w:val="1"/>
        </w:rPr>
        <w:t>的工作</w:t>
      </w:r>
      <w:r>
        <w:rPr>
          <w:spacing w:val="-19"/>
          <w:w w:val="95"/>
        </w:rPr>
        <w:t>机制，进一步规范税收征管秩序，优化纳税服务，加强税源控管，  </w:t>
      </w:r>
      <w:r>
        <w:rPr>
          <w:spacing w:val="-17"/>
        </w:rPr>
        <w:t>堵塞征管漏洞，最大限度地减少税费流失，实现税源控管和征收</w:t>
      </w:r>
      <w:r>
        <w:rPr>
          <w:spacing w:val="-15"/>
        </w:rPr>
        <w:t>管理并举、社会各界共同治税的目标，切实提高税收征管质量和</w:t>
      </w:r>
      <w:r>
        <w:rPr>
          <w:spacing w:val="-14"/>
        </w:rPr>
        <w:t>征管水平，营造法治、公平、有序的税收环境，为我县经济社会发展和长治久安提供有力的财政保障。</w:t>
      </w:r>
    </w:p>
    <w:p>
      <w:pPr>
        <w:pStyle w:val="BodyText"/>
        <w:spacing w:line="495" w:lineRule="exact"/>
        <w:ind w:left="75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三、加强组织领导</w:t>
      </w:r>
    </w:p>
    <w:p>
      <w:pPr>
        <w:pStyle w:val="BodyText"/>
        <w:spacing w:line="261" w:lineRule="auto" w:before="54"/>
        <w:ind w:left="111" w:right="290" w:firstLine="640"/>
        <w:jc w:val="both"/>
      </w:pPr>
      <w:r>
        <w:rPr>
          <w:spacing w:val="-7"/>
        </w:rPr>
        <w:t>为加强对全县税收协同治理工作的组织领导，确保工作取得</w:t>
      </w:r>
      <w:r>
        <w:rPr>
          <w:spacing w:val="-18"/>
        </w:rPr>
        <w:t>实效，决定成立盈江县税收协同治理工作领导小组</w:t>
      </w:r>
      <w:r>
        <w:rPr/>
        <w:t>（以下简称</w:t>
      </w:r>
      <w:r>
        <w:rPr>
          <w:rFonts w:ascii="Times New Roman" w:hAnsi="Times New Roman" w:eastAsia="Times New Roman"/>
        </w:rPr>
        <w:t>“</w:t>
      </w:r>
      <w:r>
        <w:rPr/>
        <w:t>领导小组</w:t>
      </w:r>
      <w:r>
        <w:rPr>
          <w:rFonts w:ascii="Times New Roman" w:hAnsi="Times New Roman" w:eastAsia="Times New Roman"/>
        </w:rPr>
        <w:t>”</w:t>
      </w:r>
      <w:r>
        <w:rPr/>
        <w:t>），组成人员如下：</w:t>
      </w:r>
    </w:p>
    <w:p>
      <w:pPr>
        <w:pStyle w:val="BodyText"/>
        <w:spacing w:line="511" w:lineRule="exact"/>
        <w:ind w:left="751"/>
        <w:jc w:val="both"/>
      </w:pPr>
      <w:r>
        <w:rPr/>
        <w:t>组      长：查金鹏  县委副书记、县人民政府县长</w:t>
      </w:r>
    </w:p>
    <w:p>
      <w:pPr>
        <w:pStyle w:val="BodyText"/>
        <w:spacing w:line="261" w:lineRule="auto" w:before="47"/>
        <w:ind w:left="751" w:right="495"/>
        <w:jc w:val="both"/>
      </w:pPr>
      <w:r>
        <w:rPr/>
        <w:t>常务副组长：彭晓波 县委常委、县人民政府常务副县长副 组 长：叶 骋 县委常委、县人民政府副县长</w:t>
      </w:r>
    </w:p>
    <w:p>
      <w:pPr>
        <w:pStyle w:val="BodyText"/>
        <w:spacing w:line="511" w:lineRule="exact"/>
        <w:ind w:left="2672"/>
        <w:jc w:val="both"/>
      </w:pPr>
      <w:r>
        <w:rPr/>
        <w:t>杨永辉 县人民政府副县长</w:t>
      </w:r>
    </w:p>
    <w:p>
      <w:pPr>
        <w:spacing w:after="0" w:line="511" w:lineRule="exact"/>
        <w:jc w:val="both"/>
        <w:sectPr>
          <w:pgSz w:w="11910" w:h="16840"/>
          <w:pgMar w:header="0" w:footer="1127" w:top="1580" w:bottom="1320" w:left="14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3891" w:val="left" w:leader="none"/>
          <w:tab w:pos="3951" w:val="left" w:leader="none"/>
        </w:tabs>
        <w:spacing w:line="261" w:lineRule="auto" w:before="21"/>
        <w:ind w:left="2672" w:right="493"/>
      </w:pPr>
      <w:r>
        <w:rPr/>
        <w:t>杨新万</w:t>
        <w:tab/>
        <w:tab/>
        <w:t>县人民政府副县长、县公安局局</w:t>
      </w:r>
      <w:r>
        <w:rPr>
          <w:spacing w:val="-14"/>
        </w:rPr>
        <w:t>长</w:t>
      </w:r>
      <w:r>
        <w:rPr/>
        <w:t>朗其生</w:t>
        <w:tab/>
        <w:t>县人民政府副县长</w:t>
      </w:r>
    </w:p>
    <w:p>
      <w:pPr>
        <w:pStyle w:val="BodyText"/>
        <w:tabs>
          <w:tab w:pos="3891" w:val="left" w:leader="none"/>
        </w:tabs>
        <w:spacing w:line="513" w:lineRule="exact"/>
        <w:ind w:left="2672"/>
      </w:pPr>
      <w:r>
        <w:rPr/>
        <w:t>番玉琴</w:t>
        <w:tab/>
      </w:r>
      <w:r>
        <w:rPr>
          <w:w w:val="95"/>
        </w:rPr>
        <w:t>县人民政府副县长</w:t>
      </w:r>
    </w:p>
    <w:p>
      <w:pPr>
        <w:pStyle w:val="BodyText"/>
        <w:tabs>
          <w:tab w:pos="3310" w:val="left" w:leader="none"/>
          <w:tab w:pos="3951" w:val="left" w:leader="none"/>
        </w:tabs>
        <w:spacing w:line="261" w:lineRule="auto" w:before="45"/>
        <w:ind w:left="2672" w:right="493"/>
      </w:pPr>
      <w:r>
        <w:rPr/>
        <w:t>刘</w:t>
        <w:tab/>
        <w:t>辉</w:t>
        <w:tab/>
      </w:r>
      <w:r>
        <w:rPr>
          <w:spacing w:val="-40"/>
          <w:w w:val="90"/>
        </w:rPr>
        <w:t>县政协副</w:t>
      </w:r>
      <w:r>
        <w:rPr>
          <w:spacing w:val="-38"/>
          <w:w w:val="90"/>
        </w:rPr>
        <w:t>主</w:t>
      </w:r>
      <w:r>
        <w:rPr>
          <w:spacing w:val="-40"/>
          <w:w w:val="90"/>
        </w:rPr>
        <w:t>席、县工业和</w:t>
      </w:r>
      <w:r>
        <w:rPr>
          <w:spacing w:val="-38"/>
          <w:w w:val="90"/>
        </w:rPr>
        <w:t>商</w:t>
      </w:r>
      <w:r>
        <w:rPr>
          <w:spacing w:val="-40"/>
          <w:w w:val="90"/>
        </w:rPr>
        <w:t>务科技局局</w:t>
      </w:r>
      <w:r>
        <w:rPr>
          <w:w w:val="90"/>
        </w:rPr>
        <w:t>长</w:t>
      </w:r>
      <w:r>
        <w:rPr/>
        <w:t>邵维常</w:t>
        <w:tab/>
        <w:t>县人民政府党组成员、办公室主</w:t>
      </w:r>
      <w:r>
        <w:rPr>
          <w:spacing w:val="-14"/>
        </w:rPr>
        <w:t>任</w:t>
      </w:r>
    </w:p>
    <w:p>
      <w:pPr>
        <w:pStyle w:val="BodyText"/>
        <w:spacing w:line="261" w:lineRule="auto"/>
        <w:ind w:left="2672" w:right="495" w:hanging="1920"/>
        <w:jc w:val="both"/>
      </w:pPr>
      <w:r>
        <w:rPr>
          <w:spacing w:val="-1"/>
        </w:rPr>
        <w:t>成     员：曩贤永  县政府办公室副主任、督查室主任</w:t>
      </w:r>
      <w:r>
        <w:rPr>
          <w:spacing w:val="-38"/>
          <w:w w:val="85"/>
        </w:rPr>
        <w:t>许三勇 县委宣传部副部长、县新闻出版</w:t>
      </w:r>
      <w:r>
        <w:rPr>
          <w:spacing w:val="-43"/>
          <w:w w:val="85"/>
        </w:rPr>
        <w:t>（</w:t>
      </w:r>
      <w:r>
        <w:rPr>
          <w:spacing w:val="-44"/>
          <w:w w:val="85"/>
        </w:rPr>
        <w:t>版权</w:t>
      </w:r>
      <w:r>
        <w:rPr>
          <w:spacing w:val="-43"/>
          <w:w w:val="85"/>
        </w:rPr>
        <w:t>）</w:t>
      </w:r>
      <w:r>
        <w:rPr>
          <w:spacing w:val="-30"/>
          <w:w w:val="85"/>
        </w:rPr>
        <w:t>局局长</w:t>
      </w:r>
      <w:r>
        <w:rPr>
          <w:spacing w:val="-8"/>
        </w:rPr>
        <w:t>禹华强 县税务局局长</w:t>
      </w:r>
    </w:p>
    <w:p>
      <w:pPr>
        <w:pStyle w:val="BodyText"/>
        <w:tabs>
          <w:tab w:pos="3951" w:val="left" w:leader="none"/>
        </w:tabs>
        <w:spacing w:line="511" w:lineRule="exact"/>
        <w:ind w:left="2672"/>
      </w:pPr>
      <w:r>
        <w:rPr/>
        <w:t>陈立兴</w:t>
        <w:tab/>
      </w:r>
      <w:r>
        <w:rPr>
          <w:w w:val="95"/>
        </w:rPr>
        <w:t>县财政局局长</w:t>
      </w:r>
    </w:p>
    <w:p>
      <w:pPr>
        <w:pStyle w:val="BodyText"/>
        <w:tabs>
          <w:tab w:pos="3310" w:val="left" w:leader="none"/>
          <w:tab w:pos="3951" w:val="left" w:leader="none"/>
        </w:tabs>
        <w:spacing w:line="261" w:lineRule="auto" w:before="42"/>
        <w:ind w:left="2672" w:right="2415"/>
      </w:pPr>
      <w:r>
        <w:rPr/>
        <w:t>赵</w:t>
        <w:tab/>
        <w:t>磊</w:t>
        <w:tab/>
        <w:t>县发展和改革局局</w:t>
      </w:r>
      <w:r>
        <w:rPr>
          <w:spacing w:val="-16"/>
        </w:rPr>
        <w:t>长</w:t>
      </w:r>
      <w:r>
        <w:rPr/>
        <w:t>俞路红</w:t>
        <w:tab/>
        <w:t>县教育体育局局长 尹宇泽</w:t>
        <w:tab/>
        <w:t>县公安局党委副政</w:t>
      </w:r>
      <w:r>
        <w:rPr>
          <w:spacing w:val="-16"/>
        </w:rPr>
        <w:t>委</w:t>
      </w:r>
      <w:r>
        <w:rPr/>
        <w:t>杨增新</w:t>
        <w:tab/>
        <w:t>县民政局局长</w:t>
      </w:r>
    </w:p>
    <w:p>
      <w:pPr>
        <w:pStyle w:val="BodyText"/>
        <w:tabs>
          <w:tab w:pos="3951" w:val="left" w:leader="none"/>
        </w:tabs>
        <w:spacing w:line="511" w:lineRule="exact"/>
        <w:ind w:left="2672"/>
      </w:pPr>
      <w:r>
        <w:rPr/>
        <w:t>金华忠</w:t>
        <w:tab/>
      </w:r>
      <w:r>
        <w:rPr>
          <w:w w:val="95"/>
        </w:rPr>
        <w:t>县司法局局长</w:t>
      </w:r>
    </w:p>
    <w:p>
      <w:pPr>
        <w:pStyle w:val="BodyText"/>
        <w:tabs>
          <w:tab w:pos="3951" w:val="left" w:leader="none"/>
        </w:tabs>
        <w:spacing w:line="261" w:lineRule="auto" w:before="44"/>
        <w:ind w:left="2672" w:right="495"/>
      </w:pPr>
      <w:r>
        <w:rPr/>
        <w:t>武必锦</w:t>
        <w:tab/>
        <w:t>县委组织部副部长、县人社局局</w:t>
      </w:r>
      <w:r>
        <w:rPr>
          <w:spacing w:val="-14"/>
        </w:rPr>
        <w:t>长</w:t>
      </w:r>
      <w:r>
        <w:rPr/>
        <w:t>李文强</w:t>
        <w:tab/>
        <w:t>县自然资源局局长</w:t>
      </w:r>
    </w:p>
    <w:p>
      <w:pPr>
        <w:pStyle w:val="BodyText"/>
        <w:tabs>
          <w:tab w:pos="3951" w:val="left" w:leader="none"/>
        </w:tabs>
        <w:spacing w:line="513" w:lineRule="exact"/>
        <w:ind w:left="2672"/>
      </w:pPr>
      <w:r>
        <w:rPr/>
        <w:t>龚实宝</w:t>
        <w:tab/>
        <w:t>州生态环境局盈江分局局长</w:t>
      </w:r>
    </w:p>
    <w:p>
      <w:pPr>
        <w:pStyle w:val="BodyText"/>
        <w:tabs>
          <w:tab w:pos="3951" w:val="left" w:leader="none"/>
        </w:tabs>
        <w:spacing w:line="261" w:lineRule="auto" w:before="44"/>
        <w:ind w:left="2672" w:right="113"/>
      </w:pPr>
      <w:r>
        <w:rPr/>
        <w:t>方达超</w:t>
        <w:tab/>
      </w:r>
      <w:r>
        <w:rPr>
          <w:spacing w:val="-34"/>
          <w:w w:val="95"/>
        </w:rPr>
        <w:t>县住房</w:t>
      </w:r>
      <w:r>
        <w:rPr>
          <w:spacing w:val="-31"/>
          <w:w w:val="95"/>
        </w:rPr>
        <w:t>和</w:t>
      </w:r>
      <w:r>
        <w:rPr>
          <w:spacing w:val="-34"/>
          <w:w w:val="95"/>
        </w:rPr>
        <w:t>城乡建设局副局长</w:t>
      </w:r>
      <w:r>
        <w:rPr>
          <w:spacing w:val="-31"/>
          <w:w w:val="95"/>
        </w:rPr>
        <w:t>（</w:t>
      </w:r>
      <w:r>
        <w:rPr>
          <w:spacing w:val="-34"/>
          <w:w w:val="95"/>
        </w:rPr>
        <w:t>主持工作</w:t>
      </w:r>
      <w:r>
        <w:rPr>
          <w:w w:val="95"/>
        </w:rPr>
        <w:t>） </w:t>
      </w:r>
      <w:r>
        <w:rPr/>
        <w:t>尹兴志</w:t>
        <w:tab/>
        <w:t>县交通运输局局长</w:t>
      </w:r>
    </w:p>
    <w:p>
      <w:pPr>
        <w:pStyle w:val="BodyText"/>
        <w:tabs>
          <w:tab w:pos="3310" w:val="left" w:leader="none"/>
          <w:tab w:pos="3951" w:val="left" w:leader="none"/>
        </w:tabs>
        <w:spacing w:line="261" w:lineRule="auto"/>
        <w:ind w:left="2672" w:right="2734"/>
      </w:pPr>
      <w:r>
        <w:rPr/>
        <w:t>陈以兴</w:t>
        <w:tab/>
        <w:t>县农业农村局局</w:t>
      </w:r>
      <w:r>
        <w:rPr>
          <w:spacing w:val="-16"/>
        </w:rPr>
        <w:t>长</w:t>
      </w:r>
      <w:r>
        <w:rPr/>
        <w:t>徐</w:t>
        <w:tab/>
        <w:t>健</w:t>
        <w:tab/>
        <w:t>县水利局局长</w:t>
      </w:r>
    </w:p>
    <w:p>
      <w:pPr>
        <w:pStyle w:val="BodyText"/>
        <w:tabs>
          <w:tab w:pos="3310" w:val="left" w:leader="none"/>
          <w:tab w:pos="3951" w:val="left" w:leader="none"/>
        </w:tabs>
        <w:spacing w:line="511" w:lineRule="exact"/>
        <w:ind w:left="2672"/>
      </w:pPr>
      <w:r>
        <w:rPr/>
        <w:t>思</w:t>
        <w:tab/>
        <w:t>延</w:t>
        <w:tab/>
        <w:t>县文化和旅游局局长</w:t>
      </w:r>
    </w:p>
    <w:p>
      <w:pPr>
        <w:spacing w:after="0" w:line="511" w:lineRule="exact"/>
        <w:sectPr>
          <w:pgSz w:w="11910" w:h="16840"/>
          <w:pgMar w:header="0" w:footer="1127" w:top="1580" w:bottom="1320" w:left="14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3310" w:val="left" w:leader="none"/>
          <w:tab w:pos="3951" w:val="left" w:leader="none"/>
        </w:tabs>
        <w:spacing w:before="21"/>
        <w:ind w:left="2672"/>
      </w:pPr>
      <w:r>
        <w:rPr/>
        <w:t>周</w:t>
        <w:tab/>
        <w:t>云</w:t>
        <w:tab/>
      </w:r>
      <w:r>
        <w:rPr>
          <w:w w:val="95"/>
        </w:rPr>
        <w:t>县卫生健康局局长</w:t>
      </w:r>
    </w:p>
    <w:p>
      <w:pPr>
        <w:pStyle w:val="BodyText"/>
        <w:tabs>
          <w:tab w:pos="3951" w:val="left" w:leader="none"/>
        </w:tabs>
        <w:spacing w:line="261" w:lineRule="auto" w:before="47"/>
        <w:ind w:left="2672" w:right="2093"/>
      </w:pPr>
      <w:r>
        <w:rPr/>
        <w:t>王世浩</w:t>
        <w:tab/>
        <w:t>县退役军人事务局局</w:t>
      </w:r>
      <w:r>
        <w:rPr>
          <w:spacing w:val="-15"/>
        </w:rPr>
        <w:t>长</w:t>
      </w:r>
      <w:r>
        <w:rPr/>
        <w:t>武显斌</w:t>
        <w:tab/>
        <w:t>县应急管理局局长</w:t>
      </w:r>
    </w:p>
    <w:p>
      <w:pPr>
        <w:pStyle w:val="BodyText"/>
        <w:tabs>
          <w:tab w:pos="3310" w:val="left" w:leader="none"/>
          <w:tab w:pos="3951" w:val="left" w:leader="none"/>
        </w:tabs>
        <w:spacing w:line="261" w:lineRule="auto"/>
        <w:ind w:left="2672" w:right="3375"/>
      </w:pPr>
      <w:r>
        <w:rPr/>
        <w:t>袁</w:t>
        <w:tab/>
        <w:t>鹏</w:t>
        <w:tab/>
        <w:t>县审计局局</w:t>
      </w:r>
      <w:r>
        <w:rPr>
          <w:spacing w:val="-16"/>
        </w:rPr>
        <w:t>长</w:t>
      </w:r>
      <w:r>
        <w:rPr/>
        <w:t>黄建刚</w:t>
        <w:tab/>
      </w:r>
      <w:r>
        <w:rPr>
          <w:w w:val="95"/>
        </w:rPr>
        <w:t>县外事办主</w:t>
      </w:r>
      <w:r>
        <w:rPr>
          <w:spacing w:val="-16"/>
          <w:w w:val="95"/>
        </w:rPr>
        <w:t>任</w:t>
      </w:r>
    </w:p>
    <w:p>
      <w:pPr>
        <w:pStyle w:val="BodyText"/>
        <w:tabs>
          <w:tab w:pos="3310" w:val="left" w:leader="none"/>
          <w:tab w:pos="3951" w:val="left" w:leader="none"/>
        </w:tabs>
        <w:spacing w:line="261" w:lineRule="auto"/>
        <w:ind w:left="2672" w:right="2093"/>
      </w:pPr>
      <w:r>
        <w:rPr/>
        <w:t>杨</w:t>
        <w:tab/>
        <w:t>勇</w:t>
        <w:tab/>
        <w:t>县市场监督管理局局</w:t>
      </w:r>
      <w:r>
        <w:rPr>
          <w:spacing w:val="-15"/>
        </w:rPr>
        <w:t>长</w:t>
      </w:r>
      <w:r>
        <w:rPr/>
        <w:t>李庚忠</w:t>
        <w:tab/>
        <w:t>县林业和草原局局长 杨茂盈</w:t>
        <w:tab/>
        <w:t>县统计局局长</w:t>
      </w:r>
    </w:p>
    <w:p>
      <w:pPr>
        <w:pStyle w:val="BodyText"/>
        <w:tabs>
          <w:tab w:pos="3310" w:val="left" w:leader="none"/>
          <w:tab w:pos="3951" w:val="left" w:leader="none"/>
        </w:tabs>
        <w:spacing w:line="261" w:lineRule="auto"/>
        <w:ind w:left="2672" w:right="2734"/>
      </w:pPr>
      <w:r>
        <w:rPr/>
        <w:t>江</w:t>
        <w:tab/>
        <w:t>涛</w:t>
        <w:tab/>
        <w:t>县医疗保障局局</w:t>
      </w:r>
      <w:r>
        <w:rPr>
          <w:spacing w:val="-16"/>
        </w:rPr>
        <w:t>长</w:t>
      </w:r>
      <w:r>
        <w:rPr/>
        <w:t>郗承磊</w:t>
        <w:tab/>
      </w:r>
      <w:r>
        <w:rPr>
          <w:w w:val="95"/>
        </w:rPr>
        <w:t>县乡村振兴局局</w:t>
      </w:r>
      <w:r>
        <w:rPr>
          <w:spacing w:val="-16"/>
          <w:w w:val="95"/>
        </w:rPr>
        <w:t>长</w:t>
      </w:r>
    </w:p>
    <w:p>
      <w:pPr>
        <w:pStyle w:val="BodyText"/>
        <w:tabs>
          <w:tab w:pos="3951" w:val="left" w:leader="none"/>
        </w:tabs>
        <w:spacing w:line="261" w:lineRule="auto"/>
        <w:ind w:left="2672" w:right="2093"/>
      </w:pPr>
      <w:r>
        <w:rPr/>
        <w:t>刘学刚</w:t>
        <w:tab/>
        <w:t>县政务服务管理局局</w:t>
      </w:r>
      <w:r>
        <w:rPr>
          <w:spacing w:val="-15"/>
        </w:rPr>
        <w:t>长</w:t>
      </w:r>
      <w:r>
        <w:rPr/>
        <w:t>孟必科</w:t>
        <w:tab/>
        <w:t>县搬迁安置办主任</w:t>
      </w:r>
    </w:p>
    <w:p>
      <w:pPr>
        <w:pStyle w:val="BodyText"/>
        <w:tabs>
          <w:tab w:pos="3951" w:val="left" w:leader="none"/>
        </w:tabs>
        <w:spacing w:line="261" w:lineRule="auto"/>
        <w:ind w:left="2672" w:right="2093"/>
      </w:pPr>
      <w:r>
        <w:rPr/>
        <w:t>杨博雅</w:t>
        <w:tab/>
        <w:t>县投资促进局副局长 刀志华</w:t>
        <w:tab/>
        <w:t>县道路运输管理局局</w:t>
      </w:r>
      <w:r>
        <w:rPr>
          <w:spacing w:val="-15"/>
        </w:rPr>
        <w:t>长</w:t>
      </w:r>
    </w:p>
    <w:p>
      <w:pPr>
        <w:pStyle w:val="BodyText"/>
        <w:tabs>
          <w:tab w:pos="3310" w:val="left" w:leader="none"/>
          <w:tab w:pos="3951" w:val="left" w:leader="none"/>
        </w:tabs>
        <w:spacing w:line="261" w:lineRule="auto"/>
        <w:ind w:left="2672" w:right="1453"/>
      </w:pPr>
      <w:r>
        <w:rPr/>
        <w:t>线加然</w:t>
        <w:tab/>
        <w:t>县工业和商务科技局副局</w:t>
      </w:r>
      <w:r>
        <w:rPr>
          <w:spacing w:val="-15"/>
        </w:rPr>
        <w:t>长</w:t>
      </w:r>
      <w:r>
        <w:rPr/>
        <w:t>王</w:t>
        <w:tab/>
        <w:t>晔</w:t>
        <w:tab/>
        <w:t>县法院副院长</w:t>
      </w:r>
    </w:p>
    <w:p>
      <w:pPr>
        <w:pStyle w:val="BodyText"/>
        <w:spacing w:line="261" w:lineRule="auto"/>
        <w:ind w:left="2672" w:right="2413"/>
        <w:jc w:val="both"/>
      </w:pPr>
      <w:r>
        <w:rPr>
          <w:spacing w:val="1"/>
        </w:rPr>
        <w:t>程 云 县总工会常务副主席</w:t>
      </w:r>
      <w:r>
        <w:rPr>
          <w:spacing w:val="6"/>
        </w:rPr>
        <w:t>杨云芬 县工商联常务副主席</w:t>
      </w:r>
      <w:r>
        <w:rPr>
          <w:spacing w:val="5"/>
        </w:rPr>
        <w:t>李 磊 县残联理事长</w:t>
      </w:r>
    </w:p>
    <w:p>
      <w:pPr>
        <w:pStyle w:val="BodyText"/>
        <w:spacing w:line="511" w:lineRule="exact"/>
        <w:ind w:left="2672"/>
        <w:jc w:val="both"/>
      </w:pPr>
      <w:r>
        <w:rPr/>
        <w:t>罗仁灿 盈江海关副关长</w:t>
      </w:r>
    </w:p>
    <w:p>
      <w:pPr>
        <w:pStyle w:val="BodyText"/>
        <w:spacing w:before="24"/>
        <w:ind w:left="2672"/>
        <w:jc w:val="both"/>
      </w:pPr>
      <w:r>
        <w:rPr/>
        <w:t>秦静静 县烟草专卖局副经理</w:t>
      </w:r>
    </w:p>
    <w:p>
      <w:pPr>
        <w:pStyle w:val="BodyText"/>
        <w:spacing w:before="44"/>
        <w:ind w:left="2672"/>
        <w:jc w:val="both"/>
      </w:pPr>
      <w:r>
        <w:rPr/>
        <w:t>杨爱华 盈江住房公积金管理部负责人</w:t>
      </w:r>
    </w:p>
    <w:p>
      <w:pPr>
        <w:spacing w:after="0"/>
        <w:jc w:val="both"/>
        <w:sectPr>
          <w:pgSz w:w="11910" w:h="16840"/>
          <w:pgMar w:header="0" w:footer="1127" w:top="1580" w:bottom="1320" w:left="14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3951" w:val="left" w:leader="none"/>
        </w:tabs>
        <w:spacing w:line="261" w:lineRule="auto" w:before="21"/>
        <w:ind w:left="2672" w:right="2413"/>
      </w:pPr>
      <w:r>
        <w:rPr/>
        <w:t>杨春尧</w:t>
        <w:tab/>
        <w:t>人行盈江支行行长 赵天龙</w:t>
        <w:tab/>
        <w:t>盈江供电局副总经</w:t>
      </w:r>
      <w:r>
        <w:rPr>
          <w:spacing w:val="-16"/>
        </w:rPr>
        <w:t>理</w:t>
      </w:r>
    </w:p>
    <w:p>
      <w:pPr>
        <w:pStyle w:val="BodyText"/>
        <w:spacing w:line="513" w:lineRule="exact"/>
        <w:ind w:left="2631"/>
      </w:pPr>
      <w:r>
        <w:rPr>
          <w:w w:val="95"/>
        </w:rPr>
        <w:t>各乡镇人民政府、盈江农场社区管委会主要领导</w:t>
      </w:r>
    </w:p>
    <w:p>
      <w:pPr>
        <w:pStyle w:val="BodyText"/>
        <w:spacing w:line="261" w:lineRule="auto" w:before="45"/>
        <w:ind w:left="111" w:right="291" w:firstLine="640"/>
        <w:jc w:val="both"/>
      </w:pPr>
      <w:r>
        <w:rPr>
          <w:spacing w:val="6"/>
          <w:w w:val="95"/>
        </w:rPr>
        <w:t>领导小组下设办公室在县税务局，办公室主任由禹华强兼 </w:t>
      </w:r>
      <w:r>
        <w:rPr>
          <w:spacing w:val="-11"/>
          <w:w w:val="95"/>
        </w:rPr>
        <w:t>任，副主任由县税务局副局长余国娥、县财政局副局长王兴额担 </w:t>
      </w:r>
      <w:r>
        <w:rPr>
          <w:spacing w:val="-11"/>
        </w:rPr>
        <w:t>任，成员从有关成员单位抽调组成。</w:t>
      </w:r>
    </w:p>
    <w:p>
      <w:pPr>
        <w:pStyle w:val="BodyText"/>
        <w:spacing w:line="261" w:lineRule="auto"/>
        <w:ind w:left="111" w:right="161" w:firstLine="640"/>
        <w:jc w:val="right"/>
      </w:pPr>
      <w:r>
        <w:rPr>
          <w:b/>
          <w:w w:val="95"/>
        </w:rPr>
        <w:t>领导小组主要职责</w:t>
      </w:r>
      <w:r>
        <w:rPr>
          <w:w w:val="95"/>
        </w:rPr>
        <w:t>：负责统筹协调全县税收协同治理工作， </w:t>
      </w:r>
      <w:r>
        <w:rPr>
          <w:spacing w:val="-7"/>
          <w:w w:val="95"/>
        </w:rPr>
        <w:t>指导协调税收征管中的重大事项，组织、督导税收协同治理各项 工作目标和政策措施的落实，对工作开展情况进行监督及考核。 </w:t>
      </w:r>
      <w:r>
        <w:rPr>
          <w:b/>
          <w:spacing w:val="9"/>
          <w:w w:val="95"/>
        </w:rPr>
        <w:t>领导小组办公室主要职责</w:t>
      </w:r>
      <w:r>
        <w:rPr>
          <w:spacing w:val="6"/>
          <w:w w:val="95"/>
        </w:rPr>
        <w:t>：负责全县税收协同治理日常工</w:t>
      </w:r>
    </w:p>
    <w:p>
      <w:pPr>
        <w:pStyle w:val="BodyText"/>
        <w:spacing w:line="261" w:lineRule="auto"/>
        <w:ind w:left="111" w:right="173"/>
        <w:jc w:val="both"/>
      </w:pPr>
      <w:r>
        <w:rPr>
          <w:spacing w:val="-10"/>
        </w:rPr>
        <w:t>作；对领导小组确定的各项工作任务进行分解和落实；组织协调</w:t>
      </w:r>
      <w:r>
        <w:rPr>
          <w:spacing w:val="-15"/>
        </w:rPr>
        <w:t>各单位配合做好税收工作；做好宣传工作，增强社会影响力，强</w:t>
      </w:r>
      <w:r>
        <w:rPr>
          <w:spacing w:val="6"/>
        </w:rPr>
        <w:t>化全社会的协税护税意识，营造依法诚信纳税的良好氛围和环</w:t>
      </w:r>
      <w:r>
        <w:rPr>
          <w:spacing w:val="-11"/>
        </w:rPr>
        <w:t>境；收集梳理税收协同治理工作中遇到的征管问题；根据领导小组的安排，组织召开联席会议；向领导小组汇报工作开展情况； 完成领导小组交办的其他工作。</w:t>
      </w:r>
    </w:p>
    <w:p>
      <w:pPr>
        <w:pStyle w:val="BodyText"/>
        <w:spacing w:line="497" w:lineRule="exact"/>
        <w:ind w:left="751"/>
        <w:rPr>
          <w:rFonts w:ascii="方正黑体_GBK" w:hAnsi="方正黑体_GBK" w:eastAsia="方正黑体_GBK" w:hint="eastAsia"/>
        </w:rPr>
      </w:pPr>
      <w:r>
        <w:rPr>
          <w:rFonts w:ascii="方正黑体_GBK" w:hAnsi="方正黑体_GBK" w:eastAsia="方正黑体_GBK" w:hint="eastAsia"/>
        </w:rPr>
        <w:t>四、实施“百日行动”</w:t>
      </w:r>
    </w:p>
    <w:p>
      <w:pPr>
        <w:pStyle w:val="BodyText"/>
        <w:spacing w:line="261" w:lineRule="auto" w:before="46"/>
        <w:ind w:left="111" w:right="291" w:firstLine="640"/>
      </w:pPr>
      <w:r>
        <w:rPr>
          <w:w w:val="95"/>
        </w:rPr>
        <w:t>启动实施税收协同治理落实税费精准服务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百日行动</w:t>
      </w:r>
      <w:r>
        <w:rPr>
          <w:rFonts w:ascii="Times New Roman" w:hAnsi="Times New Roman" w:eastAsia="Times New Roman"/>
          <w:spacing w:val="-40"/>
          <w:w w:val="95"/>
        </w:rPr>
        <w:t>”</w:t>
      </w:r>
      <w:r>
        <w:rPr>
          <w:spacing w:val="-14"/>
          <w:w w:val="95"/>
        </w:rPr>
        <w:t>，分启 </w:t>
      </w:r>
      <w:r>
        <w:rPr>
          <w:spacing w:val="-14"/>
        </w:rPr>
        <w:t>动部署、政策宣传、税源调研三个阶段进行。</w:t>
      </w:r>
    </w:p>
    <w:p>
      <w:pPr>
        <w:pStyle w:val="BodyText"/>
        <w:spacing w:before="11"/>
        <w:ind w:left="75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（一）启动部署阶段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61" w:lineRule="auto" w:before="56" w:after="0"/>
        <w:ind w:left="111" w:right="289" w:firstLine="640"/>
        <w:jc w:val="left"/>
        <w:rPr>
          <w:rFonts w:ascii="Times New Roman" w:eastAsia="Times New Roman"/>
          <w:sz w:val="30"/>
        </w:rPr>
      </w:pPr>
      <w:r>
        <w:rPr>
          <w:b/>
          <w:w w:val="95"/>
          <w:sz w:val="32"/>
        </w:rPr>
        <w:t>召开动员部署会议</w:t>
      </w:r>
      <w:r>
        <w:rPr>
          <w:spacing w:val="-7"/>
          <w:w w:val="95"/>
          <w:sz w:val="32"/>
        </w:rPr>
        <w:t>。由县税收协同治理工作领导小组组织 </w:t>
      </w:r>
      <w:r>
        <w:rPr>
          <w:spacing w:val="-14"/>
          <w:sz w:val="32"/>
        </w:rPr>
        <w:t>召开动员部署会议，对实施税收协同治理落实税费精准服务工作</w:t>
      </w:r>
    </w:p>
    <w:p>
      <w:pPr>
        <w:spacing w:after="0" w:line="261" w:lineRule="auto"/>
        <w:jc w:val="left"/>
        <w:rPr>
          <w:rFonts w:ascii="Times New Roman" w:eastAsia="Times New Roman"/>
          <w:sz w:val="30"/>
        </w:rPr>
        <w:sectPr>
          <w:pgSz w:w="11910" w:h="16840"/>
          <w:pgMar w:header="0" w:footer="1127" w:top="1580" w:bottom="1320" w:left="14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spacing w:line="261" w:lineRule="auto" w:before="21"/>
        <w:ind w:left="111" w:right="159" w:firstLine="0"/>
        <w:jc w:val="left"/>
        <w:rPr>
          <w:sz w:val="32"/>
        </w:rPr>
      </w:pPr>
      <w:r>
        <w:rPr>
          <w:sz w:val="32"/>
        </w:rPr>
        <w:t>任务进行安排部署。（</w:t>
      </w:r>
      <w:r>
        <w:rPr>
          <w:rFonts w:ascii="方正楷体_GBK" w:eastAsia="方正楷体_GBK" w:hint="eastAsia"/>
          <w:b/>
          <w:sz w:val="32"/>
        </w:rPr>
        <w:t>牵头单位：</w:t>
      </w:r>
      <w:r>
        <w:rPr>
          <w:rFonts w:ascii="方正楷体_GBK" w:eastAsia="方正楷体_GBK" w:hint="eastAsia"/>
          <w:sz w:val="32"/>
        </w:rPr>
        <w:t>领导小组办公室，</w:t>
      </w:r>
      <w:r>
        <w:rPr>
          <w:rFonts w:ascii="方正楷体_GBK" w:eastAsia="方正楷体_GBK" w:hint="eastAsia"/>
          <w:b/>
          <w:sz w:val="32"/>
        </w:rPr>
        <w:t>责任单位： </w:t>
      </w:r>
      <w:r>
        <w:rPr>
          <w:rFonts w:ascii="方正楷体_GBK" w:eastAsia="方正楷体_GBK" w:hint="eastAsia"/>
          <w:sz w:val="32"/>
        </w:rPr>
        <w:t>领导小组各成员单位；</w:t>
      </w:r>
      <w:r>
        <w:rPr>
          <w:rFonts w:ascii="方正楷体_GBK" w:eastAsia="方正楷体_GBK" w:hint="eastAsia"/>
          <w:b/>
          <w:sz w:val="32"/>
        </w:rPr>
        <w:t>时限：</w:t>
      </w:r>
      <w:r>
        <w:rPr>
          <w:rFonts w:ascii="方正楷体_GBK" w:eastAsia="方正楷体_GBK" w:hint="eastAsia"/>
          <w:sz w:val="32"/>
        </w:rPr>
        <w:t>2023 年 4 月 21 日前</w:t>
      </w:r>
      <w:r>
        <w:rPr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61" w:lineRule="auto" w:before="0" w:after="0"/>
        <w:ind w:left="111" w:right="130" w:firstLine="640"/>
        <w:jc w:val="both"/>
        <w:rPr>
          <w:rFonts w:ascii="Times New Roman" w:hAnsi="Times New Roman" w:eastAsia="Times New Roman"/>
          <w:sz w:val="30"/>
        </w:rPr>
      </w:pPr>
      <w:r>
        <w:rPr>
          <w:b/>
          <w:spacing w:val="-3"/>
          <w:sz w:val="32"/>
        </w:rPr>
        <w:t>首批数据交换工作。</w:t>
      </w:r>
      <w:r>
        <w:rPr>
          <w:spacing w:val="-4"/>
          <w:sz w:val="32"/>
        </w:rPr>
        <w:t>各成员单位对照《盈江县税收征管保</w:t>
      </w:r>
      <w:r>
        <w:rPr>
          <w:spacing w:val="-6"/>
          <w:sz w:val="32"/>
        </w:rPr>
        <w:t>障实施意见》的涉税信息交换责任分工表</w:t>
      </w:r>
      <w:r>
        <w:rPr>
          <w:sz w:val="32"/>
        </w:rPr>
        <w:t>（</w:t>
      </w:r>
      <w:r>
        <w:rPr>
          <w:spacing w:val="-14"/>
          <w:sz w:val="32"/>
        </w:rPr>
        <w:t>详见附件 </w:t>
      </w:r>
      <w:r>
        <w:rPr>
          <w:rFonts w:ascii="Times New Roman" w:hAnsi="Times New Roman" w:eastAsia="Times New Roman"/>
          <w:spacing w:val="-6"/>
          <w:sz w:val="32"/>
        </w:rPr>
        <w:t>1</w:t>
      </w:r>
      <w:r>
        <w:rPr>
          <w:spacing w:val="-6"/>
          <w:sz w:val="32"/>
        </w:rPr>
        <w:t>）</w:t>
      </w:r>
      <w:r>
        <w:rPr>
          <w:spacing w:val="-2"/>
          <w:sz w:val="32"/>
        </w:rPr>
        <w:t>，按照</w:t>
      </w:r>
      <w:r>
        <w:rPr>
          <w:spacing w:val="-12"/>
          <w:sz w:val="32"/>
        </w:rPr>
        <w:t>责任分工内容，通过公文交换系统</w:t>
      </w:r>
      <w:r>
        <w:rPr>
          <w:sz w:val="32"/>
        </w:rPr>
        <w:t>（特殊情况可采取移动介质拷</w:t>
      </w:r>
      <w:r>
        <w:rPr>
          <w:spacing w:val="-6"/>
          <w:sz w:val="32"/>
        </w:rPr>
        <w:t>贝、纸质传递等方式</w:t>
      </w:r>
      <w:r>
        <w:rPr>
          <w:spacing w:val="-29"/>
          <w:sz w:val="32"/>
        </w:rPr>
        <w:t>）</w:t>
      </w:r>
      <w:r>
        <w:rPr>
          <w:spacing w:val="-3"/>
          <w:sz w:val="32"/>
        </w:rPr>
        <w:t>完成首批次数据传递工作</w:t>
      </w:r>
      <w:r>
        <w:rPr>
          <w:sz w:val="32"/>
        </w:rPr>
        <w:t>（</w:t>
      </w:r>
      <w:r>
        <w:rPr>
          <w:spacing w:val="-6"/>
          <w:sz w:val="32"/>
        </w:rPr>
        <w:t>注：数据报送时间为</w:t>
      </w:r>
      <w:r>
        <w:rPr>
          <w:rFonts w:ascii="Times New Roman" w:hAnsi="Times New Roman" w:eastAsia="Times New Roman"/>
          <w:spacing w:val="-6"/>
          <w:sz w:val="32"/>
        </w:rPr>
        <w:t>“</w:t>
      </w:r>
      <w:r>
        <w:rPr>
          <w:spacing w:val="-6"/>
          <w:sz w:val="32"/>
        </w:rPr>
        <w:t>根据税务机关需要</w:t>
      </w:r>
      <w:r>
        <w:rPr>
          <w:rFonts w:ascii="Times New Roman" w:hAnsi="Times New Roman" w:eastAsia="Times New Roman"/>
          <w:spacing w:val="-6"/>
          <w:sz w:val="32"/>
        </w:rPr>
        <w:t>”</w:t>
      </w:r>
      <w:r>
        <w:rPr>
          <w:spacing w:val="-6"/>
          <w:sz w:val="32"/>
        </w:rPr>
        <w:t>的不参与此次交换工作</w:t>
      </w:r>
      <w:r>
        <w:rPr>
          <w:spacing w:val="-41"/>
          <w:sz w:val="32"/>
        </w:rPr>
        <w:t>）</w:t>
      </w:r>
      <w:r>
        <w:rPr>
          <w:spacing w:val="-9"/>
          <w:sz w:val="32"/>
        </w:rPr>
        <w:t>。首次传递</w:t>
      </w:r>
      <w:r>
        <w:rPr>
          <w:spacing w:val="-12"/>
          <w:sz w:val="32"/>
        </w:rPr>
        <w:t>数据的时间范围为 </w:t>
      </w:r>
      <w:r>
        <w:rPr>
          <w:rFonts w:ascii="Times New Roman" w:hAnsi="Times New Roman" w:eastAsia="Times New Roman"/>
          <w:sz w:val="32"/>
        </w:rPr>
        <w:t>2022</w:t>
      </w:r>
      <w:r>
        <w:rPr>
          <w:rFonts w:ascii="Times New Roman" w:hAnsi="Times New Roman" w:eastAsia="Times New Roman"/>
          <w:spacing w:val="2"/>
          <w:sz w:val="32"/>
        </w:rPr>
        <w:t> </w:t>
      </w:r>
      <w:r>
        <w:rPr>
          <w:spacing w:val="-31"/>
          <w:sz w:val="32"/>
        </w:rPr>
        <w:t>年 </w:t>
      </w:r>
      <w:r>
        <w:rPr>
          <w:rFonts w:ascii="Times New Roman" w:hAnsi="Times New Roman" w:eastAsia="Times New Roman"/>
          <w:sz w:val="32"/>
        </w:rPr>
        <w:t>1</w:t>
      </w:r>
      <w:r>
        <w:rPr>
          <w:rFonts w:ascii="Times New Roman" w:hAnsi="Times New Roman" w:eastAsia="Times New Roman"/>
          <w:spacing w:val="2"/>
          <w:sz w:val="32"/>
        </w:rPr>
        <w:t> </w:t>
      </w:r>
      <w:r>
        <w:rPr>
          <w:spacing w:val="-31"/>
          <w:sz w:val="32"/>
        </w:rPr>
        <w:t>月 </w:t>
      </w:r>
      <w:r>
        <w:rPr>
          <w:rFonts w:ascii="Times New Roman" w:hAnsi="Times New Roman" w:eastAsia="Times New Roman"/>
          <w:sz w:val="32"/>
        </w:rPr>
        <w:t>1</w:t>
      </w:r>
      <w:r>
        <w:rPr>
          <w:rFonts w:ascii="Times New Roman" w:hAnsi="Times New Roman" w:eastAsia="Times New Roman"/>
          <w:spacing w:val="2"/>
          <w:sz w:val="32"/>
        </w:rPr>
        <w:t> </w:t>
      </w:r>
      <w:r>
        <w:rPr>
          <w:spacing w:val="-20"/>
          <w:sz w:val="32"/>
        </w:rPr>
        <w:t>日到 </w:t>
      </w:r>
      <w:r>
        <w:rPr>
          <w:rFonts w:ascii="Times New Roman" w:hAnsi="Times New Roman" w:eastAsia="Times New Roman"/>
          <w:sz w:val="32"/>
        </w:rPr>
        <w:t>2023</w:t>
      </w:r>
      <w:r>
        <w:rPr>
          <w:rFonts w:ascii="Times New Roman" w:hAnsi="Times New Roman" w:eastAsia="Times New Roman"/>
          <w:spacing w:val="2"/>
          <w:sz w:val="32"/>
        </w:rPr>
        <w:t> </w:t>
      </w:r>
      <w:r>
        <w:rPr>
          <w:spacing w:val="-31"/>
          <w:sz w:val="32"/>
        </w:rPr>
        <w:t>年 </w:t>
      </w:r>
      <w:r>
        <w:rPr>
          <w:rFonts w:ascii="Times New Roman" w:hAnsi="Times New Roman" w:eastAsia="Times New Roman"/>
          <w:sz w:val="32"/>
        </w:rPr>
        <w:t>3</w:t>
      </w:r>
      <w:r>
        <w:rPr>
          <w:rFonts w:ascii="Times New Roman" w:hAnsi="Times New Roman" w:eastAsia="Times New Roman"/>
          <w:spacing w:val="2"/>
          <w:sz w:val="32"/>
        </w:rPr>
        <w:t> </w:t>
      </w:r>
      <w:r>
        <w:rPr>
          <w:spacing w:val="-30"/>
          <w:sz w:val="32"/>
        </w:rPr>
        <w:t>月 </w:t>
      </w:r>
      <w:r>
        <w:rPr>
          <w:rFonts w:ascii="Times New Roman" w:hAnsi="Times New Roman" w:eastAsia="Times New Roman"/>
          <w:sz w:val="32"/>
        </w:rPr>
        <w:t>31 </w:t>
      </w:r>
      <w:r>
        <w:rPr>
          <w:sz w:val="32"/>
        </w:rPr>
        <w:t>日，以后</w:t>
      </w:r>
      <w:r>
        <w:rPr>
          <w:spacing w:val="-5"/>
          <w:sz w:val="32"/>
        </w:rPr>
        <w:t>按规定期限只传递增量数据。</w:t>
      </w:r>
      <w:r>
        <w:rPr>
          <w:sz w:val="32"/>
        </w:rPr>
        <w:t>（</w:t>
      </w:r>
      <w:r>
        <w:rPr>
          <w:rFonts w:ascii="方正楷体_GBK" w:hAnsi="方正楷体_GBK" w:eastAsia="方正楷体_GBK" w:hint="eastAsia"/>
          <w:b/>
          <w:spacing w:val="-6"/>
          <w:sz w:val="32"/>
        </w:rPr>
        <w:t>牵头单位：</w:t>
      </w:r>
      <w:r>
        <w:rPr>
          <w:rFonts w:ascii="方正楷体_GBK" w:hAnsi="方正楷体_GBK" w:eastAsia="方正楷体_GBK" w:hint="eastAsia"/>
          <w:spacing w:val="-4"/>
          <w:sz w:val="32"/>
        </w:rPr>
        <w:t>领导小组办公室，</w:t>
      </w:r>
      <w:r>
        <w:rPr>
          <w:rFonts w:ascii="方正楷体_GBK" w:hAnsi="方正楷体_GBK" w:eastAsia="方正楷体_GBK" w:hint="eastAsia"/>
          <w:b/>
          <w:sz w:val="32"/>
        </w:rPr>
        <w:t>责</w:t>
      </w:r>
      <w:r>
        <w:rPr>
          <w:rFonts w:ascii="方正楷体_GBK" w:hAnsi="方正楷体_GBK" w:eastAsia="方正楷体_GBK" w:hint="eastAsia"/>
          <w:b/>
          <w:spacing w:val="-14"/>
          <w:sz w:val="32"/>
        </w:rPr>
        <w:t>任单位：</w:t>
      </w:r>
      <w:r>
        <w:rPr>
          <w:rFonts w:ascii="方正楷体_GBK" w:hAnsi="方正楷体_GBK" w:eastAsia="方正楷体_GBK" w:hint="eastAsia"/>
          <w:spacing w:val="-6"/>
          <w:sz w:val="32"/>
        </w:rPr>
        <w:t>领导小组各成员单位；</w:t>
      </w:r>
      <w:r>
        <w:rPr>
          <w:rFonts w:ascii="方正楷体_GBK" w:hAnsi="方正楷体_GBK" w:eastAsia="方正楷体_GBK" w:hint="eastAsia"/>
          <w:b/>
          <w:spacing w:val="-3"/>
          <w:sz w:val="32"/>
        </w:rPr>
        <w:t>完成时限：</w:t>
      </w:r>
      <w:r>
        <w:rPr>
          <w:rFonts w:ascii="方正楷体_GBK" w:hAnsi="方正楷体_GBK" w:eastAsia="方正楷体_GBK" w:hint="eastAsia"/>
          <w:spacing w:val="-12"/>
          <w:sz w:val="32"/>
        </w:rPr>
        <w:t>2023</w:t>
      </w:r>
      <w:r>
        <w:rPr>
          <w:rFonts w:ascii="方正楷体_GBK" w:hAnsi="方正楷体_GBK" w:eastAsia="方正楷体_GBK" w:hint="eastAsia"/>
          <w:spacing w:val="-8"/>
          <w:sz w:val="32"/>
        </w:rPr>
        <w:t> 年 </w:t>
      </w:r>
      <w:r>
        <w:rPr>
          <w:rFonts w:ascii="方正楷体_GBK" w:hAnsi="方正楷体_GBK" w:eastAsia="方正楷体_GBK" w:hint="eastAsia"/>
          <w:sz w:val="32"/>
        </w:rPr>
        <w:t>4</w:t>
      </w:r>
      <w:r>
        <w:rPr>
          <w:rFonts w:ascii="方正楷体_GBK" w:hAnsi="方正楷体_GBK" w:eastAsia="方正楷体_GBK" w:hint="eastAsia"/>
          <w:spacing w:val="-8"/>
          <w:sz w:val="32"/>
        </w:rPr>
        <w:t> 月 </w:t>
      </w:r>
      <w:r>
        <w:rPr>
          <w:rFonts w:ascii="方正楷体_GBK" w:hAnsi="方正楷体_GBK" w:eastAsia="方正楷体_GBK" w:hint="eastAsia"/>
          <w:sz w:val="32"/>
        </w:rPr>
        <w:t>30</w:t>
      </w:r>
      <w:r>
        <w:rPr>
          <w:rFonts w:ascii="方正楷体_GBK" w:hAnsi="方正楷体_GBK" w:eastAsia="方正楷体_GBK" w:hint="eastAsia"/>
          <w:spacing w:val="-4"/>
          <w:sz w:val="32"/>
        </w:rPr>
        <w:t> 日前</w:t>
      </w:r>
      <w:r>
        <w:rPr>
          <w:sz w:val="32"/>
        </w:rPr>
        <w:t>）</w:t>
      </w:r>
    </w:p>
    <w:p>
      <w:pPr>
        <w:pStyle w:val="BodyText"/>
        <w:spacing w:before="1"/>
        <w:ind w:left="75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（二）政策宣传阶段</w:t>
      </w:r>
    </w:p>
    <w:p>
      <w:pPr>
        <w:pStyle w:val="BodyText"/>
        <w:spacing w:line="261" w:lineRule="auto" w:before="57"/>
        <w:ind w:left="111" w:right="286" w:firstLine="640"/>
        <w:jc w:val="both"/>
      </w:pPr>
      <w:r>
        <w:rPr>
          <w:spacing w:val="-9"/>
        </w:rPr>
        <w:t>加大税收税费政策宣传力度，广泛借助传统媒体及微信公众</w:t>
      </w:r>
      <w:r>
        <w:rPr>
          <w:spacing w:val="-13"/>
        </w:rPr>
        <w:t>号等新媒体平台，充分利用宣传标语、发放宣传资料、税收宣传</w:t>
      </w:r>
      <w:r>
        <w:rPr>
          <w:spacing w:val="-18"/>
        </w:rPr>
        <w:t>月等多种形式，深入开展税收税费政策宣传，至少开展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5"/>
        </w:rPr>
        <w:t> </w:t>
      </w:r>
      <w:r>
        <w:rPr/>
        <w:t>次税收</w:t>
      </w:r>
      <w:r>
        <w:rPr>
          <w:spacing w:val="-10"/>
        </w:rPr>
        <w:t>政策线下宣传活动，切实提升纳税人税法遵从度，营造良好的社</w:t>
      </w:r>
      <w:r>
        <w:rPr>
          <w:spacing w:val="-19"/>
          <w:w w:val="95"/>
        </w:rPr>
        <w:t>会氛围。</w:t>
      </w:r>
      <w:r>
        <w:rPr>
          <w:w w:val="95"/>
        </w:rPr>
        <w:t>（</w:t>
      </w:r>
      <w:r>
        <w:rPr>
          <w:rFonts w:ascii="方正楷体_GBK" w:eastAsia="方正楷体_GBK" w:hint="eastAsia"/>
          <w:b/>
          <w:spacing w:val="-4"/>
          <w:w w:val="95"/>
        </w:rPr>
        <w:t>牵头单位：</w:t>
      </w:r>
      <w:r>
        <w:rPr>
          <w:rFonts w:ascii="方正楷体_GBK" w:eastAsia="方正楷体_GBK" w:hint="eastAsia"/>
          <w:spacing w:val="-4"/>
          <w:w w:val="95"/>
        </w:rPr>
        <w:t>县税务局，</w:t>
      </w:r>
      <w:r>
        <w:rPr>
          <w:rFonts w:ascii="方正楷体_GBK" w:eastAsia="方正楷体_GBK" w:hint="eastAsia"/>
          <w:b/>
          <w:spacing w:val="-4"/>
          <w:w w:val="95"/>
        </w:rPr>
        <w:t>责任单位：</w:t>
      </w:r>
      <w:r>
        <w:rPr>
          <w:rFonts w:ascii="方正楷体_GBK" w:eastAsia="方正楷体_GBK" w:hint="eastAsia"/>
          <w:spacing w:val="-4"/>
          <w:w w:val="95"/>
        </w:rPr>
        <w:t>县委宣传部，</w:t>
      </w:r>
      <w:r>
        <w:rPr>
          <w:rFonts w:ascii="方正楷体_GBK" w:eastAsia="方正楷体_GBK" w:hint="eastAsia"/>
          <w:b/>
          <w:w w:val="95"/>
        </w:rPr>
        <w:t>配合  </w:t>
      </w:r>
      <w:r>
        <w:rPr>
          <w:rFonts w:ascii="方正楷体_GBK" w:eastAsia="方正楷体_GBK" w:hint="eastAsia"/>
          <w:b/>
        </w:rPr>
        <w:t>单位：</w:t>
      </w:r>
      <w:r>
        <w:rPr>
          <w:rFonts w:ascii="方正楷体_GBK" w:eastAsia="方正楷体_GBK" w:hint="eastAsia"/>
        </w:rPr>
        <w:t>领导小组各成员单位；</w:t>
      </w:r>
      <w:r>
        <w:rPr>
          <w:rFonts w:ascii="方正楷体_GBK" w:eastAsia="方正楷体_GBK" w:hint="eastAsia"/>
          <w:b/>
        </w:rPr>
        <w:t>时限：</w:t>
      </w:r>
      <w:r>
        <w:rPr>
          <w:rFonts w:ascii="方正楷体_GBK" w:eastAsia="方正楷体_GBK" w:hint="eastAsia"/>
        </w:rPr>
        <w:t>2023</w:t>
      </w:r>
      <w:r>
        <w:rPr>
          <w:rFonts w:ascii="方正楷体_GBK" w:eastAsia="方正楷体_GBK" w:hint="eastAsia"/>
          <w:spacing w:val="-7"/>
        </w:rPr>
        <w:t> 年 </w:t>
      </w:r>
      <w:r>
        <w:rPr>
          <w:rFonts w:ascii="方正楷体_GBK" w:eastAsia="方正楷体_GBK" w:hint="eastAsia"/>
        </w:rPr>
        <w:t>6</w:t>
      </w:r>
      <w:r>
        <w:rPr>
          <w:rFonts w:ascii="方正楷体_GBK" w:eastAsia="方正楷体_GBK" w:hint="eastAsia"/>
          <w:spacing w:val="-7"/>
        </w:rPr>
        <w:t> 月 </w:t>
      </w:r>
      <w:r>
        <w:rPr>
          <w:rFonts w:ascii="方正楷体_GBK" w:eastAsia="方正楷体_GBK" w:hint="eastAsia"/>
        </w:rPr>
        <w:t>30</w:t>
      </w:r>
      <w:r>
        <w:rPr>
          <w:rFonts w:ascii="方正楷体_GBK" w:eastAsia="方正楷体_GBK" w:hint="eastAsia"/>
          <w:spacing w:val="-3"/>
        </w:rPr>
        <w:t> 日前</w:t>
      </w:r>
      <w:r>
        <w:rPr/>
        <w:t>）</w:t>
      </w:r>
    </w:p>
    <w:p>
      <w:pPr>
        <w:pStyle w:val="BodyText"/>
        <w:spacing w:before="4"/>
        <w:ind w:left="75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（三）税源调研阶段</w:t>
      </w:r>
    </w:p>
    <w:p>
      <w:pPr>
        <w:pStyle w:val="BodyText"/>
        <w:spacing w:line="261" w:lineRule="auto" w:before="57"/>
        <w:ind w:left="111" w:right="286" w:firstLine="640"/>
        <w:jc w:val="both"/>
      </w:pPr>
      <w:r>
        <w:rPr>
          <w:spacing w:val="-7"/>
        </w:rPr>
        <w:t>组织开展全行业税源调研工作，由县工业和商务科技局、盈</w:t>
      </w:r>
      <w:r>
        <w:rPr>
          <w:spacing w:val="-13"/>
        </w:rPr>
        <w:t>江海关牵头开展进口贸易企业税源调研工作，由县税务局牵头开</w:t>
      </w:r>
      <w:r>
        <w:rPr>
          <w:spacing w:val="-17"/>
        </w:rPr>
        <w:t>展其他行业企业税源调研工作，全面掌握行业企业近年来生产规</w:t>
      </w:r>
      <w:r>
        <w:rPr>
          <w:spacing w:val="-12"/>
          <w:w w:val="95"/>
        </w:rPr>
        <w:t>模、交易模式、资金流动、生产成本、经营收入、纳税申报等情</w:t>
      </w:r>
    </w:p>
    <w:p>
      <w:pPr>
        <w:spacing w:after="0" w:line="261" w:lineRule="auto"/>
        <w:jc w:val="both"/>
        <w:sectPr>
          <w:pgSz w:w="11910" w:h="16840"/>
          <w:pgMar w:header="0" w:footer="1127" w:top="1580" w:bottom="1320" w:left="14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64" w:lineRule="auto" w:before="21"/>
        <w:ind w:left="111" w:right="286"/>
        <w:jc w:val="both"/>
      </w:pPr>
      <w:r>
        <w:rPr>
          <w:spacing w:val="-11"/>
        </w:rPr>
        <w:t>况，依托税收数据和共享数据信息，结合行业现状、市场需求等</w:t>
      </w:r>
      <w:r>
        <w:rPr>
          <w:spacing w:val="6"/>
          <w:w w:val="95"/>
        </w:rPr>
        <w:t>方面进行认真比对，深入分析经济变化对税收的影响范围和程 </w:t>
      </w:r>
      <w:r>
        <w:rPr>
          <w:spacing w:val="-10"/>
          <w:w w:val="95"/>
        </w:rPr>
        <w:t>度，全面掌握税源增减变化及发展趋势，挖掘出具有规律性、普 </w:t>
      </w:r>
      <w:r>
        <w:rPr>
          <w:spacing w:val="-14"/>
        </w:rPr>
        <w:t>遍性的问题，开发出具有深层价值的信息，形成书面调研报告报</w:t>
      </w:r>
      <w:r>
        <w:rPr>
          <w:spacing w:val="-20"/>
        </w:rPr>
        <w:t>县领导小组。</w:t>
      </w:r>
      <w:r>
        <w:rPr/>
        <w:t>（</w:t>
      </w:r>
      <w:r>
        <w:rPr>
          <w:rFonts w:ascii="方正楷体_GBK" w:eastAsia="方正楷体_GBK" w:hint="eastAsia"/>
          <w:b/>
          <w:spacing w:val="-5"/>
        </w:rPr>
        <w:t>牵头单位：</w:t>
      </w:r>
      <w:r>
        <w:rPr>
          <w:rFonts w:ascii="方正楷体_GBK" w:eastAsia="方正楷体_GBK" w:hint="eastAsia"/>
          <w:spacing w:val="-5"/>
        </w:rPr>
        <w:t>县工业和商务科技局、县税务局、盈</w:t>
      </w:r>
      <w:r>
        <w:rPr>
          <w:rFonts w:ascii="方正楷体_GBK" w:eastAsia="方正楷体_GBK" w:hint="eastAsia"/>
          <w:spacing w:val="5"/>
        </w:rPr>
        <w:t>江海关，</w:t>
      </w:r>
      <w:r>
        <w:rPr>
          <w:rFonts w:ascii="方正楷体_GBK" w:eastAsia="方正楷体_GBK" w:hint="eastAsia"/>
          <w:b/>
          <w:spacing w:val="7"/>
        </w:rPr>
        <w:t>责任单位：</w:t>
      </w:r>
      <w:r>
        <w:rPr>
          <w:rFonts w:ascii="方正楷体_GBK" w:eastAsia="方正楷体_GBK" w:hint="eastAsia"/>
          <w:spacing w:val="5"/>
        </w:rPr>
        <w:t>领导小组各成员单位；</w:t>
      </w:r>
      <w:r>
        <w:rPr>
          <w:rFonts w:ascii="方正楷体_GBK" w:eastAsia="方正楷体_GBK" w:hint="eastAsia"/>
          <w:b/>
          <w:spacing w:val="4"/>
        </w:rPr>
        <w:t>时限：</w:t>
      </w:r>
      <w:r>
        <w:rPr>
          <w:rFonts w:ascii="方正楷体_GBK" w:eastAsia="方正楷体_GBK" w:hint="eastAsia"/>
        </w:rPr>
        <w:t>2023</w:t>
      </w:r>
      <w:r>
        <w:rPr>
          <w:rFonts w:ascii="方正楷体_GBK" w:eastAsia="方正楷体_GBK" w:hint="eastAsia"/>
          <w:spacing w:val="-8"/>
        </w:rPr>
        <w:t> 年 </w:t>
      </w:r>
      <w:r>
        <w:rPr>
          <w:rFonts w:ascii="方正楷体_GBK" w:eastAsia="方正楷体_GBK" w:hint="eastAsia"/>
        </w:rPr>
        <w:t>7</w:t>
      </w:r>
      <w:r>
        <w:rPr>
          <w:rFonts w:ascii="方正楷体_GBK" w:eastAsia="方正楷体_GBK" w:hint="eastAsia"/>
          <w:spacing w:val="-7"/>
        </w:rPr>
        <w:t> 月31</w:t>
      </w:r>
      <w:r>
        <w:rPr>
          <w:rFonts w:ascii="方正楷体_GBK" w:eastAsia="方正楷体_GBK" w:hint="eastAsia"/>
          <w:spacing w:val="-4"/>
        </w:rPr>
        <w:t> 日前</w:t>
      </w:r>
      <w:r>
        <w:rPr/>
        <w:t>）</w:t>
      </w:r>
    </w:p>
    <w:p>
      <w:pPr>
        <w:pStyle w:val="BodyText"/>
        <w:spacing w:line="489" w:lineRule="exact"/>
        <w:ind w:left="75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五、建立长效机制</w:t>
      </w:r>
    </w:p>
    <w:p>
      <w:pPr>
        <w:pStyle w:val="BodyText"/>
        <w:spacing w:before="67"/>
        <w:ind w:left="75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（一）建立税收协调治理长效机制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261" w:lineRule="auto" w:before="59" w:after="0"/>
        <w:ind w:left="111" w:right="286" w:firstLine="640"/>
        <w:jc w:val="both"/>
        <w:rPr>
          <w:sz w:val="32"/>
        </w:rPr>
      </w:pPr>
      <w:r>
        <w:rPr>
          <w:b/>
          <w:spacing w:val="-5"/>
          <w:w w:val="95"/>
          <w:sz w:val="32"/>
        </w:rPr>
        <w:t>建立健全信息共享制度。</w:t>
      </w:r>
      <w:r>
        <w:rPr>
          <w:w w:val="95"/>
          <w:sz w:val="32"/>
        </w:rPr>
        <w:t>各成员单位要发挥各自的职能优 </w:t>
      </w:r>
      <w:r>
        <w:rPr>
          <w:spacing w:val="-11"/>
          <w:w w:val="95"/>
          <w:sz w:val="32"/>
        </w:rPr>
        <w:t>势，根据《云南省税收征管保障办法》及《盈江县税收征管保障 </w:t>
      </w:r>
      <w:r>
        <w:rPr>
          <w:spacing w:val="-13"/>
          <w:sz w:val="32"/>
        </w:rPr>
        <w:t>实施意见》有关要求，按照规范的涉税信息交换格式和标准，按</w:t>
      </w:r>
      <w:r>
        <w:rPr>
          <w:spacing w:val="-16"/>
          <w:sz w:val="32"/>
        </w:rPr>
        <w:t>时保质保量传递、交换有关涉税信息，逐步实现相关部门信息共</w:t>
      </w:r>
      <w:r>
        <w:rPr>
          <w:spacing w:val="-34"/>
          <w:w w:val="95"/>
          <w:sz w:val="32"/>
        </w:rPr>
        <w:t>享。</w:t>
      </w:r>
      <w:r>
        <w:rPr>
          <w:w w:val="95"/>
          <w:sz w:val="32"/>
        </w:rPr>
        <w:t>（</w:t>
      </w:r>
      <w:r>
        <w:rPr>
          <w:rFonts w:ascii="方正楷体_GBK" w:eastAsia="方正楷体_GBK" w:hint="eastAsia"/>
          <w:b/>
          <w:spacing w:val="-5"/>
          <w:w w:val="95"/>
          <w:sz w:val="32"/>
        </w:rPr>
        <w:t>牵头单位：</w:t>
      </w:r>
      <w:r>
        <w:rPr>
          <w:rFonts w:ascii="方正楷体_GBK" w:eastAsia="方正楷体_GBK" w:hint="eastAsia"/>
          <w:spacing w:val="-3"/>
          <w:w w:val="95"/>
          <w:sz w:val="32"/>
        </w:rPr>
        <w:t>领导小组办公室，</w:t>
      </w:r>
      <w:r>
        <w:rPr>
          <w:rFonts w:ascii="方正楷体_GBK" w:eastAsia="方正楷体_GBK" w:hint="eastAsia"/>
          <w:b/>
          <w:spacing w:val="-5"/>
          <w:w w:val="95"/>
          <w:sz w:val="32"/>
        </w:rPr>
        <w:t>责任单位：</w:t>
      </w:r>
      <w:r>
        <w:rPr>
          <w:rFonts w:ascii="方正楷体_GBK" w:eastAsia="方正楷体_GBK" w:hint="eastAsia"/>
          <w:w w:val="95"/>
          <w:sz w:val="32"/>
        </w:rPr>
        <w:t>领导小组各成员  </w:t>
      </w:r>
      <w:r>
        <w:rPr>
          <w:rFonts w:ascii="方正楷体_GBK" w:eastAsia="方正楷体_GBK" w:hint="eastAsia"/>
          <w:sz w:val="32"/>
        </w:rPr>
        <w:t>单位</w:t>
      </w:r>
      <w:r>
        <w:rPr>
          <w:sz w:val="32"/>
        </w:rPr>
        <w:t>）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261" w:lineRule="auto" w:before="0" w:after="0"/>
        <w:ind w:left="111" w:right="286" w:firstLine="640"/>
        <w:jc w:val="both"/>
        <w:rPr>
          <w:sz w:val="32"/>
        </w:rPr>
      </w:pPr>
      <w:r>
        <w:rPr>
          <w:b/>
          <w:spacing w:val="-5"/>
          <w:w w:val="95"/>
          <w:sz w:val="32"/>
        </w:rPr>
        <w:t>建立健全信息分析制度。</w:t>
      </w:r>
      <w:r>
        <w:rPr>
          <w:w w:val="95"/>
          <w:sz w:val="32"/>
        </w:rPr>
        <w:t>税务部门要加强涉税费信息的保 </w:t>
      </w:r>
      <w:r>
        <w:rPr>
          <w:spacing w:val="-11"/>
          <w:sz w:val="32"/>
        </w:rPr>
        <w:t>密、比对、评估和应用工作，不断提高信息管税水平，落实信息</w:t>
      </w:r>
      <w:r>
        <w:rPr>
          <w:spacing w:val="-13"/>
          <w:sz w:val="32"/>
        </w:rPr>
        <w:t>交换成果。及时将各成员单位提供的涉税信息纳入征管范围，并</w:t>
      </w:r>
      <w:r>
        <w:rPr>
          <w:spacing w:val="-15"/>
          <w:w w:val="95"/>
          <w:sz w:val="32"/>
        </w:rPr>
        <w:t>对新投产大项目、新登记企业纳税情况进行追踪管理。</w:t>
      </w:r>
      <w:r>
        <w:rPr>
          <w:w w:val="95"/>
          <w:sz w:val="32"/>
        </w:rPr>
        <w:t>（</w:t>
      </w:r>
      <w:r>
        <w:rPr>
          <w:rFonts w:ascii="方正楷体_GBK" w:eastAsia="方正楷体_GBK" w:hint="eastAsia"/>
          <w:b/>
          <w:w w:val="95"/>
          <w:sz w:val="32"/>
        </w:rPr>
        <w:t>牵头单  </w:t>
      </w:r>
      <w:r>
        <w:rPr>
          <w:rFonts w:ascii="方正楷体_GBK" w:eastAsia="方正楷体_GBK" w:hint="eastAsia"/>
          <w:b/>
          <w:sz w:val="32"/>
        </w:rPr>
        <w:t>位：</w:t>
      </w:r>
      <w:r>
        <w:rPr>
          <w:rFonts w:ascii="方正楷体_GBK" w:eastAsia="方正楷体_GBK" w:hint="eastAsia"/>
          <w:sz w:val="32"/>
        </w:rPr>
        <w:t>县税务局，</w:t>
      </w:r>
      <w:r>
        <w:rPr>
          <w:rFonts w:ascii="方正楷体_GBK" w:eastAsia="方正楷体_GBK" w:hint="eastAsia"/>
          <w:b/>
          <w:sz w:val="32"/>
        </w:rPr>
        <w:t>责任单位：</w:t>
      </w:r>
      <w:r>
        <w:rPr>
          <w:rFonts w:ascii="方正楷体_GBK" w:eastAsia="方正楷体_GBK" w:hint="eastAsia"/>
          <w:sz w:val="32"/>
        </w:rPr>
        <w:t>领导小组各成员单位</w:t>
      </w:r>
      <w:r>
        <w:rPr>
          <w:sz w:val="32"/>
        </w:rPr>
        <w:t>）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261" w:lineRule="auto" w:before="0" w:after="0"/>
        <w:ind w:left="111" w:right="289" w:firstLine="640"/>
        <w:jc w:val="left"/>
        <w:rPr>
          <w:sz w:val="32"/>
        </w:rPr>
      </w:pPr>
      <w:r>
        <w:rPr>
          <w:b/>
          <w:spacing w:val="-3"/>
          <w:w w:val="95"/>
          <w:sz w:val="32"/>
        </w:rPr>
        <w:t>落实税收协助责任。</w:t>
      </w:r>
      <w:r>
        <w:rPr>
          <w:spacing w:val="-3"/>
          <w:w w:val="95"/>
          <w:sz w:val="32"/>
        </w:rPr>
        <w:t>各成员单位要根据《云南省税收征管 </w:t>
      </w:r>
      <w:r>
        <w:rPr>
          <w:spacing w:val="5"/>
          <w:w w:val="95"/>
          <w:sz w:val="32"/>
        </w:rPr>
        <w:t>保障办法》及《盈江县税收征管保障实施意见》有关要求</w:t>
      </w:r>
      <w:r>
        <w:rPr>
          <w:rFonts w:ascii="Times New Roman" w:eastAsia="Times New Roman"/>
          <w:spacing w:val="4"/>
          <w:w w:val="95"/>
          <w:sz w:val="32"/>
        </w:rPr>
        <w:t>,</w:t>
      </w:r>
      <w:r>
        <w:rPr>
          <w:spacing w:val="-4"/>
          <w:w w:val="95"/>
          <w:sz w:val="32"/>
        </w:rPr>
        <w:t>在职</w:t>
      </w:r>
    </w:p>
    <w:p>
      <w:pPr>
        <w:spacing w:after="0" w:line="261" w:lineRule="auto"/>
        <w:jc w:val="left"/>
        <w:rPr>
          <w:sz w:val="32"/>
        </w:rPr>
        <w:sectPr>
          <w:pgSz w:w="11910" w:h="16840"/>
          <w:pgMar w:header="0" w:footer="1127" w:top="1580" w:bottom="1320" w:left="14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61" w:lineRule="auto" w:before="21"/>
        <w:ind w:left="111" w:right="286"/>
        <w:jc w:val="both"/>
      </w:pPr>
      <w:r>
        <w:rPr>
          <w:spacing w:val="-10"/>
        </w:rPr>
        <w:t>责范围内依法、认真履行税收协助义务，按照源头控管、提高效</w:t>
      </w:r>
      <w:r>
        <w:rPr>
          <w:spacing w:val="-12"/>
        </w:rPr>
        <w:t>率、节约成本、减少流失的原则，积极支持、配合税务部门做好</w:t>
      </w:r>
      <w:r>
        <w:rPr>
          <w:spacing w:val="-16"/>
        </w:rPr>
        <w:t>税源监控和税费征管工作，以及相关税种和行业的税费专项治理</w:t>
      </w:r>
      <w:r>
        <w:rPr>
          <w:spacing w:val="-13"/>
        </w:rPr>
        <w:t>工作。对重大税收违法失信案件当事人，税务部门应当与有关单</w:t>
      </w:r>
      <w:r>
        <w:rPr>
          <w:spacing w:val="-17"/>
        </w:rPr>
        <w:t>位及时交换共享信息，并依法联合实施惩戒，共同促进诚信纳税</w:t>
      </w:r>
      <w:r>
        <w:rPr>
          <w:spacing w:val="-24"/>
          <w:w w:val="95"/>
        </w:rPr>
        <w:t>机制建立。</w:t>
      </w:r>
      <w:r>
        <w:rPr>
          <w:w w:val="95"/>
        </w:rPr>
        <w:t>（</w:t>
      </w:r>
      <w:r>
        <w:rPr>
          <w:rFonts w:ascii="方正楷体_GBK" w:eastAsia="方正楷体_GBK" w:hint="eastAsia"/>
          <w:b/>
          <w:spacing w:val="-5"/>
          <w:w w:val="95"/>
        </w:rPr>
        <w:t>牵头单位：</w:t>
      </w:r>
      <w:r>
        <w:rPr>
          <w:rFonts w:ascii="方正楷体_GBK" w:eastAsia="方正楷体_GBK" w:hint="eastAsia"/>
          <w:spacing w:val="-5"/>
          <w:w w:val="95"/>
        </w:rPr>
        <w:t>县税务局，</w:t>
      </w:r>
      <w:r>
        <w:rPr>
          <w:rFonts w:ascii="方正楷体_GBK" w:eastAsia="方正楷体_GBK" w:hint="eastAsia"/>
          <w:b/>
          <w:spacing w:val="-5"/>
          <w:w w:val="95"/>
        </w:rPr>
        <w:t>责任单位：</w:t>
      </w:r>
      <w:r>
        <w:rPr>
          <w:rFonts w:ascii="方正楷体_GBK" w:eastAsia="方正楷体_GBK" w:hint="eastAsia"/>
          <w:w w:val="95"/>
        </w:rPr>
        <w:t>领导小组各成员  </w:t>
      </w:r>
      <w:r>
        <w:rPr>
          <w:rFonts w:ascii="方正楷体_GBK" w:eastAsia="方正楷体_GBK" w:hint="eastAsia"/>
        </w:rPr>
        <w:t>单位</w:t>
      </w:r>
      <w:r>
        <w:rPr/>
        <w:t>）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261" w:lineRule="auto" w:before="0" w:after="0"/>
        <w:ind w:left="111" w:right="286" w:firstLine="640"/>
        <w:jc w:val="both"/>
        <w:rPr>
          <w:sz w:val="32"/>
        </w:rPr>
      </w:pPr>
      <w:r>
        <w:rPr>
          <w:b/>
          <w:spacing w:val="-5"/>
          <w:sz w:val="32"/>
        </w:rPr>
        <w:t>建立长效联席机制。</w:t>
      </w:r>
      <w:r>
        <w:rPr>
          <w:spacing w:val="-22"/>
          <w:sz w:val="32"/>
        </w:rPr>
        <w:t>每年 </w:t>
      </w:r>
      <w:r>
        <w:rPr>
          <w:rFonts w:ascii="Times New Roman" w:eastAsia="Times New Roman"/>
          <w:sz w:val="32"/>
        </w:rPr>
        <w:t>1</w:t>
      </w:r>
      <w:r>
        <w:rPr>
          <w:rFonts w:ascii="Times New Roman" w:eastAsia="Times New Roman"/>
          <w:spacing w:val="-4"/>
          <w:sz w:val="32"/>
        </w:rPr>
        <w:t> </w:t>
      </w:r>
      <w:r>
        <w:rPr>
          <w:spacing w:val="-22"/>
          <w:sz w:val="32"/>
        </w:rPr>
        <w:t>月和 </w:t>
      </w:r>
      <w:r>
        <w:rPr>
          <w:rFonts w:ascii="Times New Roman" w:eastAsia="Times New Roman"/>
          <w:sz w:val="32"/>
        </w:rPr>
        <w:t>7</w:t>
      </w:r>
      <w:r>
        <w:rPr>
          <w:rFonts w:ascii="Times New Roman" w:eastAsia="Times New Roman"/>
          <w:spacing w:val="-4"/>
          <w:sz w:val="32"/>
        </w:rPr>
        <w:t> </w:t>
      </w:r>
      <w:r>
        <w:rPr>
          <w:sz w:val="32"/>
        </w:rPr>
        <w:t>月组织召开税收协同治</w:t>
      </w:r>
      <w:r>
        <w:rPr>
          <w:spacing w:val="-10"/>
          <w:sz w:val="32"/>
        </w:rPr>
        <w:t>理工作联席会议，由领导小组办公室通报半年运行情况，共商税</w:t>
      </w:r>
      <w:r>
        <w:rPr>
          <w:spacing w:val="-15"/>
          <w:sz w:val="32"/>
        </w:rPr>
        <w:t>费征管的难点堵点，并根据工作实际，审议新增或减少涉税信息</w:t>
      </w:r>
      <w:r>
        <w:rPr>
          <w:spacing w:val="-22"/>
          <w:w w:val="95"/>
          <w:sz w:val="32"/>
        </w:rPr>
        <w:t>共享事项。</w:t>
      </w:r>
      <w:r>
        <w:rPr>
          <w:w w:val="95"/>
          <w:sz w:val="32"/>
        </w:rPr>
        <w:t>（</w:t>
      </w:r>
      <w:r>
        <w:rPr>
          <w:rFonts w:ascii="方正楷体_GBK" w:eastAsia="方正楷体_GBK" w:hint="eastAsia"/>
          <w:b/>
          <w:spacing w:val="-5"/>
          <w:w w:val="95"/>
          <w:sz w:val="32"/>
        </w:rPr>
        <w:t>牵头单位：</w:t>
      </w:r>
      <w:r>
        <w:rPr>
          <w:rFonts w:ascii="方正楷体_GBK" w:eastAsia="方正楷体_GBK" w:hint="eastAsia"/>
          <w:spacing w:val="-3"/>
          <w:w w:val="95"/>
          <w:sz w:val="32"/>
        </w:rPr>
        <w:t>领导小组办公室，</w:t>
      </w:r>
      <w:r>
        <w:rPr>
          <w:rFonts w:ascii="方正楷体_GBK" w:eastAsia="方正楷体_GBK" w:hint="eastAsia"/>
          <w:b/>
          <w:spacing w:val="-5"/>
          <w:w w:val="95"/>
          <w:sz w:val="32"/>
        </w:rPr>
        <w:t>责任单位：</w:t>
      </w:r>
      <w:r>
        <w:rPr>
          <w:rFonts w:ascii="方正楷体_GBK" w:eastAsia="方正楷体_GBK" w:hint="eastAsia"/>
          <w:w w:val="95"/>
          <w:sz w:val="32"/>
        </w:rPr>
        <w:t>领导小组  </w:t>
      </w:r>
      <w:r>
        <w:rPr>
          <w:rFonts w:ascii="方正楷体_GBK" w:eastAsia="方正楷体_GBK" w:hint="eastAsia"/>
          <w:sz w:val="32"/>
        </w:rPr>
        <w:t>各成员单位</w:t>
      </w:r>
      <w:r>
        <w:rPr>
          <w:sz w:val="32"/>
        </w:rPr>
        <w:t>）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261" w:lineRule="auto" w:before="0" w:after="0"/>
        <w:ind w:left="111" w:right="284" w:firstLine="640"/>
        <w:jc w:val="both"/>
        <w:rPr>
          <w:sz w:val="32"/>
        </w:rPr>
      </w:pPr>
      <w:r>
        <w:rPr>
          <w:b/>
          <w:spacing w:val="-2"/>
          <w:sz w:val="32"/>
        </w:rPr>
        <w:t>加强对税收违法行为的治理。</w:t>
      </w:r>
      <w:r>
        <w:rPr>
          <w:spacing w:val="-6"/>
          <w:sz w:val="32"/>
        </w:rPr>
        <w:t>财政、审计、监察等部门对</w:t>
      </w:r>
      <w:r>
        <w:rPr>
          <w:spacing w:val="-12"/>
          <w:sz w:val="32"/>
        </w:rPr>
        <w:t>检查或者办案过程中发现税收违法行为的，要依法处理并将有关</w:t>
      </w:r>
      <w:r>
        <w:rPr>
          <w:spacing w:val="-15"/>
          <w:sz w:val="32"/>
        </w:rPr>
        <w:t>情况通报税务部门。各金融机构在收到税务机关的查封、扣押存款账户通知书后，要及时配合办理。司法、公安、财政、税务等部门要密切协作，按照各自工作职责和分工，针对清缴欠税、税</w:t>
      </w:r>
      <w:r>
        <w:rPr>
          <w:spacing w:val="-17"/>
          <w:sz w:val="32"/>
        </w:rPr>
        <w:t>源监控等涉税信息，定期进行沟通交流，联合执法，加大对涉税案件的惩治力度，严厉打击各种偷逃骗税、抗税、虚开发票等违</w:t>
      </w:r>
      <w:r>
        <w:rPr>
          <w:spacing w:val="-15"/>
          <w:sz w:val="32"/>
        </w:rPr>
        <w:t>法犯罪活动，切实有效遏制重大涉税违法案件的发生。</w:t>
      </w:r>
      <w:r>
        <w:rPr>
          <w:sz w:val="32"/>
        </w:rPr>
        <w:t>（</w:t>
      </w:r>
      <w:r>
        <w:rPr>
          <w:rFonts w:ascii="方正楷体_GBK" w:eastAsia="方正楷体_GBK" w:hint="eastAsia"/>
          <w:b/>
          <w:sz w:val="32"/>
        </w:rPr>
        <w:t>牵头单位：</w:t>
      </w:r>
      <w:r>
        <w:rPr>
          <w:rFonts w:ascii="方正楷体_GBK" w:eastAsia="方正楷体_GBK" w:hint="eastAsia"/>
          <w:sz w:val="32"/>
        </w:rPr>
        <w:t>县税务局，</w:t>
      </w:r>
      <w:r>
        <w:rPr>
          <w:rFonts w:ascii="方正楷体_GBK" w:eastAsia="方正楷体_GBK" w:hint="eastAsia"/>
          <w:b/>
          <w:sz w:val="32"/>
        </w:rPr>
        <w:t>责任单位：</w:t>
      </w:r>
      <w:r>
        <w:rPr>
          <w:rFonts w:ascii="方正楷体_GBK" w:eastAsia="方正楷体_GBK" w:hint="eastAsia"/>
          <w:sz w:val="32"/>
        </w:rPr>
        <w:t>领导小组各成员单位</w:t>
      </w:r>
      <w:r>
        <w:rPr>
          <w:sz w:val="32"/>
        </w:rPr>
        <w:t>）</w:t>
      </w:r>
    </w:p>
    <w:p>
      <w:pPr>
        <w:pStyle w:val="BodyText"/>
        <w:spacing w:line="488" w:lineRule="exact"/>
        <w:ind w:left="75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（二）建立落实税费精准服务长效机制</w:t>
      </w:r>
    </w:p>
    <w:p>
      <w:pPr>
        <w:spacing w:after="0" w:line="488" w:lineRule="exact"/>
        <w:rPr>
          <w:rFonts w:ascii="方正楷体_GBK" w:eastAsia="方正楷体_GBK" w:hint="eastAsia"/>
        </w:rPr>
        <w:sectPr>
          <w:pgSz w:w="11910" w:h="16840"/>
          <w:pgMar w:header="0" w:footer="1127" w:top="1580" w:bottom="1320" w:left="1420" w:right="1240"/>
        </w:sectPr>
      </w:pPr>
    </w:p>
    <w:p>
      <w:pPr>
        <w:pStyle w:val="BodyText"/>
        <w:rPr>
          <w:rFonts w:ascii="方正楷体_GBK"/>
          <w:sz w:val="20"/>
        </w:rPr>
      </w:pPr>
    </w:p>
    <w:p>
      <w:pPr>
        <w:pStyle w:val="BodyText"/>
        <w:spacing w:before="13"/>
        <w:rPr>
          <w:rFonts w:ascii="方正楷体_GBK"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994" w:val="left" w:leader="none"/>
        </w:tabs>
        <w:spacing w:line="261" w:lineRule="auto" w:before="25" w:after="0"/>
        <w:ind w:left="111" w:right="128" w:firstLine="640"/>
        <w:jc w:val="both"/>
        <w:rPr>
          <w:rFonts w:ascii="Times New Roman" w:eastAsia="Times New Roman"/>
          <w:sz w:val="30"/>
        </w:rPr>
      </w:pPr>
      <w:r>
        <w:rPr>
          <w:b/>
          <w:spacing w:val="-2"/>
          <w:sz w:val="32"/>
        </w:rPr>
        <w:t>抓好重点行业税源管理。</w:t>
      </w:r>
      <w:r>
        <w:rPr>
          <w:spacing w:val="-3"/>
          <w:sz w:val="32"/>
        </w:rPr>
        <w:t>完善全县税源管理信息，不断延</w:t>
      </w:r>
      <w:r>
        <w:rPr>
          <w:spacing w:val="-10"/>
          <w:sz w:val="32"/>
        </w:rPr>
        <w:t>伸、拓宽税收协同治理工作的领域，全面、准确、真实、动态地</w:t>
      </w:r>
      <w:r>
        <w:rPr>
          <w:spacing w:val="-15"/>
          <w:sz w:val="32"/>
        </w:rPr>
        <w:t>反映我县税源现状，有针对性地实施税源监控，扩大税源的有效监控管理范围，建立起全方位、多角度的税源控管新格局，最大</w:t>
      </w:r>
      <w:r>
        <w:rPr>
          <w:spacing w:val="-17"/>
          <w:sz w:val="32"/>
        </w:rPr>
        <w:t>限度地保障税收收入增长。重点抓好制造业、批发和零售、房地产业、建筑业、水力发电、现代服务等行业重点税源的科学化、</w:t>
      </w:r>
      <w:r>
        <w:rPr>
          <w:spacing w:val="-15"/>
          <w:sz w:val="32"/>
        </w:rPr>
        <w:t>精细化管理，全面掌握企业生产规模情况、经营变化情况、资金流转情况，全面分析企业销售收入变化、分析主体税收税负变化</w:t>
      </w:r>
      <w:r>
        <w:rPr>
          <w:spacing w:val="-14"/>
          <w:sz w:val="32"/>
        </w:rPr>
        <w:t>情况，切实把准重点税源，深化动态监控，把握重点税源企业发</w:t>
      </w:r>
      <w:r>
        <w:rPr>
          <w:spacing w:val="-21"/>
          <w:w w:val="95"/>
          <w:sz w:val="32"/>
        </w:rPr>
        <w:t>展趋势，提升税收分析、预测的准确性和可操作性。</w:t>
      </w:r>
      <w:r>
        <w:rPr>
          <w:w w:val="95"/>
          <w:sz w:val="32"/>
        </w:rPr>
        <w:t>（</w:t>
      </w:r>
      <w:r>
        <w:rPr>
          <w:rFonts w:ascii="方正楷体_GBK" w:eastAsia="方正楷体_GBK" w:hint="eastAsia"/>
          <w:b/>
          <w:w w:val="95"/>
          <w:sz w:val="32"/>
        </w:rPr>
        <w:t>牵头单位：  </w:t>
      </w:r>
      <w:r>
        <w:rPr>
          <w:rFonts w:ascii="方正楷体_GBK" w:eastAsia="方正楷体_GBK" w:hint="eastAsia"/>
          <w:sz w:val="32"/>
        </w:rPr>
        <w:t>县税务局，</w:t>
      </w:r>
      <w:r>
        <w:rPr>
          <w:rFonts w:ascii="方正楷体_GBK" w:eastAsia="方正楷体_GBK" w:hint="eastAsia"/>
          <w:b/>
          <w:sz w:val="32"/>
        </w:rPr>
        <w:t>责任单位：</w:t>
      </w:r>
      <w:r>
        <w:rPr>
          <w:rFonts w:ascii="方正楷体_GBK" w:eastAsia="方正楷体_GBK" w:hint="eastAsia"/>
          <w:sz w:val="32"/>
        </w:rPr>
        <w:t>领导小组各成员单位</w:t>
      </w:r>
      <w:r>
        <w:rPr>
          <w:sz w:val="32"/>
        </w:rPr>
        <w:t>）</w:t>
      </w:r>
    </w:p>
    <w:p>
      <w:pPr>
        <w:pStyle w:val="ListParagraph"/>
        <w:numPr>
          <w:ilvl w:val="0"/>
          <w:numId w:val="3"/>
        </w:numPr>
        <w:tabs>
          <w:tab w:pos="994" w:val="left" w:leader="none"/>
        </w:tabs>
        <w:spacing w:line="499" w:lineRule="exact" w:before="0" w:after="0"/>
        <w:ind w:left="993" w:right="0" w:hanging="243"/>
        <w:jc w:val="left"/>
        <w:rPr>
          <w:rFonts w:ascii="Times New Roman" w:eastAsia="Times New Roman"/>
          <w:sz w:val="30"/>
        </w:rPr>
      </w:pPr>
      <w:r>
        <w:rPr>
          <w:b/>
          <w:sz w:val="32"/>
        </w:rPr>
        <w:t>持续加大税收税费政策宣传力度</w:t>
      </w:r>
      <w:r>
        <w:rPr>
          <w:spacing w:val="-8"/>
          <w:sz w:val="32"/>
        </w:rPr>
        <w:t>。借助传统媒体及微信公</w:t>
      </w:r>
    </w:p>
    <w:p>
      <w:pPr>
        <w:pStyle w:val="BodyText"/>
        <w:spacing w:line="264" w:lineRule="auto" w:before="44"/>
        <w:ind w:left="111" w:right="173"/>
        <w:jc w:val="both"/>
        <w:rPr>
          <w:b/>
        </w:rPr>
      </w:pPr>
      <w:r>
        <w:rPr>
          <w:spacing w:val="-10"/>
        </w:rPr>
        <w:t>众号等新媒体平台，利用宣传标语、发放宣传资料、税收宣传月等多种形式，大力宣传税收税费政策，提升纳税人税法遵从度， 营造良好的社会氛围。通过组织开展税企座谈会、政策宣讲会、企业走访等活动，</w:t>
      </w:r>
      <w:r>
        <w:rPr>
          <w:rFonts w:ascii="Times New Roman" w:hAnsi="Times New Roman" w:eastAsia="Times New Roman"/>
          <w:spacing w:val="-10"/>
        </w:rPr>
        <w:t>“</w:t>
      </w:r>
      <w:r>
        <w:rPr/>
        <w:t>零距离</w:t>
      </w:r>
      <w:r>
        <w:rPr>
          <w:rFonts w:ascii="Times New Roman" w:hAnsi="Times New Roman" w:eastAsia="Times New Roman"/>
        </w:rPr>
        <w:t>”</w:t>
      </w:r>
      <w:r>
        <w:rPr>
          <w:spacing w:val="-2"/>
        </w:rPr>
        <w:t>宣传落实惠企政策，</w:t>
      </w:r>
      <w:r>
        <w:rPr>
          <w:rFonts w:ascii="Times New Roman" w:hAnsi="Times New Roman" w:eastAsia="Times New Roman"/>
          <w:spacing w:val="-11"/>
        </w:rPr>
        <w:t>“</w:t>
      </w:r>
      <w:r>
        <w:rPr/>
        <w:t>实打实</w:t>
      </w:r>
      <w:r>
        <w:rPr>
          <w:rFonts w:ascii="Times New Roman" w:hAnsi="Times New Roman" w:eastAsia="Times New Roman"/>
        </w:rPr>
        <w:t>”</w:t>
      </w:r>
      <w:r>
        <w:rPr/>
        <w:t>解决企</w:t>
      </w:r>
      <w:r>
        <w:rPr>
          <w:spacing w:val="-11"/>
        </w:rPr>
        <w:t>业发展难题，切实提高税费政策精准化宣传。持续开展正反典型</w:t>
      </w:r>
      <w:r>
        <w:rPr>
          <w:spacing w:val="-25"/>
        </w:rPr>
        <w:t>宣传教育，以案说法，教育广大纳税人，震慑违法犯罪分子。</w:t>
      </w:r>
      <w:r>
        <w:rPr>
          <w:b/>
        </w:rPr>
        <w:t>（</w:t>
      </w:r>
      <w:r>
        <w:rPr>
          <w:rFonts w:ascii="方正楷体_GBK" w:hAnsi="方正楷体_GBK" w:eastAsia="方正楷体_GBK" w:hint="eastAsia"/>
          <w:b/>
        </w:rPr>
        <w:t>牵</w:t>
      </w:r>
      <w:r>
        <w:rPr>
          <w:rFonts w:ascii="方正楷体_GBK" w:hAnsi="方正楷体_GBK" w:eastAsia="方正楷体_GBK" w:hint="eastAsia"/>
          <w:b/>
          <w:spacing w:val="-7"/>
        </w:rPr>
        <w:t>头单位：</w:t>
      </w:r>
      <w:r>
        <w:rPr>
          <w:rFonts w:ascii="方正楷体_GBK" w:hAnsi="方正楷体_GBK" w:eastAsia="方正楷体_GBK" w:hint="eastAsia"/>
          <w:spacing w:val="-6"/>
        </w:rPr>
        <w:t>县税务局，</w:t>
      </w:r>
      <w:r>
        <w:rPr>
          <w:rFonts w:ascii="方正楷体_GBK" w:hAnsi="方正楷体_GBK" w:eastAsia="方正楷体_GBK" w:hint="eastAsia"/>
          <w:b/>
          <w:spacing w:val="-5"/>
        </w:rPr>
        <w:t>责任单位：</w:t>
      </w:r>
      <w:r>
        <w:rPr>
          <w:rFonts w:ascii="方正楷体_GBK" w:hAnsi="方正楷体_GBK" w:eastAsia="方正楷体_GBK" w:hint="eastAsia"/>
          <w:spacing w:val="-5"/>
        </w:rPr>
        <w:t>县委宣传部，</w:t>
      </w:r>
      <w:r>
        <w:rPr>
          <w:rFonts w:ascii="方正楷体_GBK" w:hAnsi="方正楷体_GBK" w:eastAsia="方正楷体_GBK" w:hint="eastAsia"/>
          <w:b/>
          <w:spacing w:val="-5"/>
        </w:rPr>
        <w:t>配合单位：</w:t>
      </w:r>
      <w:r>
        <w:rPr>
          <w:rFonts w:ascii="方正楷体_GBK" w:hAnsi="方正楷体_GBK" w:eastAsia="方正楷体_GBK" w:hint="eastAsia"/>
        </w:rPr>
        <w:t>领导小组各成员单位</w:t>
      </w:r>
      <w:r>
        <w:rPr>
          <w:b/>
        </w:rPr>
        <w:t>）</w:t>
      </w:r>
    </w:p>
    <w:p>
      <w:pPr>
        <w:pStyle w:val="BodyText"/>
        <w:spacing w:line="481" w:lineRule="exact"/>
        <w:ind w:left="75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六、工作要求</w:t>
      </w:r>
    </w:p>
    <w:p>
      <w:pPr>
        <w:pStyle w:val="BodyText"/>
        <w:spacing w:before="54"/>
        <w:ind w:left="751"/>
      </w:pPr>
      <w:r>
        <w:rPr>
          <w:rFonts w:ascii="方正楷体_GBK" w:eastAsia="方正楷体_GBK" w:hint="eastAsia"/>
        </w:rPr>
        <w:t>（一）提高思想认识。</w:t>
      </w:r>
      <w:r>
        <w:rPr/>
        <w:t>各成员单位要提高思想认识，从大局</w:t>
      </w:r>
    </w:p>
    <w:p>
      <w:pPr>
        <w:spacing w:after="0"/>
        <w:sectPr>
          <w:footerReference w:type="even" r:id="rId10"/>
          <w:footerReference w:type="default" r:id="rId11"/>
          <w:pgSz w:w="11910" w:h="16840"/>
          <w:pgMar w:footer="1127" w:header="0" w:top="1580" w:bottom="1320" w:left="1420" w:right="1240"/>
          <w:pgNumType w:start="1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61" w:lineRule="auto" w:before="21"/>
        <w:ind w:left="111" w:right="173"/>
        <w:jc w:val="both"/>
      </w:pPr>
      <w:r>
        <w:rPr/>
        <w:t>和全局高度出发，充分认识税收协同治理工作在保障税收收入、</w:t>
      </w:r>
      <w:r>
        <w:rPr>
          <w:spacing w:val="-10"/>
        </w:rPr>
        <w:t>规范税收秩序，助力经济社会高质量发展方面的重要意义，找准</w:t>
      </w:r>
      <w:r>
        <w:rPr>
          <w:spacing w:val="-14"/>
        </w:rPr>
        <w:t>工作定位，充分发挥自身职能优势，以高度的责任感和使命感抓好工作落实。</w:t>
      </w:r>
    </w:p>
    <w:p>
      <w:pPr>
        <w:pStyle w:val="BodyText"/>
        <w:spacing w:line="261" w:lineRule="auto"/>
        <w:ind w:left="111" w:right="286" w:firstLine="640"/>
        <w:jc w:val="both"/>
      </w:pPr>
      <w:r>
        <w:rPr>
          <w:rFonts w:ascii="方正楷体_GBK" w:eastAsia="方正楷体_GBK" w:hint="eastAsia"/>
        </w:rPr>
        <w:t>（二</w:t>
      </w:r>
      <w:r>
        <w:rPr>
          <w:rFonts w:ascii="方正楷体_GBK" w:eastAsia="方正楷体_GBK" w:hint="eastAsia"/>
          <w:spacing w:val="-39"/>
        </w:rPr>
        <w:t>）</w:t>
      </w:r>
      <w:r>
        <w:rPr>
          <w:rFonts w:ascii="方正楷体_GBK" w:eastAsia="方正楷体_GBK" w:hint="eastAsia"/>
          <w:spacing w:val="-5"/>
        </w:rPr>
        <w:t>强化涉税信息管理。</w:t>
      </w:r>
      <w:r>
        <w:rPr>
          <w:spacing w:val="-4"/>
        </w:rPr>
        <w:t>各成员单位要严格落实《云南省</w:t>
      </w:r>
      <w:r>
        <w:rPr>
          <w:spacing w:val="-12"/>
        </w:rPr>
        <w:t>税收征管保障办法》有关要求，及时交换、提供准确、真实、完</w:t>
      </w:r>
      <w:r>
        <w:rPr>
          <w:spacing w:val="-14"/>
        </w:rPr>
        <w:t>整的涉税信息。税务部门及各有关部门要依法收集、管理和使用涉税信息，依法保护纳税人、缴费人和扣缴义务人的商业秘密和</w:t>
      </w:r>
      <w:r>
        <w:rPr>
          <w:spacing w:val="-15"/>
        </w:rPr>
        <w:t>个人隐私，不得违法向社会公开涉税信息，不得将涉税信息用于损害企业、单位或者个人利益的活动。</w:t>
      </w:r>
    </w:p>
    <w:p>
      <w:pPr>
        <w:pStyle w:val="BodyText"/>
        <w:spacing w:line="261" w:lineRule="auto"/>
        <w:ind w:left="111" w:right="290" w:firstLine="640"/>
        <w:jc w:val="both"/>
      </w:pPr>
      <w:r>
        <w:rPr>
          <w:rFonts w:ascii="方正楷体_GBK" w:eastAsia="方正楷体_GBK" w:hint="eastAsia"/>
          <w:w w:val="95"/>
        </w:rPr>
        <w:t>（三</w:t>
      </w:r>
      <w:r>
        <w:rPr>
          <w:rFonts w:ascii="方正楷体_GBK" w:eastAsia="方正楷体_GBK" w:hint="eastAsia"/>
          <w:spacing w:val="-58"/>
          <w:w w:val="95"/>
        </w:rPr>
        <w:t>）</w:t>
      </w:r>
      <w:r>
        <w:rPr>
          <w:rFonts w:ascii="方正楷体_GBK" w:eastAsia="方正楷体_GBK" w:hint="eastAsia"/>
          <w:spacing w:val="-8"/>
          <w:w w:val="95"/>
        </w:rPr>
        <w:t>建立联络员制度。</w:t>
      </w:r>
      <w:r>
        <w:rPr>
          <w:w w:val="95"/>
        </w:rPr>
        <w:t>各成员单位按照本方案中的职责分 </w:t>
      </w:r>
      <w:r>
        <w:rPr>
          <w:spacing w:val="-12"/>
        </w:rPr>
        <w:t>工，做好相关工作统筹和细化，明确一名责任心强、业务精的骨</w:t>
      </w:r>
      <w:r>
        <w:rPr>
          <w:spacing w:val="-16"/>
        </w:rPr>
        <w:t>干作为本单位联络员，具体负责本单位税收协同治理信息资料的</w:t>
      </w:r>
      <w:r>
        <w:rPr>
          <w:spacing w:val="-11"/>
        </w:rPr>
        <w:t>收集、整理、报送和日常联系，并于 </w:t>
      </w:r>
      <w:r>
        <w:rPr>
          <w:rFonts w:ascii="Times New Roman" w:eastAsia="Times New Roman"/>
        </w:rPr>
        <w:t>2023</w:t>
      </w:r>
      <w:r>
        <w:rPr>
          <w:rFonts w:ascii="Times New Roman" w:eastAsia="Times New Roman"/>
          <w:spacing w:val="-2"/>
        </w:rPr>
        <w:t> </w:t>
      </w:r>
      <w:r>
        <w:rPr>
          <w:spacing w:val="-33"/>
        </w:rPr>
        <w:t>年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-2"/>
        </w:rPr>
        <w:t> </w:t>
      </w:r>
      <w:r>
        <w:rPr>
          <w:spacing w:val="-32"/>
        </w:rPr>
        <w:t>月 </w:t>
      </w:r>
      <w:r>
        <w:rPr>
          <w:rFonts w:ascii="Times New Roman" w:eastAsia="Times New Roman"/>
        </w:rPr>
        <w:t>19</w:t>
      </w:r>
      <w:r>
        <w:rPr>
          <w:rFonts w:ascii="Times New Roman" w:eastAsia="Times New Roman"/>
          <w:spacing w:val="-2"/>
        </w:rPr>
        <w:t> </w:t>
      </w:r>
      <w:r>
        <w:rPr>
          <w:spacing w:val="-32"/>
        </w:rPr>
        <w:t>日 </w:t>
      </w:r>
      <w:r>
        <w:rPr>
          <w:rFonts w:ascii="Times New Roman" w:eastAsia="Times New Roman"/>
        </w:rPr>
        <w:t>17:00</w:t>
      </w:r>
      <w:r>
        <w:rPr>
          <w:rFonts w:ascii="Times New Roman" w:eastAsia="Times New Roman"/>
          <w:spacing w:val="-2"/>
        </w:rPr>
        <w:t> </w:t>
      </w:r>
      <w:r>
        <w:rPr/>
        <w:t>前</w:t>
      </w:r>
    </w:p>
    <w:p>
      <w:pPr>
        <w:pStyle w:val="BodyText"/>
        <w:spacing w:line="261" w:lineRule="auto"/>
        <w:ind w:left="111" w:right="290"/>
        <w:jc w:val="both"/>
      </w:pPr>
      <w:r>
        <w:rPr>
          <w:spacing w:val="-5"/>
        </w:rPr>
        <w:t>将本单位分管领导及联络员名单</w:t>
      </w:r>
      <w:r>
        <w:rPr/>
        <w:t>（</w:t>
      </w:r>
      <w:r>
        <w:rPr>
          <w:spacing w:val="-14"/>
        </w:rPr>
        <w:t>按照附件 </w:t>
      </w:r>
      <w:r>
        <w:rPr>
          <w:rFonts w:ascii="Times New Roman" w:eastAsia="Times New Roman"/>
        </w:rPr>
        <w:t>2 </w:t>
      </w:r>
      <w:r>
        <w:rPr/>
        <w:t>信息要求</w:t>
      </w:r>
      <w:r>
        <w:rPr>
          <w:spacing w:val="-58"/>
        </w:rPr>
        <w:t>）</w:t>
      </w:r>
      <w:r>
        <w:rPr/>
        <w:t>通过电</w:t>
      </w:r>
      <w:r>
        <w:rPr>
          <w:spacing w:val="-3"/>
        </w:rPr>
        <w:t>子公文系统报领导小组办公室</w:t>
      </w:r>
      <w:r>
        <w:rPr/>
        <w:t>（县税务局</w:t>
      </w:r>
      <w:r>
        <w:rPr>
          <w:spacing w:val="-39"/>
        </w:rPr>
        <w:t>）</w:t>
      </w:r>
      <w:r>
        <w:rPr>
          <w:spacing w:val="-7"/>
        </w:rPr>
        <w:t>。分管领导和联络员</w:t>
      </w:r>
      <w:r>
        <w:rPr>
          <w:spacing w:val="-15"/>
        </w:rPr>
        <w:t>发生变化的单位，应在 </w:t>
      </w:r>
      <w:r>
        <w:rPr>
          <w:rFonts w:ascii="Times New Roman" w:eastAsia="Times New Roman"/>
        </w:rPr>
        <w:t>5 </w:t>
      </w:r>
      <w:r>
        <w:rPr>
          <w:spacing w:val="-4"/>
        </w:rPr>
        <w:t>日内向领导小组办公室</w:t>
      </w:r>
      <w:r>
        <w:rPr/>
        <w:t>（县税务局</w:t>
      </w:r>
      <w:r>
        <w:rPr>
          <w:spacing w:val="-36"/>
        </w:rPr>
        <w:t>）</w:t>
      </w:r>
      <w:r>
        <w:rPr>
          <w:spacing w:val="-11"/>
        </w:rPr>
        <w:t>报</w:t>
      </w:r>
      <w:r>
        <w:rPr/>
        <w:t>备，做好工作交接。</w:t>
      </w:r>
    </w:p>
    <w:p>
      <w:pPr>
        <w:pStyle w:val="BodyText"/>
        <w:spacing w:line="261" w:lineRule="auto"/>
        <w:ind w:left="111" w:right="290" w:firstLine="640"/>
        <w:jc w:val="both"/>
      </w:pPr>
      <w:r>
        <w:rPr>
          <w:rFonts w:ascii="方正楷体_GBK" w:eastAsia="方正楷体_GBK" w:hint="eastAsia"/>
        </w:rPr>
        <w:t>（四</w:t>
      </w:r>
      <w:r>
        <w:rPr>
          <w:rFonts w:ascii="方正楷体_GBK" w:eastAsia="方正楷体_GBK" w:hint="eastAsia"/>
          <w:spacing w:val="-58"/>
        </w:rPr>
        <w:t>）</w:t>
      </w:r>
      <w:r>
        <w:rPr>
          <w:rFonts w:ascii="方正楷体_GBK" w:eastAsia="方正楷体_GBK" w:hint="eastAsia"/>
          <w:spacing w:val="-8"/>
        </w:rPr>
        <w:t>严格督导考核。</w:t>
      </w:r>
      <w:r>
        <w:rPr>
          <w:spacing w:val="-1"/>
        </w:rPr>
        <w:t>县政府督查室及领导小组办公室将通</w:t>
      </w:r>
      <w:r>
        <w:rPr>
          <w:spacing w:val="-9"/>
        </w:rPr>
        <w:t>过开展专项检查和定期通报等方式，加强对各成员单位协同共治</w:t>
      </w:r>
      <w:r>
        <w:rPr>
          <w:spacing w:val="-10"/>
        </w:rPr>
        <w:t>工作的监督检查和评估总结，并报领导小组纳入政府综合绩效考</w:t>
      </w:r>
      <w:r>
        <w:rPr>
          <w:spacing w:val="-11"/>
        </w:rPr>
        <w:t>核，对未及时准确传递涉税信息或者未提供税收协助的单位，将</w:t>
      </w:r>
    </w:p>
    <w:p>
      <w:pPr>
        <w:spacing w:after="0" w:line="261" w:lineRule="auto"/>
        <w:jc w:val="both"/>
        <w:sectPr>
          <w:pgSz w:w="11910" w:h="16840"/>
          <w:pgMar w:header="0" w:footer="1127" w:top="1580" w:bottom="1320" w:left="14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61" w:lineRule="auto" w:before="21"/>
        <w:ind w:left="111" w:right="173"/>
      </w:pPr>
      <w:r>
        <w:rPr/>
        <w:t>予以通报批评，并报领导小组研究考核；对工作不力，影响税收及时足额入库，造成国家税款流失的，依法依规追究法律责任。</w:t>
      </w:r>
    </w:p>
    <w:p>
      <w:pPr>
        <w:pStyle w:val="BodyText"/>
        <w:spacing w:before="13"/>
        <w:rPr>
          <w:sz w:val="34"/>
        </w:rPr>
      </w:pPr>
    </w:p>
    <w:p>
      <w:pPr>
        <w:pStyle w:val="BodyText"/>
        <w:ind w:left="751"/>
      </w:pPr>
      <w:r>
        <w:rPr/>
        <w:t>附件：</w:t>
      </w:r>
      <w:r>
        <w:rPr>
          <w:rFonts w:ascii="Times New Roman" w:eastAsia="Times New Roman"/>
        </w:rPr>
        <w:t>1.</w:t>
      </w:r>
      <w:r>
        <w:rPr/>
        <w:t>涉税信息交换责任分工表</w:t>
      </w:r>
    </w:p>
    <w:p>
      <w:pPr>
        <w:pStyle w:val="BodyText"/>
        <w:spacing w:before="44"/>
        <w:ind w:left="1712"/>
      </w:pPr>
      <w:r>
        <w:rPr>
          <w:rFonts w:ascii="Times New Roman" w:eastAsia="Times New Roman"/>
        </w:rPr>
        <w:t>2.</w:t>
      </w:r>
      <w:r>
        <w:rPr/>
        <w:t>盈江县税收协同治理联络员名单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8"/>
        <w:rPr>
          <w:sz w:val="43"/>
        </w:rPr>
      </w:pPr>
    </w:p>
    <w:p>
      <w:pPr>
        <w:spacing w:line="213" w:lineRule="auto" w:before="0"/>
        <w:ind w:left="1587" w:right="288" w:hanging="840"/>
        <w:jc w:val="both"/>
        <w:rPr>
          <w:sz w:val="28"/>
        </w:rPr>
      </w:pPr>
      <w:r>
        <w:rPr>
          <w:sz w:val="28"/>
        </w:rPr>
        <w:t>抄送：县政府办、县政协办、县委宣传部，县发展和改革局、县工业和商务科技局、县教育体育局、县公安局、县民政局、县司法局、县财政局、县人力资源和社会保障局、县自然资源局、县住房和城乡建设局、县交通运输局、县农业农村局、县水利局、县文化和旅游局、县卫生健康局、县退役军人事务局、县应急管理局、县政府外事办公室、县市管局、县林业和草原局、县统计局、县医疗保障局、县乡村振兴局、县政务服务管理局、县搬迁安置办公室、县投资促进局、县人民法院、县总工会、县工商联、县残联，州生态环境局盈江分局、县审计局、县税务局、盈江海关、德宏州住房公积金管理中心盈江管理部、县道路运输管理局、人行盈江支行、县烟草专卖局、盈江供电局</w:t>
      </w:r>
    </w:p>
    <w:sectPr>
      <w:pgSz w:w="11910" w:h="16840"/>
      <w:pgMar w:header="0" w:footer="1127" w:top="1580" w:bottom="1320" w:left="14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_GBK">
    <w:altName w:val="方正小标宋_GBK"/>
    <w:charset w:val="86"/>
    <w:family w:val="script"/>
    <w:pitch w:val="fixed"/>
  </w:font>
  <w:font w:name="宋体">
    <w:altName w:val="宋体"/>
    <w:charset w:val="86"/>
    <w:family w:val="auto"/>
    <w:pitch w:val="variable"/>
  </w:font>
  <w:font w:name="方正黑体_GBK">
    <w:altName w:val="方正黑体_GBK"/>
    <w:charset w:val="86"/>
    <w:family w:val="script"/>
    <w:pitch w:val="fixed"/>
  </w:font>
  <w:font w:name="方正楷体_GBK">
    <w:altName w:val="方正楷体_GBK"/>
    <w:charset w:val="86"/>
    <w:family w:val="script"/>
    <w:pitch w:val="fixed"/>
  </w:font>
  <w:font w:name="方正仿宋_GBK">
    <w:altName w:val="方正仿宋_GBK"/>
    <w:charset w:val="86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1.119995pt;margin-top:774.555786pt;width:28.55pt;height:19.7pt;mso-position-horizontal-relative:page;mso-position-vertical-relative:page;z-index:-251905024" type="#_x0000_t202" filled="false" stroked="false">
          <v:textbox inset="0,0,0,0">
            <w:txbxContent>
              <w:p>
                <w:pPr>
                  <w:pStyle w:val="BodyText"/>
                  <w:spacing w:before="5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5.558998pt;margin-top:774.555786pt;width:28.6pt;height:19.7pt;mso-position-horizontal-relative:page;mso-position-vertical-relative:page;z-index:-251904000" type="#_x0000_t202" filled="false" stroked="false">
          <v:textbox inset="0,0,0,0">
            <w:txbxContent>
              <w:p>
                <w:pPr>
                  <w:pStyle w:val="BodyText"/>
                  <w:spacing w:before="5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5.558998pt;margin-top:774.555786pt;width:36.6pt;height:19.7pt;mso-position-horizontal-relative:page;mso-position-vertical-relative:page;z-index:-251902976" type="#_x0000_t202" filled="false" stroked="false">
          <v:textbox inset="0,0,0,0">
            <w:txbxContent>
              <w:p>
                <w:pPr>
                  <w:pStyle w:val="BodyText"/>
                  <w:spacing w:before="5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3.679993pt;margin-top:774.555786pt;width:36pt;height:19.7pt;mso-position-horizontal-relative:page;mso-position-vertical-relative:page;z-index:-251901952" type="#_x0000_t202" filled="false" stroked="false">
          <v:textbox inset="0,0,0,0">
            <w:txbxContent>
              <w:p>
                <w:pPr>
                  <w:pStyle w:val="BodyText"/>
                  <w:spacing w:before="5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11" w:hanging="242"/>
        <w:jc w:val="left"/>
      </w:pPr>
      <w:rPr>
        <w:rFonts w:hint="default"/>
        <w:b/>
        <w:bCs/>
        <w:spacing w:val="-1"/>
        <w:w w:val="9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60" w:hanging="24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69" w:hanging="24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579" w:hanging="24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388" w:hanging="24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98" w:hanging="24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07" w:hanging="24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817" w:hanging="24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626" w:hanging="242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1" w:hanging="242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32" w:hanging="24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45" w:hanging="24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57" w:hanging="24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770" w:hanging="24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83" w:hanging="24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95" w:hanging="24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08" w:hanging="24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20" w:hanging="242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1" w:hanging="242"/>
        <w:jc w:val="left"/>
      </w:pPr>
      <w:rPr>
        <w:rFonts w:hint="default"/>
        <w:spacing w:val="-1"/>
        <w:w w:val="9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32" w:hanging="24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45" w:hanging="24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57" w:hanging="24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770" w:hanging="24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83" w:hanging="24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95" w:hanging="24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08" w:hanging="24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20" w:hanging="242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仿宋_GBK" w:hAnsi="方正仿宋_GBK" w:eastAsia="方正仿宋_GBK" w:cs="方正仿宋_GBK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229" w:right="409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11" w:right="286" w:firstLine="640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NO</dc:title>
  <dcterms:created xsi:type="dcterms:W3CDTF">2023-05-12T03:09:58Z</dcterms:created>
  <dcterms:modified xsi:type="dcterms:W3CDTF">2023-05-12T03:09:58Z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2023-05-12T00:00:00Z</vt:filetime>
  </property>
</Properties>
</file>