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asci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2" o:spt="1" alt="lskY7P30+39SSS2ze3CC/H81qQozgrEKOrinUKXiLH+Tfo2PijewLEvnDEFMGPR09kolaDIFH8+XdQf0U1EBVzFEAnUgqy0wt5zoCuNYnOxPvJUvSmyPIAJZADaVngYupJHHUTtN4E3XsTLQuPNpabD3njnFz3NUOzyzz5pWEmIhNpxxjaAjOqsRQuJMH6oLgXLXDYggXJk8KJ8yIL9CsNvK0SyDJ2Q9BlpiiNXWqZc3H7p+GynwAfuN7tKj0E/7B+ray++rlkcSpwNGGKTz8BwCYrC7Rdu+PrQbjf61CYE2h1/fDEnIjWFdefd/udNjxDJvYF/PW+JQpoHyMU6WIn5ntgtyLp+YyCzjPtwQmYwFiKhfG16H7gV39TRfGqq4Qt0OTp7mUNSmo/b6QrD6MARMWapagTddQTg75W7jTb8Sl7jp2gaRt+zgey+IAaJmPWm9p3R99LhG7BJ+3YwWfqbWH/My6UsSNoXVoJvk4PNwmR3IgPNcb20vzTy8xPxFhwUQNOpmkqSH+rwljHR9p+X83eUdjTIA0H0hIO+0WiqSZgMWeHeTWY5eel3GQfbJ5TEtQD2UiHCamTLObloCisXdJcUwhYsOUHr6pNCBNRfjpa+ABzWHcTkR7XK1jFAjah/PGezuoRudLIjko1icRRTt+WV/vNp5IoDcAGEDScfSZgm7KC90CC2qcFtREdMmJY57FGIOjr1NsgcxKmuhoxKBgWovnlbCgCKDT6Aeftt91d4TX+3RxonjKyMyXg0BN9wPcXaCZ038Mq6Pl8ObF73XDQPnI4LmAzS1rQrauyQsytAqbtMPXQSnGSmfot74rOXOmH1KumZwFfXzojxT5bsoBnUSQfxKg7G/vOUxliHmuGSJU4WCuBRZxjgFx/t6Yk9QbSKCLYPTnu6rqHSpy4eiNMVQHxhagk1rbbgDt4Bi45Zg+Hl0/jBC7PVe/azjPTcIV1R3DJWL9a4QtygQbQ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  <w:r>
        <w:pict>
          <v:shape id="_x0000_s1026" o:spid="_x0000_s1026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hint="default" w:ascii="Times New Roman" w:hAnsi="Times New Roman" w:cs="Times New Roman"/>
          <w:sz w:val="44"/>
          <w:szCs w:val="44"/>
        </w:rPr>
      </w:pPr>
    </w:p>
    <w:p>
      <w:pPr>
        <w:spacing w:line="160" w:lineRule="exact"/>
        <w:rPr>
          <w:rFonts w:hint="default" w:ascii="Times New Roman" w:hAnsi="Times New Roman" w:cs="Times New Roman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盈财预分指〔2018〕53号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2018年部门预算批复的通知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盈江县民政局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spacing w:line="600" w:lineRule="exact"/>
        <w:ind w:firstLine="57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盈江县2018年财政预算已经县第十七届人民代表大会第二次会议审查批准。根据《中华人民共和国预算法》、《云南省预算审查监督条例》的规定，现将2018年部门收支预算数批复给你单位：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年你单位收入预算数为</w:t>
      </w:r>
      <w:bookmarkStart w:id="1" w:name="SumCol"/>
      <w:r>
        <w:rPr>
          <w:rFonts w:eastAsia="方正仿宋_GBK"/>
          <w:sz w:val="32"/>
          <w:szCs w:val="32"/>
        </w:rPr>
        <w:t>2,227.95</w:t>
      </w:r>
      <w:bookmarkEnd w:id="1"/>
      <w:r>
        <w:rPr>
          <w:rFonts w:hint="eastAsia" w:eastAsia="方正仿宋_GBK"/>
          <w:sz w:val="32"/>
          <w:szCs w:val="32"/>
        </w:rPr>
        <w:t>万元，其中：本级财力安排</w:t>
      </w:r>
      <w:r>
        <w:rPr>
          <w:rFonts w:eastAsia="方正仿宋_GBK"/>
          <w:sz w:val="32"/>
          <w:szCs w:val="32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2,227.95</w:t>
      </w:r>
      <w:bookmarkEnd w:id="2"/>
      <w:r>
        <w:rPr>
          <w:rFonts w:hint="eastAsia" w:eastAsia="方正仿宋_GBK"/>
          <w:sz w:val="32"/>
          <w:szCs w:val="32"/>
        </w:rPr>
        <w:t>万元。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2,227.95</w:t>
      </w:r>
      <w:bookmarkEnd w:id="3"/>
      <w:r>
        <w:rPr>
          <w:rFonts w:hint="eastAsia" w:eastAsia="方正仿宋_GBK"/>
          <w:sz w:val="32"/>
          <w:szCs w:val="32"/>
        </w:rPr>
        <w:t>万元，其中：本级财力安排</w:t>
      </w:r>
      <w:bookmarkStart w:id="4" w:name="OutCol014"/>
      <w:r>
        <w:rPr>
          <w:rFonts w:eastAsia="方正仿宋_GBK"/>
          <w:sz w:val="32"/>
          <w:szCs w:val="32"/>
        </w:rPr>
        <w:t>2,227.95</w:t>
      </w:r>
      <w:bookmarkEnd w:id="4"/>
      <w:r>
        <w:rPr>
          <w:rFonts w:hint="eastAsia"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1,849.16</w:t>
      </w:r>
      <w:bookmarkEnd w:id="5"/>
      <w:r>
        <w:rPr>
          <w:rFonts w:hint="eastAsia"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378.79</w:t>
      </w:r>
      <w:bookmarkEnd w:id="6"/>
      <w:r>
        <w:rPr>
          <w:rFonts w:hint="eastAsia" w:eastAsia="方正仿宋_GBK"/>
          <w:sz w:val="32"/>
          <w:szCs w:val="32"/>
        </w:rPr>
        <w:t>万元）。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具体收支预算详见附表。</w:t>
      </w:r>
    </w:p>
    <w:p>
      <w:pPr>
        <w:spacing w:line="600" w:lineRule="exact"/>
        <w:ind w:firstLine="464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5280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31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hint="eastAsia" w:eastAsia="方正仿宋_GBK"/>
          <w:sz w:val="32"/>
          <w:szCs w:val="32"/>
        </w:rPr>
        <w:t>盈江县财政局</w:t>
      </w:r>
    </w:p>
    <w:p>
      <w:pPr>
        <w:spacing w:line="600" w:lineRule="exact"/>
        <w:ind w:firstLine="496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eastAsia="方正仿宋_GBK"/>
          <w:sz w:val="32"/>
          <w:szCs w:val="32"/>
        </w:rPr>
      </w:pPr>
    </w:p>
    <w:p>
      <w:pPr>
        <w:spacing w:line="520" w:lineRule="exact"/>
        <w:rPr>
          <w:rFonts w:hAnsi="方正仿宋_GBK" w:eastAsia="方正仿宋_GBK"/>
          <w:sz w:val="32"/>
          <w:szCs w:val="32"/>
        </w:rPr>
      </w:pPr>
      <w:r>
        <w:pict>
          <v:line id="_x0000_s1027" o:spid="_x0000_s1027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8" o:spid="_x0000_s1028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hAnsi="方正仿宋_GBK" w:eastAsia="方正仿宋_GBK"/>
          <w:sz w:val="32"/>
          <w:szCs w:val="32"/>
        </w:rPr>
        <w:t>盈江县财政局</w:t>
      </w:r>
      <w:r>
        <w:rPr>
          <w:rFonts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2018</w:t>
      </w:r>
      <w:r>
        <w:rPr>
          <w:rFonts w:hint="eastAsia" w:hAnsi="方正仿宋_GBK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hAnsi="方正仿宋_GBK" w:eastAsia="方正仿宋_GBK"/>
          <w:sz w:val="32"/>
          <w:szCs w:val="32"/>
        </w:rPr>
        <w:t>月</w:t>
      </w:r>
      <w:r>
        <w:rPr>
          <w:rFonts w:hAnsi="方正仿宋_GBK" w:eastAsia="方正仿宋_GBK"/>
          <w:sz w:val="32"/>
          <w:szCs w:val="32"/>
        </w:rPr>
        <w:t>6</w:t>
      </w:r>
      <w:r>
        <w:rPr>
          <w:rFonts w:hint="eastAsia"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37A09D43-D226-4467-9846-BA58C0A65A51}"/>
    <w:docVar w:name="DocumentName" w:val="盈财预分指〔2018〕53号（民政局）"/>
  </w:docVars>
  <w:rsids>
    <w:rsidRoot w:val="00615713"/>
    <w:rsid w:val="000A3A7F"/>
    <w:rsid w:val="00365EA7"/>
    <w:rsid w:val="00570873"/>
    <w:rsid w:val="00615713"/>
    <w:rsid w:val="00FC7E54"/>
    <w:rsid w:val="1D2562A8"/>
    <w:rsid w:val="3B5E48C0"/>
    <w:rsid w:val="42AA3E37"/>
    <w:rsid w:val="45D432CF"/>
    <w:rsid w:val="69E8228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Header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Date Char"/>
    <w:basedOn w:val="5"/>
    <w:link w:val="2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6"/>
    <customShpInfo spid="_x0000_s1031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55</Words>
  <Characters>318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2019-01-28T02:28:12Z</dcterms:modified>
  <dc:title>为加强财务管理，确保资金安全及会计信息的真实完整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