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highlight w:val="none"/>
        </w:rPr>
      </w:pPr>
    </w:p>
    <w:p>
      <w:pPr>
        <w:rPr>
          <w:color w:val="FF0000"/>
          <w:sz w:val="32"/>
          <w:szCs w:val="32"/>
          <w:highlight w:val="none"/>
        </w:rPr>
      </w:pPr>
    </w:p>
    <w:p>
      <w:pPr>
        <w:spacing w:line="600" w:lineRule="exact"/>
        <w:ind w:firstLine="105" w:firstLineChars="50"/>
        <w:rPr>
          <w:highlight w:val="none"/>
        </w:rPr>
      </w:pPr>
    </w:p>
    <w:p>
      <w:pPr>
        <w:jc w:val="center"/>
        <w:rPr>
          <w:rFonts w:eastAsia="方正仿宋_GBK"/>
          <w:sz w:val="32"/>
          <w:szCs w:val="32"/>
          <w:highlight w:val="none"/>
        </w:rPr>
      </w:pPr>
      <w:r>
        <w:rPr>
          <w:rFonts w:hint="eastAsia" w:eastAsia="方正仿宋_GBK"/>
          <w:sz w:val="32"/>
          <w:szCs w:val="32"/>
          <w:highlight w:val="none"/>
        </w:rPr>
        <w:t>盈环审〔</w:t>
      </w:r>
      <w:r>
        <w:rPr>
          <w:rFonts w:eastAsia="方正仿宋_GBK"/>
          <w:sz w:val="32"/>
          <w:szCs w:val="32"/>
          <w:highlight w:val="none"/>
        </w:rPr>
        <w:t>201</w:t>
      </w:r>
      <w:r>
        <w:rPr>
          <w:rFonts w:hint="eastAsia" w:eastAsia="方正仿宋_GBK"/>
          <w:sz w:val="32"/>
          <w:szCs w:val="32"/>
          <w:highlight w:val="none"/>
          <w:lang w:val="en-US" w:eastAsia="zh-CN"/>
        </w:rPr>
        <w:t>9</w:t>
      </w:r>
      <w:r>
        <w:rPr>
          <w:rFonts w:hint="eastAsia" w:eastAsia="方正仿宋_GBK"/>
          <w:sz w:val="32"/>
          <w:szCs w:val="32"/>
          <w:highlight w:val="none"/>
        </w:rPr>
        <w:t>〕</w:t>
      </w:r>
      <w:r>
        <w:rPr>
          <w:rFonts w:hint="eastAsia" w:eastAsia="方正仿宋_GBK"/>
          <w:sz w:val="32"/>
          <w:szCs w:val="32"/>
          <w:highlight w:val="none"/>
          <w:lang w:val="en-US" w:eastAsia="zh-CN"/>
        </w:rPr>
        <w:t>11</w:t>
      </w:r>
      <w:r>
        <w:rPr>
          <w:rFonts w:hint="eastAsia" w:eastAsia="方正仿宋_GBK"/>
          <w:sz w:val="32"/>
          <w:szCs w:val="32"/>
          <w:highlight w:val="none"/>
        </w:rPr>
        <w:t>号</w:t>
      </w:r>
    </w:p>
    <w:p>
      <w:pPr>
        <w:tabs>
          <w:tab w:val="left" w:pos="5435"/>
        </w:tabs>
        <w:spacing w:line="460" w:lineRule="exact"/>
        <w:rPr>
          <w:rFonts w:eastAsia="仿宋_GB2312"/>
          <w:sz w:val="32"/>
          <w:szCs w:val="32"/>
          <w:highlight w:val="none"/>
        </w:rPr>
      </w:pPr>
      <w:bookmarkStart w:id="0" w:name="_GoBack"/>
      <w:bookmarkEnd w:id="0"/>
    </w:p>
    <w:p>
      <w:pPr>
        <w:spacing w:line="600" w:lineRule="exact"/>
        <w:jc w:val="center"/>
        <w:rPr>
          <w:rFonts w:hint="eastAsia" w:ascii="方正小标宋简体" w:eastAsia="方正小标宋简体"/>
          <w:spacing w:val="-4"/>
          <w:sz w:val="44"/>
          <w:szCs w:val="44"/>
          <w:highlight w:val="none"/>
          <w:lang w:eastAsia="zh-CN"/>
        </w:rPr>
      </w:pPr>
      <w:r>
        <w:rPr>
          <w:rFonts w:hint="eastAsia" w:ascii="方正小标宋简体" w:eastAsia="方正小标宋简体"/>
          <w:spacing w:val="-4"/>
          <w:sz w:val="44"/>
          <w:szCs w:val="44"/>
          <w:highlight w:val="none"/>
          <w:lang w:eastAsia="zh-CN"/>
        </w:rPr>
        <w:t>德宏州生态环境局盈江分局</w:t>
      </w:r>
      <w:r>
        <w:rPr>
          <w:rFonts w:hint="eastAsia" w:ascii="方正小标宋简体" w:eastAsia="方正小标宋简体"/>
          <w:spacing w:val="-4"/>
          <w:sz w:val="44"/>
          <w:szCs w:val="44"/>
          <w:highlight w:val="none"/>
        </w:rPr>
        <w:t>关于</w:t>
      </w:r>
    </w:p>
    <w:p>
      <w:pPr>
        <w:spacing w:line="600" w:lineRule="exact"/>
        <w:jc w:val="center"/>
        <w:rPr>
          <w:rFonts w:ascii="方正小标宋简体" w:eastAsia="方正小标宋简体"/>
          <w:spacing w:val="-4"/>
          <w:sz w:val="44"/>
          <w:szCs w:val="44"/>
          <w:highlight w:val="none"/>
        </w:rPr>
      </w:pPr>
      <w:r>
        <w:rPr>
          <w:rFonts w:hint="eastAsia" w:ascii="方正小标宋简体" w:eastAsia="方正小标宋简体"/>
          <w:spacing w:val="-4"/>
          <w:sz w:val="44"/>
          <w:szCs w:val="44"/>
          <w:highlight w:val="none"/>
          <w:lang w:eastAsia="zh-CN"/>
        </w:rPr>
        <w:t xml:space="preserve"> 盈江县果蔬包装纸箱厂建设</w:t>
      </w:r>
      <w:r>
        <w:rPr>
          <w:rFonts w:hint="eastAsia" w:ascii="方正小标宋简体" w:eastAsia="方正小标宋简体"/>
          <w:spacing w:val="-4"/>
          <w:sz w:val="44"/>
          <w:szCs w:val="44"/>
          <w:highlight w:val="none"/>
        </w:rPr>
        <w:t>项目环境影响报告表的批复</w:t>
      </w:r>
    </w:p>
    <w:p>
      <w:pPr>
        <w:spacing w:line="560" w:lineRule="exact"/>
        <w:rPr>
          <w:rFonts w:hint="eastAsia" w:eastAsia="方正仿宋_GBK"/>
          <w:sz w:val="32"/>
          <w:szCs w:val="32"/>
          <w:highlight w:val="none"/>
          <w:lang w:val="en-US" w:eastAsia="zh-CN"/>
        </w:rPr>
      </w:pPr>
    </w:p>
    <w:p>
      <w:pPr>
        <w:spacing w:line="560" w:lineRule="exact"/>
        <w:rPr>
          <w:rFonts w:eastAsia="方正仿宋_GBK"/>
          <w:sz w:val="32"/>
          <w:szCs w:val="32"/>
          <w:highlight w:val="none"/>
        </w:rPr>
      </w:pPr>
      <w:r>
        <w:rPr>
          <w:rFonts w:hint="eastAsia" w:eastAsia="方正仿宋_GBK"/>
          <w:sz w:val="32"/>
          <w:szCs w:val="32"/>
          <w:highlight w:val="none"/>
          <w:lang w:val="en-US" w:eastAsia="zh-CN"/>
        </w:rPr>
        <w:t xml:space="preserve"> 盈江县闽盛纸品包装有限公司公司</w:t>
      </w:r>
      <w:r>
        <w:rPr>
          <w:rFonts w:eastAsia="方正仿宋_GBK"/>
          <w:sz w:val="32"/>
          <w:szCs w:val="32"/>
          <w:highlight w:val="none"/>
        </w:rPr>
        <w:t>:</w:t>
      </w:r>
    </w:p>
    <w:p>
      <w:pPr>
        <w:spacing w:line="560" w:lineRule="exact"/>
        <w:ind w:firstLine="640" w:firstLineChars="200"/>
        <w:rPr>
          <w:rFonts w:eastAsia="方正仿宋_GBK"/>
          <w:sz w:val="32"/>
          <w:szCs w:val="32"/>
          <w:highlight w:val="none"/>
        </w:rPr>
      </w:pPr>
      <w:r>
        <w:rPr>
          <w:rFonts w:eastAsia="方正仿宋_GBK"/>
          <w:sz w:val="32"/>
          <w:szCs w:val="32"/>
          <w:highlight w:val="none"/>
        </w:rPr>
        <w:t>你公司报批的《</w:t>
      </w:r>
      <w:r>
        <w:rPr>
          <w:rFonts w:hint="eastAsia" w:eastAsia="方正仿宋_GBK"/>
          <w:sz w:val="32"/>
          <w:szCs w:val="32"/>
          <w:highlight w:val="none"/>
          <w:lang w:eastAsia="zh-CN"/>
        </w:rPr>
        <w:t>盈江县果蔬包装纸箱厂建设</w:t>
      </w:r>
      <w:r>
        <w:rPr>
          <w:rFonts w:hint="eastAsia" w:eastAsia="方正仿宋_GBK"/>
          <w:sz w:val="32"/>
          <w:szCs w:val="32"/>
          <w:highlight w:val="none"/>
        </w:rPr>
        <w:t>项目</w:t>
      </w:r>
      <w:r>
        <w:rPr>
          <w:rFonts w:eastAsia="方正仿宋_GBK"/>
          <w:sz w:val="32"/>
          <w:szCs w:val="32"/>
          <w:highlight w:val="none"/>
        </w:rPr>
        <w:t>环境影响报告表》</w:t>
      </w:r>
      <w:r>
        <w:rPr>
          <w:rFonts w:hint="eastAsia" w:eastAsia="方正仿宋_GBK"/>
          <w:sz w:val="32"/>
          <w:szCs w:val="32"/>
          <w:highlight w:val="none"/>
        </w:rPr>
        <w:t>已收悉</w:t>
      </w:r>
      <w:r>
        <w:rPr>
          <w:rFonts w:eastAsia="方正仿宋_GBK"/>
          <w:sz w:val="32"/>
          <w:szCs w:val="32"/>
          <w:highlight w:val="none"/>
        </w:rPr>
        <w:t>，经研究，现批复如下：</w:t>
      </w:r>
    </w:p>
    <w:p>
      <w:pPr>
        <w:spacing w:line="560" w:lineRule="exact"/>
        <w:ind w:firstLine="640" w:firstLineChars="200"/>
        <w:rPr>
          <w:rFonts w:eastAsia="方正仿宋_GBK"/>
          <w:sz w:val="32"/>
          <w:szCs w:val="32"/>
          <w:highlight w:val="none"/>
        </w:rPr>
      </w:pPr>
      <w:r>
        <w:rPr>
          <w:rFonts w:eastAsia="方正仿宋_GBK"/>
          <w:sz w:val="32"/>
          <w:szCs w:val="32"/>
          <w:highlight w:val="none"/>
        </w:rPr>
        <w:t>一、项目基本情况</w:t>
      </w:r>
    </w:p>
    <w:p>
      <w:pPr>
        <w:spacing w:line="560" w:lineRule="exact"/>
        <w:ind w:firstLine="640" w:firstLineChars="200"/>
        <w:rPr>
          <w:rFonts w:hint="eastAsia" w:eastAsia="方正仿宋_GBK"/>
          <w:sz w:val="32"/>
          <w:szCs w:val="32"/>
          <w:highlight w:val="none"/>
        </w:rPr>
      </w:pPr>
      <w:r>
        <w:rPr>
          <w:rFonts w:eastAsia="方正仿宋_GBK"/>
          <w:sz w:val="32"/>
          <w:szCs w:val="32"/>
          <w:highlight w:val="none"/>
        </w:rPr>
        <w:t>项目位于</w:t>
      </w:r>
      <w:r>
        <w:rPr>
          <w:rFonts w:hint="eastAsia" w:eastAsia="方正仿宋_GBK"/>
          <w:sz w:val="32"/>
          <w:szCs w:val="32"/>
          <w:highlight w:val="none"/>
        </w:rPr>
        <w:t>盈江县</w:t>
      </w:r>
      <w:r>
        <w:rPr>
          <w:rFonts w:hint="eastAsia" w:eastAsia="方正仿宋_GBK"/>
          <w:sz w:val="32"/>
          <w:szCs w:val="32"/>
          <w:highlight w:val="none"/>
          <w:lang w:eastAsia="zh-CN"/>
        </w:rPr>
        <w:t>太平镇弄盏村，总占地面积</w:t>
      </w:r>
      <w:r>
        <w:rPr>
          <w:rFonts w:hint="eastAsia" w:eastAsia="方正仿宋_GBK"/>
          <w:sz w:val="32"/>
          <w:szCs w:val="32"/>
          <w:highlight w:val="none"/>
          <w:lang w:val="en-US" w:eastAsia="zh-CN"/>
        </w:rPr>
        <w:t>5333.3平方米，总建筑面积4021平方米，生产规模为年产瓦楞纸箱15万个，主要建设内容包括纸压车间1栋、裁剪印刷车间1栋、钉箱、粘合车间1栋、 原料仓库2栋、成品仓库2栋、锅炉房及办公生活区等。</w:t>
      </w:r>
      <w:r>
        <w:rPr>
          <w:rFonts w:hint="eastAsia" w:eastAsia="方正仿宋_GBK"/>
          <w:sz w:val="32"/>
          <w:szCs w:val="32"/>
          <w:highlight w:val="none"/>
          <w:lang w:eastAsia="zh-CN"/>
        </w:rPr>
        <w:t>项目总投资</w:t>
      </w:r>
      <w:r>
        <w:rPr>
          <w:rFonts w:hint="eastAsia" w:eastAsia="方正仿宋_GBK"/>
          <w:sz w:val="32"/>
          <w:szCs w:val="32"/>
          <w:highlight w:val="none"/>
          <w:lang w:val="en-US" w:eastAsia="zh-CN"/>
        </w:rPr>
        <w:t>120</w:t>
      </w:r>
      <w:r>
        <w:rPr>
          <w:rFonts w:hint="eastAsia" w:eastAsia="方正仿宋_GBK"/>
          <w:sz w:val="32"/>
          <w:szCs w:val="32"/>
          <w:highlight w:val="none"/>
          <w:lang w:eastAsia="zh-CN"/>
        </w:rPr>
        <w:t>万元，其中环保总投资</w:t>
      </w:r>
      <w:r>
        <w:rPr>
          <w:rFonts w:hint="eastAsia" w:eastAsia="方正仿宋_GBK"/>
          <w:sz w:val="32"/>
          <w:szCs w:val="32"/>
          <w:highlight w:val="none"/>
          <w:lang w:val="en-US" w:eastAsia="zh-CN"/>
        </w:rPr>
        <w:t>25.6</w:t>
      </w:r>
      <w:r>
        <w:rPr>
          <w:rFonts w:hint="eastAsia" w:eastAsia="方正仿宋_GBK"/>
          <w:sz w:val="32"/>
          <w:szCs w:val="32"/>
          <w:highlight w:val="none"/>
          <w:lang w:eastAsia="zh-CN"/>
        </w:rPr>
        <w:t>万元，占总投资的</w:t>
      </w:r>
      <w:r>
        <w:rPr>
          <w:rFonts w:hint="eastAsia" w:eastAsia="方正仿宋_GBK"/>
          <w:sz w:val="32"/>
          <w:szCs w:val="32"/>
          <w:highlight w:val="none"/>
          <w:lang w:val="en-US" w:eastAsia="zh-CN"/>
        </w:rPr>
        <w:t>21.33</w:t>
      </w:r>
      <w:r>
        <w:rPr>
          <w:rFonts w:hint="eastAsia" w:eastAsia="方正仿宋_GBK"/>
          <w:sz w:val="32"/>
          <w:szCs w:val="32"/>
          <w:highlight w:val="none"/>
          <w:lang w:eastAsia="zh-CN"/>
        </w:rPr>
        <w:t>%。项目于</w:t>
      </w:r>
      <w:r>
        <w:rPr>
          <w:rFonts w:hint="eastAsia" w:eastAsia="方正仿宋_GBK"/>
          <w:sz w:val="32"/>
          <w:szCs w:val="32"/>
          <w:highlight w:val="none"/>
          <w:lang w:val="en-US" w:eastAsia="zh-CN"/>
        </w:rPr>
        <w:t>2010年开工建设，2011年建成投入运行，属于“未批先建”项目。</w:t>
      </w:r>
    </w:p>
    <w:p>
      <w:pPr>
        <w:overflowPunct w:val="0"/>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lang w:eastAsia="zh-CN"/>
        </w:rPr>
        <w:t>本</w:t>
      </w:r>
      <w:r>
        <w:rPr>
          <w:rFonts w:hint="eastAsia" w:eastAsia="方正仿宋_GBK"/>
          <w:sz w:val="32"/>
          <w:szCs w:val="32"/>
          <w:highlight w:val="none"/>
        </w:rPr>
        <w:t>项目符合国家产政策，不涉及</w:t>
      </w:r>
      <w:r>
        <w:rPr>
          <w:rFonts w:hint="eastAsia" w:eastAsia="方正仿宋_GBK"/>
          <w:sz w:val="32"/>
          <w:szCs w:val="32"/>
          <w:highlight w:val="none"/>
          <w:lang w:eastAsia="zh-CN"/>
        </w:rPr>
        <w:t>云南省生态保护红线、</w:t>
      </w:r>
      <w:r>
        <w:rPr>
          <w:rFonts w:hint="eastAsia" w:eastAsia="方正仿宋_GBK"/>
          <w:sz w:val="32"/>
          <w:szCs w:val="32"/>
          <w:highlight w:val="none"/>
        </w:rPr>
        <w:t>自然保护区、风景名胜区、水源地保护区</w:t>
      </w:r>
      <w:r>
        <w:rPr>
          <w:rFonts w:eastAsia="方正仿宋_GBK"/>
          <w:sz w:val="32"/>
          <w:szCs w:val="32"/>
          <w:highlight w:val="none"/>
        </w:rPr>
        <w:t>等敏感区域</w:t>
      </w:r>
      <w:r>
        <w:rPr>
          <w:rFonts w:hint="eastAsia" w:eastAsia="方正仿宋_GBK"/>
          <w:sz w:val="32"/>
          <w:szCs w:val="32"/>
          <w:highlight w:val="none"/>
        </w:rPr>
        <w:t>。</w:t>
      </w:r>
      <w:r>
        <w:rPr>
          <w:rFonts w:hint="eastAsia" w:eastAsia="方正仿宋_GBK"/>
          <w:sz w:val="32"/>
          <w:szCs w:val="32"/>
          <w:highlight w:val="none"/>
          <w:lang w:eastAsia="zh-CN"/>
        </w:rPr>
        <w:t>在全面落实环境影响报告表提出的各项污染防治和生态保护措施后，项目污染物可达标排放，项目整改和运营的不良环境影响可以得到减缓和控制，</w:t>
      </w:r>
      <w:r>
        <w:rPr>
          <w:rFonts w:eastAsia="方正仿宋_GBK"/>
          <w:sz w:val="32"/>
          <w:szCs w:val="32"/>
          <w:highlight w:val="none"/>
        </w:rPr>
        <w:t>我局同意该项目按照环境影报告表中的性质、地点、采用的环境保护对策、措施</w:t>
      </w:r>
      <w:r>
        <w:rPr>
          <w:rFonts w:hint="eastAsia" w:eastAsia="方正仿宋_GBK"/>
          <w:sz w:val="32"/>
          <w:szCs w:val="32"/>
          <w:highlight w:val="none"/>
          <w:lang w:eastAsia="zh-CN"/>
        </w:rPr>
        <w:t>补办环评手续</w:t>
      </w:r>
      <w:r>
        <w:rPr>
          <w:rFonts w:eastAsia="方正仿宋_GBK"/>
          <w:sz w:val="32"/>
          <w:szCs w:val="32"/>
          <w:highlight w:val="none"/>
        </w:rPr>
        <w:t>。</w:t>
      </w:r>
    </w:p>
    <w:p>
      <w:pPr>
        <w:topLinePunct/>
        <w:spacing w:line="560" w:lineRule="exact"/>
        <w:ind w:firstLine="632" w:firstLineChars="200"/>
        <w:rPr>
          <w:rFonts w:eastAsia="方正仿宋_GBK"/>
          <w:spacing w:val="-2"/>
          <w:sz w:val="32"/>
          <w:szCs w:val="32"/>
          <w:highlight w:val="none"/>
        </w:rPr>
      </w:pPr>
      <w:r>
        <w:rPr>
          <w:rFonts w:eastAsia="方正仿宋_GBK"/>
          <w:spacing w:val="-2"/>
          <w:sz w:val="32"/>
          <w:szCs w:val="32"/>
          <w:highlight w:val="none"/>
        </w:rPr>
        <w:t>二、项目</w:t>
      </w:r>
      <w:r>
        <w:rPr>
          <w:rFonts w:hint="eastAsia" w:eastAsia="方正仿宋_GBK"/>
          <w:spacing w:val="-2"/>
          <w:sz w:val="32"/>
          <w:szCs w:val="32"/>
          <w:highlight w:val="none"/>
          <w:lang w:eastAsia="zh-CN"/>
        </w:rPr>
        <w:t>整改和运营</w:t>
      </w:r>
      <w:r>
        <w:rPr>
          <w:rFonts w:eastAsia="方正仿宋_GBK"/>
          <w:spacing w:val="-2"/>
          <w:sz w:val="32"/>
          <w:szCs w:val="32"/>
          <w:highlight w:val="none"/>
        </w:rPr>
        <w:t>过程中应重点做好的工作</w:t>
      </w:r>
    </w:p>
    <w:p>
      <w:pPr>
        <w:topLinePunct/>
        <w:spacing w:line="560" w:lineRule="exact"/>
        <w:ind w:firstLine="640" w:firstLineChars="200"/>
        <w:rPr>
          <w:rFonts w:eastAsia="方正仿宋_GBK"/>
          <w:spacing w:val="-2"/>
          <w:sz w:val="32"/>
          <w:szCs w:val="32"/>
          <w:highlight w:val="none"/>
        </w:rPr>
      </w:pPr>
      <w:r>
        <w:rPr>
          <w:rFonts w:eastAsia="方正仿宋_GBK"/>
          <w:sz w:val="32"/>
          <w:szCs w:val="32"/>
          <w:highlight w:val="none"/>
        </w:rPr>
        <w:t>㈠《</w:t>
      </w:r>
      <w:r>
        <w:rPr>
          <w:rFonts w:hint="eastAsia" w:eastAsia="方正仿宋_GBK"/>
          <w:sz w:val="32"/>
          <w:szCs w:val="32"/>
          <w:highlight w:val="none"/>
          <w:lang w:eastAsia="zh-CN"/>
        </w:rPr>
        <w:t>盈江县果蔬包装纸箱厂建设</w:t>
      </w:r>
      <w:r>
        <w:rPr>
          <w:rFonts w:hint="eastAsia" w:eastAsia="方正仿宋_GBK"/>
          <w:sz w:val="32"/>
          <w:szCs w:val="32"/>
          <w:highlight w:val="none"/>
        </w:rPr>
        <w:t>项目</w:t>
      </w:r>
      <w:r>
        <w:rPr>
          <w:rFonts w:eastAsia="方正仿宋_GBK"/>
          <w:sz w:val="32"/>
          <w:szCs w:val="32"/>
          <w:highlight w:val="none"/>
        </w:rPr>
        <w:t>环境影响报告表》</w:t>
      </w:r>
      <w:r>
        <w:rPr>
          <w:rFonts w:eastAsia="方正仿宋_GBK"/>
          <w:spacing w:val="-2"/>
          <w:sz w:val="32"/>
          <w:szCs w:val="32"/>
          <w:highlight w:val="none"/>
        </w:rPr>
        <w:t>作为该项目</w:t>
      </w:r>
      <w:r>
        <w:rPr>
          <w:rFonts w:hint="eastAsia" w:eastAsia="方正仿宋_GBK"/>
          <w:spacing w:val="-2"/>
          <w:sz w:val="32"/>
          <w:szCs w:val="32"/>
          <w:highlight w:val="none"/>
          <w:lang w:eastAsia="zh-CN"/>
        </w:rPr>
        <w:t>整改和运营期</w:t>
      </w:r>
      <w:r>
        <w:rPr>
          <w:rFonts w:eastAsia="方正仿宋_GBK"/>
          <w:spacing w:val="-2"/>
          <w:sz w:val="32"/>
          <w:szCs w:val="32"/>
          <w:highlight w:val="none"/>
        </w:rPr>
        <w:t>环境管理的依据，必须认真落实</w:t>
      </w:r>
      <w:r>
        <w:rPr>
          <w:rFonts w:hint="eastAsia" w:eastAsia="方正仿宋_GBK"/>
          <w:spacing w:val="-2"/>
          <w:sz w:val="32"/>
          <w:szCs w:val="32"/>
          <w:highlight w:val="none"/>
        </w:rPr>
        <w:t>《报告表》</w:t>
      </w:r>
      <w:r>
        <w:rPr>
          <w:rFonts w:eastAsia="方正仿宋_GBK"/>
          <w:spacing w:val="-2"/>
          <w:sz w:val="32"/>
          <w:szCs w:val="32"/>
          <w:highlight w:val="none"/>
        </w:rPr>
        <w:t>提出的各项环保对策措施</w:t>
      </w:r>
      <w:r>
        <w:rPr>
          <w:rFonts w:hint="eastAsia" w:eastAsia="方正仿宋_GBK"/>
          <w:spacing w:val="-2"/>
          <w:sz w:val="32"/>
          <w:szCs w:val="32"/>
          <w:highlight w:val="none"/>
        </w:rPr>
        <w:t>，严格按提出的环保投资概算执行。</w:t>
      </w:r>
    </w:p>
    <w:p>
      <w:pPr>
        <w:topLinePunct/>
        <w:spacing w:line="560" w:lineRule="exact"/>
        <w:ind w:firstLine="640" w:firstLineChars="200"/>
        <w:rPr>
          <w:rFonts w:eastAsia="方正仿宋_GBK"/>
          <w:bCs/>
          <w:sz w:val="32"/>
          <w:szCs w:val="32"/>
          <w:highlight w:val="none"/>
        </w:rPr>
      </w:pPr>
      <w:r>
        <w:rPr>
          <w:rFonts w:eastAsia="方正仿宋_GBK"/>
          <w:bCs/>
          <w:sz w:val="32"/>
          <w:szCs w:val="32"/>
          <w:highlight w:val="none"/>
        </w:rPr>
        <w:t>㈡</w:t>
      </w:r>
      <w:r>
        <w:rPr>
          <w:rFonts w:hint="eastAsia" w:eastAsia="方正仿宋_GBK"/>
          <w:bCs/>
          <w:sz w:val="32"/>
          <w:szCs w:val="32"/>
          <w:highlight w:val="none"/>
          <w:lang w:eastAsia="zh-CN"/>
        </w:rPr>
        <w:t>项目整改过程中必须加强施工管理，采取不定期洒水降尘减少扬尘产生；施工场地设置临时沉淀池，施工废水经沉淀后回用或用于洒水降尘，严禁外排；合理安排施工时间，午间12时至14时、夜间22时至次日6时禁止施工；施工结束后，建筑垃圾与废弃土石方运送至住建部门指定地点，严禁随意堆放、丢弃。</w:t>
      </w:r>
    </w:p>
    <w:p>
      <w:pPr>
        <w:pStyle w:val="3"/>
        <w:spacing w:line="560" w:lineRule="exact"/>
        <w:ind w:firstLine="640" w:firstLineChars="200"/>
        <w:rPr>
          <w:rFonts w:hint="eastAsia" w:eastAsia="方正仿宋_GBK"/>
          <w:sz w:val="32"/>
          <w:szCs w:val="32"/>
          <w:highlight w:val="none"/>
          <w:lang w:eastAsia="zh-CN"/>
        </w:rPr>
      </w:pPr>
      <w:r>
        <w:rPr>
          <w:rFonts w:hint="eastAsia" w:eastAsia="方正仿宋_GBK"/>
          <w:sz w:val="32"/>
          <w:szCs w:val="32"/>
          <w:highlight w:val="none"/>
        </w:rPr>
        <w:t>㈢</w:t>
      </w:r>
      <w:r>
        <w:rPr>
          <w:rFonts w:hint="eastAsia" w:eastAsia="方正仿宋_GBK"/>
          <w:sz w:val="32"/>
          <w:szCs w:val="32"/>
          <w:highlight w:val="none"/>
          <w:lang w:eastAsia="zh-CN"/>
        </w:rPr>
        <w:t>项目必须完善雨污分流系统，食堂必须新增</w:t>
      </w:r>
      <w:r>
        <w:rPr>
          <w:rFonts w:hint="eastAsia" w:eastAsia="方正仿宋_GBK"/>
          <w:sz w:val="32"/>
          <w:szCs w:val="32"/>
          <w:highlight w:val="none"/>
          <w:lang w:val="en-US" w:eastAsia="zh-CN"/>
        </w:rPr>
        <w:t>1个</w:t>
      </w:r>
      <w:r>
        <w:rPr>
          <w:rFonts w:hint="eastAsia" w:eastAsia="方正仿宋_GBK"/>
          <w:sz w:val="32"/>
          <w:szCs w:val="32"/>
          <w:highlight w:val="none"/>
          <w:lang w:eastAsia="zh-CN"/>
        </w:rPr>
        <w:t>油水分离器，办公生活区新增</w:t>
      </w:r>
      <w:r>
        <w:rPr>
          <w:rFonts w:hint="eastAsia" w:eastAsia="方正仿宋_GBK"/>
          <w:sz w:val="32"/>
          <w:szCs w:val="32"/>
          <w:highlight w:val="none"/>
          <w:lang w:val="en-US" w:eastAsia="zh-CN"/>
        </w:rPr>
        <w:t>1个化粪池</w:t>
      </w:r>
      <w:r>
        <w:rPr>
          <w:rFonts w:hint="eastAsia" w:eastAsia="方正仿宋_GBK"/>
          <w:sz w:val="32"/>
          <w:szCs w:val="32"/>
          <w:highlight w:val="none"/>
          <w:lang w:eastAsia="zh-CN"/>
        </w:rPr>
        <w:t>，食堂废水经油水分离器处理后与其他生活污水一同排入化粪池</w:t>
      </w:r>
      <w:r>
        <w:rPr>
          <w:rFonts w:hint="eastAsia" w:eastAsia="方正仿宋_GBK"/>
          <w:sz w:val="32"/>
          <w:szCs w:val="32"/>
          <w:highlight w:val="none"/>
          <w:lang w:val="en-US" w:eastAsia="zh-CN"/>
        </w:rPr>
        <w:t>,集中收集后</w:t>
      </w:r>
      <w:r>
        <w:rPr>
          <w:rFonts w:hint="eastAsia" w:eastAsia="方正仿宋_GBK"/>
          <w:sz w:val="32"/>
          <w:szCs w:val="32"/>
          <w:highlight w:val="none"/>
          <w:lang w:eastAsia="zh-CN"/>
        </w:rPr>
        <w:t>用于周边林地灌溉，禁止外排；水膜除尘废水循环使用，严禁外排；印刷机清洗废水属于危险废物，必须暂存于危险废物暂存间，委托有资质的单位处置。</w:t>
      </w:r>
    </w:p>
    <w:p>
      <w:pPr>
        <w:pStyle w:val="3"/>
        <w:spacing w:line="560" w:lineRule="exact"/>
        <w:ind w:firstLine="640" w:firstLineChars="200"/>
        <w:rPr>
          <w:rFonts w:hint="eastAsia" w:eastAsia="方正仿宋_GBK"/>
          <w:sz w:val="32"/>
          <w:szCs w:val="32"/>
          <w:highlight w:val="none"/>
          <w:lang w:val="en-US" w:eastAsia="zh-CN"/>
        </w:rPr>
      </w:pPr>
      <w:r>
        <w:rPr>
          <w:rFonts w:hint="eastAsia" w:eastAsia="方正仿宋_GBK"/>
          <w:sz w:val="32"/>
          <w:szCs w:val="32"/>
          <w:highlight w:val="none"/>
        </w:rPr>
        <w:t>㈣</w:t>
      </w:r>
      <w:r>
        <w:rPr>
          <w:rFonts w:hint="eastAsia" w:eastAsia="方正仿宋_GBK"/>
          <w:sz w:val="32"/>
          <w:szCs w:val="32"/>
          <w:highlight w:val="none"/>
          <w:lang w:eastAsia="zh-CN"/>
        </w:rPr>
        <w:t>运营期加强大气污染防治，锅炉必须新增一根</w:t>
      </w:r>
      <w:r>
        <w:rPr>
          <w:rFonts w:hint="eastAsia" w:eastAsia="方正仿宋_GBK"/>
          <w:sz w:val="32"/>
          <w:szCs w:val="32"/>
          <w:highlight w:val="none"/>
          <w:lang w:val="en-US" w:eastAsia="zh-CN"/>
        </w:rPr>
        <w:t>35米高的烟囱，废气经水膜除尘器处理达到《锅炉大气污染物排放标准》（GB13271-2014）表2标准限值后排放；印刷车间必须新增一套集气罩+活性炭净化装置和15米高排气筒，印刷废气经收集处理达到《大气污染物综合排放标准》（GB16297-1996）表2中限值要求后排放；食堂必须安装油烟净化设施，食堂油烟经处理后排放。</w:t>
      </w:r>
    </w:p>
    <w:p>
      <w:pPr>
        <w:pStyle w:val="3"/>
        <w:spacing w:line="560" w:lineRule="exact"/>
        <w:ind w:firstLine="640" w:firstLineChars="200"/>
        <w:rPr>
          <w:rFonts w:hint="eastAsia" w:eastAsia="方正仿宋_GBK"/>
          <w:bCs/>
          <w:sz w:val="32"/>
          <w:szCs w:val="32"/>
          <w:highlight w:val="none"/>
          <w:lang w:eastAsia="zh-CN"/>
        </w:rPr>
      </w:pPr>
      <w:r>
        <w:rPr>
          <w:rFonts w:hint="eastAsia" w:eastAsia="方正仿宋_GBK"/>
          <w:sz w:val="32"/>
          <w:szCs w:val="32"/>
          <w:highlight w:val="none"/>
        </w:rPr>
        <w:t>㈤</w:t>
      </w:r>
      <w:r>
        <w:rPr>
          <w:rFonts w:hint="eastAsia" w:eastAsia="方正仿宋_GBK"/>
          <w:sz w:val="32"/>
          <w:szCs w:val="32"/>
          <w:highlight w:val="none"/>
          <w:lang w:eastAsia="zh-CN"/>
        </w:rPr>
        <w:t>运营期加强噪声污染防治，定期维护噪声设备，夜间禁止生产，减少噪声影响</w:t>
      </w:r>
      <w:r>
        <w:rPr>
          <w:rFonts w:hint="eastAsia" w:eastAsia="方正仿宋_GBK"/>
          <w:bCs/>
          <w:sz w:val="32"/>
          <w:szCs w:val="32"/>
          <w:highlight w:val="none"/>
          <w:lang w:eastAsia="zh-CN"/>
        </w:rPr>
        <w:t>。项目运营期噪声执行《工业企业厂界环境噪声排放标准》（GB12348-2008）2类标准。</w:t>
      </w:r>
    </w:p>
    <w:p>
      <w:pPr>
        <w:pStyle w:val="3"/>
        <w:spacing w:line="560" w:lineRule="exact"/>
        <w:ind w:firstLine="640" w:firstLineChars="200"/>
        <w:rPr>
          <w:rFonts w:eastAsia="方正仿宋_GBK"/>
          <w:sz w:val="32"/>
          <w:szCs w:val="32"/>
          <w:highlight w:val="none"/>
        </w:rPr>
      </w:pPr>
      <w:r>
        <w:rPr>
          <w:rFonts w:hint="eastAsia" w:eastAsia="方正仿宋_GBK"/>
          <w:sz w:val="32"/>
          <w:szCs w:val="32"/>
          <w:highlight w:val="none"/>
        </w:rPr>
        <w:t>㈥</w:t>
      </w:r>
      <w:r>
        <w:rPr>
          <w:rFonts w:hint="eastAsia" w:eastAsia="方正仿宋_GBK"/>
          <w:sz w:val="32"/>
          <w:szCs w:val="32"/>
          <w:highlight w:val="none"/>
          <w:lang w:eastAsia="zh-CN"/>
        </w:rPr>
        <w:t>建设单位必须</w:t>
      </w:r>
      <w:r>
        <w:rPr>
          <w:rFonts w:hint="eastAsia" w:eastAsia="方正仿宋_GBK"/>
          <w:sz w:val="32"/>
          <w:szCs w:val="32"/>
          <w:highlight w:val="none"/>
        </w:rPr>
        <w:t>严格按照《危险废物贮存污染控制标准》（GB18957-2001）的要求，设置危险废物暂存间，集中收集</w:t>
      </w:r>
      <w:r>
        <w:rPr>
          <w:rFonts w:hint="eastAsia" w:eastAsia="方正仿宋_GBK"/>
          <w:sz w:val="32"/>
          <w:szCs w:val="32"/>
          <w:highlight w:val="none"/>
          <w:lang w:eastAsia="zh-CN"/>
        </w:rPr>
        <w:t>印刷机清洗废水、废活性炭及废离子交换树脂</w:t>
      </w:r>
      <w:r>
        <w:rPr>
          <w:rFonts w:hint="eastAsia" w:eastAsia="方正仿宋_GBK"/>
          <w:sz w:val="32"/>
          <w:szCs w:val="32"/>
          <w:highlight w:val="none"/>
        </w:rPr>
        <w:t>，委托有资质的单位进行处置</w:t>
      </w:r>
      <w:r>
        <w:rPr>
          <w:rFonts w:hint="eastAsia" w:eastAsia="方正仿宋_GBK"/>
          <w:sz w:val="32"/>
          <w:szCs w:val="32"/>
          <w:highlight w:val="none"/>
          <w:lang w:eastAsia="zh-CN"/>
        </w:rPr>
        <w:t>，</w:t>
      </w:r>
      <w:r>
        <w:rPr>
          <w:rFonts w:hint="eastAsia" w:eastAsia="方正仿宋_GBK"/>
          <w:sz w:val="32"/>
          <w:szCs w:val="32"/>
          <w:highlight w:val="none"/>
          <w:lang w:val="en-US" w:eastAsia="zh-CN"/>
        </w:rPr>
        <w:t>建立危险废物转移台账，执行转移联单制度；</w:t>
      </w:r>
      <w:r>
        <w:rPr>
          <w:rFonts w:hint="eastAsia" w:eastAsia="方正仿宋_GBK"/>
          <w:sz w:val="32"/>
          <w:szCs w:val="32"/>
          <w:highlight w:val="none"/>
          <w:lang w:eastAsia="zh-CN"/>
        </w:rPr>
        <w:t>生活垃圾集中收集交由环卫部门清运处置；产生的纸品废料集中收集后交由废品回收站回收处理；食堂泔水按照住建部门要求妥善处置；废油墨桶定期交由厂家回收处置。项目固废严禁随意堆放、丢弃。</w:t>
      </w:r>
    </w:p>
    <w:p>
      <w:pPr>
        <w:numPr>
          <w:ilvl w:val="0"/>
          <w:numId w:val="1"/>
        </w:num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加强管理，健全机构，严格执行环保</w:t>
      </w:r>
      <w:r>
        <w:rPr>
          <w:rFonts w:eastAsia="方正仿宋_GBK"/>
          <w:sz w:val="32"/>
          <w:szCs w:val="32"/>
          <w:highlight w:val="none"/>
        </w:rPr>
        <w:t>“</w:t>
      </w:r>
      <w:r>
        <w:rPr>
          <w:rFonts w:hint="eastAsia" w:eastAsia="方正仿宋_GBK"/>
          <w:sz w:val="32"/>
          <w:szCs w:val="32"/>
          <w:highlight w:val="none"/>
        </w:rPr>
        <w:t>三同时</w:t>
      </w:r>
      <w:r>
        <w:rPr>
          <w:rFonts w:eastAsia="方正仿宋_GBK"/>
          <w:sz w:val="32"/>
          <w:szCs w:val="32"/>
          <w:highlight w:val="none"/>
        </w:rPr>
        <w:t>”</w:t>
      </w:r>
      <w:r>
        <w:rPr>
          <w:rFonts w:hint="eastAsia" w:eastAsia="方正仿宋_GBK"/>
          <w:sz w:val="32"/>
          <w:szCs w:val="32"/>
          <w:highlight w:val="none"/>
        </w:rPr>
        <w:t>制度，积极配合环境保护行政主管部门的环境监察工作。项目</w:t>
      </w:r>
      <w:r>
        <w:rPr>
          <w:rFonts w:hint="eastAsia" w:eastAsia="方正仿宋_GBK"/>
          <w:sz w:val="32"/>
          <w:szCs w:val="32"/>
          <w:highlight w:val="none"/>
          <w:lang w:eastAsia="zh-CN"/>
        </w:rPr>
        <w:t>建设</w:t>
      </w:r>
      <w:r>
        <w:rPr>
          <w:rFonts w:hint="eastAsia" w:eastAsia="方正仿宋_GBK"/>
          <w:sz w:val="32"/>
          <w:szCs w:val="32"/>
          <w:highlight w:val="none"/>
        </w:rPr>
        <w:t>完成</w:t>
      </w:r>
      <w:r>
        <w:rPr>
          <w:rFonts w:hint="eastAsia" w:eastAsia="方正仿宋_GBK"/>
          <w:sz w:val="32"/>
          <w:szCs w:val="32"/>
          <w:highlight w:val="none"/>
          <w:lang w:eastAsia="zh-CN"/>
        </w:rPr>
        <w:t>后，及时报告我局，并按规定自主开展竣工环保验收，经验收合格后方可正式投入运行</w:t>
      </w:r>
      <w:r>
        <w:rPr>
          <w:rFonts w:hint="eastAsia" w:eastAsia="方正仿宋_GBK"/>
          <w:sz w:val="32"/>
          <w:szCs w:val="32"/>
          <w:highlight w:val="none"/>
        </w:rPr>
        <w:t>。</w:t>
      </w:r>
      <w:r>
        <w:rPr>
          <w:rFonts w:hint="eastAsia" w:eastAsia="方正仿宋_GBK"/>
          <w:sz w:val="32"/>
          <w:szCs w:val="32"/>
          <w:highlight w:val="none"/>
          <w:lang w:eastAsia="zh-CN"/>
        </w:rPr>
        <w:t>项目必须严格按照自行监测计划表开展运营期大气监测，确保污染物达标排放。</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五、请盈江县环境保护局环境监察大队加强对该项目施工期和营运期的现场监察。</w:t>
      </w:r>
    </w:p>
    <w:p>
      <w:pPr>
        <w:spacing w:line="560" w:lineRule="exact"/>
        <w:ind w:right="640" w:firstLine="640" w:firstLineChars="200"/>
        <w:jc w:val="center"/>
        <w:rPr>
          <w:rFonts w:hint="eastAsia"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r>
        <w:rPr>
          <w:rFonts w:hint="eastAsia" w:eastAsia="方正仿宋_GBK"/>
          <w:sz w:val="32"/>
          <w:szCs w:val="32"/>
          <w:highlight w:val="none"/>
          <w:lang w:eastAsia="zh-CN"/>
        </w:rPr>
        <w:t>德宏州生态环境局盈江分局</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201</w:t>
      </w:r>
      <w:r>
        <w:rPr>
          <w:rFonts w:hint="eastAsia" w:eastAsia="方正仿宋_GBK"/>
          <w:sz w:val="32"/>
          <w:szCs w:val="32"/>
          <w:highlight w:val="none"/>
          <w:lang w:val="en-US" w:eastAsia="zh-CN"/>
        </w:rPr>
        <w:t>9</w:t>
      </w:r>
      <w:r>
        <w:rPr>
          <w:rFonts w:eastAsia="方正仿宋_GBK"/>
          <w:sz w:val="32"/>
          <w:szCs w:val="32"/>
          <w:highlight w:val="none"/>
        </w:rPr>
        <w:t>年</w:t>
      </w:r>
      <w:r>
        <w:rPr>
          <w:rFonts w:hint="eastAsia" w:eastAsia="方正仿宋_GBK"/>
          <w:sz w:val="32"/>
          <w:szCs w:val="32"/>
          <w:highlight w:val="none"/>
          <w:lang w:val="en-US" w:eastAsia="zh-CN"/>
        </w:rPr>
        <w:t>4</w:t>
      </w:r>
      <w:r>
        <w:rPr>
          <w:rFonts w:eastAsia="方正仿宋_GBK"/>
          <w:sz w:val="32"/>
          <w:szCs w:val="32"/>
          <w:highlight w:val="none"/>
        </w:rPr>
        <w:t>月</w:t>
      </w:r>
      <w:r>
        <w:rPr>
          <w:rFonts w:hint="eastAsia" w:eastAsia="方正仿宋_GBK"/>
          <w:sz w:val="32"/>
          <w:szCs w:val="32"/>
          <w:highlight w:val="none"/>
          <w:lang w:val="en-US" w:eastAsia="zh-CN"/>
        </w:rPr>
        <w:t>9</w:t>
      </w:r>
      <w:r>
        <w:rPr>
          <w:rFonts w:eastAsia="方正仿宋_GBK"/>
          <w:sz w:val="32"/>
          <w:szCs w:val="32"/>
          <w:highlight w:val="none"/>
        </w:rPr>
        <w:t>日</w:t>
      </w:r>
    </w:p>
    <w:p>
      <w:pPr>
        <w:spacing w:line="540" w:lineRule="exact"/>
        <w:rPr>
          <w:rFonts w:eastAsia="仿宋_GB2312"/>
          <w:sz w:val="32"/>
          <w:szCs w:val="32"/>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1"/>
      </w:rPr>
    </w:pPr>
    <w:r>
      <w:rPr>
        <w:rStyle w:val="10"/>
        <w:sz w:val="21"/>
      </w:rPr>
      <w:fldChar w:fldCharType="begin"/>
    </w:r>
    <w:r>
      <w:rPr>
        <w:rStyle w:val="10"/>
        <w:sz w:val="21"/>
      </w:rPr>
      <w:instrText xml:space="preserve">PAGE  </w:instrText>
    </w:r>
    <w:r>
      <w:rPr>
        <w:rStyle w:val="10"/>
        <w:sz w:val="21"/>
      </w:rPr>
      <w:fldChar w:fldCharType="separate"/>
    </w:r>
    <w:r>
      <w:rPr>
        <w:rStyle w:val="10"/>
        <w:sz w:val="21"/>
      </w:rPr>
      <w:t>3</w:t>
    </w:r>
    <w:r>
      <w:rPr>
        <w:rStyle w:val="10"/>
        <w:sz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1"/>
      </w:rPr>
    </w:pPr>
    <w:r>
      <w:rPr>
        <w:rStyle w:val="10"/>
        <w:sz w:val="21"/>
      </w:rPr>
      <w:fldChar w:fldCharType="begin"/>
    </w:r>
    <w:r>
      <w:rPr>
        <w:rStyle w:val="10"/>
        <w:sz w:val="21"/>
      </w:rPr>
      <w:instrText xml:space="preserve">PAGE  </w:instrText>
    </w:r>
    <w:r>
      <w:rPr>
        <w:rStyle w:val="10"/>
        <w:sz w:val="2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200"/>
    <w:rsid w:val="00135CA3"/>
    <w:rsid w:val="005D2B03"/>
    <w:rsid w:val="00761D35"/>
    <w:rsid w:val="00A249F3"/>
    <w:rsid w:val="00A5605E"/>
    <w:rsid w:val="00AE3237"/>
    <w:rsid w:val="00BA1D04"/>
    <w:rsid w:val="00D544D1"/>
    <w:rsid w:val="00D659D8"/>
    <w:rsid w:val="00E3677B"/>
    <w:rsid w:val="00E620F0"/>
    <w:rsid w:val="01807422"/>
    <w:rsid w:val="08EA7D8A"/>
    <w:rsid w:val="0C9E10F5"/>
    <w:rsid w:val="0E714E5D"/>
    <w:rsid w:val="117E5A35"/>
    <w:rsid w:val="14C052D2"/>
    <w:rsid w:val="2607286A"/>
    <w:rsid w:val="26C82928"/>
    <w:rsid w:val="28546A26"/>
    <w:rsid w:val="2A19064E"/>
    <w:rsid w:val="2F545078"/>
    <w:rsid w:val="35A729F3"/>
    <w:rsid w:val="37D73824"/>
    <w:rsid w:val="38AE1DF2"/>
    <w:rsid w:val="454324CA"/>
    <w:rsid w:val="4E1A3BA0"/>
    <w:rsid w:val="51E53FAB"/>
    <w:rsid w:val="53C42D61"/>
    <w:rsid w:val="5780037C"/>
    <w:rsid w:val="6D941819"/>
    <w:rsid w:val="714F05D9"/>
    <w:rsid w:val="72F27725"/>
    <w:rsid w:val="73007476"/>
    <w:rsid w:val="74801715"/>
    <w:rsid w:val="7561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9">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unhideWhenUsed/>
    <w:qFormat/>
    <w:uiPriority w:val="99"/>
    <w:pPr>
      <w:spacing w:line="460" w:lineRule="exact"/>
      <w:ind w:firstLine="600"/>
    </w:pPr>
    <w:rPr>
      <w:rFonts w:eastAsia="仿宋_GB2312"/>
      <w:sz w:val="28"/>
    </w:rPr>
  </w:style>
  <w:style w:type="paragraph" w:styleId="4">
    <w:name w:val="Plain Text"/>
    <w:basedOn w:val="1"/>
    <w:unhideWhenUsed/>
    <w:qFormat/>
    <w:uiPriority w:val="99"/>
    <w:rPr>
      <w:rFonts w:ascii="宋体" w:hAnsi="Courier New" w:cs="Courier New"/>
      <w:szCs w:val="21"/>
    </w:rPr>
  </w:style>
  <w:style w:type="paragraph" w:styleId="5">
    <w:name w:val="footer"/>
    <w:basedOn w:val="1"/>
    <w:link w:val="13"/>
    <w:qFormat/>
    <w:locked/>
    <w:uiPriority w:val="0"/>
    <w:pPr>
      <w:tabs>
        <w:tab w:val="center" w:pos="4153"/>
        <w:tab w:val="right" w:pos="8306"/>
      </w:tabs>
      <w:snapToGrid w:val="0"/>
      <w:jc w:val="left"/>
    </w:pPr>
    <w:rPr>
      <w:sz w:val="18"/>
      <w:szCs w:val="18"/>
    </w:rPr>
  </w:style>
  <w:style w:type="paragraph" w:styleId="6">
    <w:name w:val="header"/>
    <w:basedOn w:val="1"/>
    <w:link w:val="14"/>
    <w:qFormat/>
    <w:locked/>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1"/>
    <w:next w:val="1"/>
    <w:unhideWhenUsed/>
    <w:qFormat/>
    <w:uiPriority w:val="99"/>
    <w:pPr>
      <w:spacing w:after="120"/>
      <w:ind w:left="420" w:leftChars="200" w:firstLine="420" w:firstLineChars="200"/>
    </w:pPr>
    <w:rPr>
      <w:sz w:val="21"/>
      <w:szCs w:val="24"/>
    </w:rPr>
  </w:style>
  <w:style w:type="character" w:styleId="10">
    <w:name w:val="page number"/>
    <w:basedOn w:val="9"/>
    <w:qFormat/>
    <w:locked/>
    <w:uiPriority w:val="0"/>
    <w:rPr>
      <w:rFonts w:ascii="Calibri" w:hAnsi="Calibri" w:eastAsia="宋体" w:cs="Times New Roman"/>
      <w:kern w:val="2"/>
      <w:sz w:val="22"/>
      <w:szCs w:val="22"/>
      <w:lang w:val="en-US" w:eastAsia="zh-CN" w:bidi="ar-SA"/>
    </w:rPr>
  </w:style>
  <w:style w:type="character" w:styleId="11">
    <w:name w:val="Hyperlink"/>
    <w:basedOn w:val="9"/>
    <w:qFormat/>
    <w:locked/>
    <w:uiPriority w:val="0"/>
    <w:rPr>
      <w:rFonts w:ascii="Calibri" w:hAnsi="Calibri" w:eastAsia="宋体" w:cs="Times New Roman"/>
      <w:color w:val="0000FF"/>
      <w:kern w:val="2"/>
      <w:sz w:val="22"/>
      <w:szCs w:val="22"/>
      <w:u w:val="single"/>
      <w:lang w:val="en-US" w:eastAsia="zh-CN" w:bidi="ar-SA"/>
    </w:rPr>
  </w:style>
  <w:style w:type="character" w:customStyle="1" w:styleId="12">
    <w:name w:val="标题 2 Char"/>
    <w:basedOn w:val="9"/>
    <w:link w:val="2"/>
    <w:qFormat/>
    <w:locked/>
    <w:uiPriority w:val="99"/>
    <w:rPr>
      <w:rFonts w:ascii="Arial" w:hAnsi="Arial" w:eastAsia="黑体" w:cs="宋体"/>
      <w:b/>
      <w:bCs/>
      <w:kern w:val="2"/>
      <w:sz w:val="32"/>
      <w:szCs w:val="32"/>
      <w:lang w:val="en-US" w:eastAsia="zh-CN" w:bidi="ar-SA"/>
    </w:rPr>
  </w:style>
  <w:style w:type="character" w:customStyle="1" w:styleId="13">
    <w:name w:val="页脚 Char"/>
    <w:basedOn w:val="9"/>
    <w:link w:val="5"/>
    <w:qFormat/>
    <w:locked/>
    <w:uiPriority w:val="99"/>
    <w:rPr>
      <w:rFonts w:ascii="Calibri" w:hAnsi="Calibri" w:eastAsia="宋体" w:cs="Times New Roman"/>
      <w:kern w:val="2"/>
      <w:sz w:val="18"/>
      <w:szCs w:val="18"/>
      <w:lang w:val="en-US" w:eastAsia="zh-CN" w:bidi="ar-SA"/>
    </w:rPr>
  </w:style>
  <w:style w:type="character" w:customStyle="1" w:styleId="14">
    <w:name w:val="页眉 Char"/>
    <w:basedOn w:val="9"/>
    <w:link w:val="6"/>
    <w:qFormat/>
    <w:locked/>
    <w:uiPriority w:val="99"/>
    <w:rPr>
      <w:rFonts w:ascii="Calibri" w:hAnsi="Calibri" w:eastAsia="宋体" w:cs="Times New Roman"/>
      <w:kern w:val="2"/>
      <w:sz w:val="18"/>
      <w:szCs w:val="18"/>
      <w:lang w:val="en-US" w:eastAsia="zh-CN" w:bidi="ar-SA"/>
    </w:rPr>
  </w:style>
  <w:style w:type="character" w:customStyle="1" w:styleId="15">
    <w:name w:val="样式 仿宋_GB2312 三号"/>
    <w:basedOn w:val="9"/>
    <w:qFormat/>
    <w:uiPriority w:val="99"/>
    <w:rPr>
      <w:rFonts w:ascii="仿宋_GB2312" w:hAnsi="Calibri" w:eastAsia="仿宋_GB2312" w:cs="Times New Roman"/>
      <w:kern w:val="2"/>
      <w:sz w:val="32"/>
      <w:szCs w:val="32"/>
      <w:lang w:val="en-US" w:eastAsia="zh-CN" w:bidi="ar-SA"/>
    </w:rPr>
  </w:style>
  <w:style w:type="paragraph" w:customStyle="1" w:styleId="16">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 w:type="paragraph" w:customStyle="1" w:styleId="17">
    <w:name w:val="Default"/>
    <w:unhideWhenUsed/>
    <w:uiPriority w:val="99"/>
    <w:pPr>
      <w:widowControl w:val="0"/>
      <w:autoSpaceDE w:val="0"/>
      <w:autoSpaceDN w:val="0"/>
      <w:adjustRightInd w:val="0"/>
      <w:spacing w:beforeLines="0" w:afterLines="0"/>
    </w:pPr>
    <w:rPr>
      <w:rFonts w:hint="default" w:ascii="宋体" w:hAnsi="宋体" w:eastAsia="宋体"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TotalTime>0</TotalTime>
  <ScaleCrop>false</ScaleCrop>
  <LinksUpToDate>false</LinksUpToDate>
  <CharactersWithSpaces>1490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Administrator</cp:lastModifiedBy>
  <dcterms:modified xsi:type="dcterms:W3CDTF">2019-04-16T08:59:14Z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docranid">
    <vt:lpwstr>8A8F286660E44908B7404D219F1E6CA7</vt:lpwstr>
  </property>
</Properties>
</file>