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一、</w:t>
      </w:r>
      <w:r>
        <w:rPr>
          <w:rFonts w:hint="eastAsia" w:eastAsia="方正仿宋_GBK"/>
          <w:sz w:val="32"/>
          <w:szCs w:val="32"/>
        </w:rPr>
        <w:t>县</w:t>
      </w:r>
      <w:r>
        <w:rPr>
          <w:rFonts w:eastAsia="方正仿宋_GBK"/>
          <w:sz w:val="32"/>
          <w:szCs w:val="32"/>
        </w:rPr>
        <w:t>人民政府第</w:t>
      </w:r>
      <w:r>
        <w:rPr>
          <w:rFonts w:eastAsia="方正仿宋_GBK"/>
          <w:spacing w:val="-8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次常务会议议题材料之X（使用3号方正仿宋GBK字体，“第几次常务会议”用阿拉伯数字（Times New Roman）、1、2、3、4……，“材料之X”，用大写“一、二、三、四……”）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二、汇报题目（2号方正小标宋GBK字体）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三、汇报单位、汇报时间（3号方正楷体GBK字体）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四、文中结构层次序</w:t>
      </w:r>
      <w:bookmarkStart w:id="0" w:name="_GoBack"/>
      <w:bookmarkEnd w:id="0"/>
      <w:r>
        <w:rPr>
          <w:rFonts w:eastAsia="方正仿宋_GBK"/>
          <w:sz w:val="32"/>
          <w:szCs w:val="32"/>
        </w:rPr>
        <w:t>数一般依次使用“一、”“（一）”“1﹒”“（1）”标注；第一层用3号方正黑体GBK字体、第二层用3号方正楷体GBK字体、第三层和第四层用3号方正仿宋GBK字体标注。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五、附件：在正文下空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行左空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字编排“附件”</w:t>
      </w:r>
      <w:r>
        <w:rPr>
          <w:rFonts w:hint="eastAsia" w:eastAsia="方正仿宋_GBK"/>
          <w:sz w:val="32"/>
          <w:szCs w:val="32"/>
        </w:rPr>
        <w:t>二</w:t>
      </w:r>
      <w:r>
        <w:rPr>
          <w:rFonts w:eastAsia="方正仿宋_GBK"/>
          <w:sz w:val="32"/>
          <w:szCs w:val="32"/>
        </w:rPr>
        <w:t>字，后标全角冒号和附件名称，附件名称要与附件标题一致，附件名称后面不用标点符号。附件名称较长需回行时，应当与上一行附件名称的首字对齐。有多个附件时，用1﹒2﹒3﹒自上而下依次对齐排列。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六、字体行间距设定为固定值28磅。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七、汇报材料要求言简意赅，突出重点，原则上字数不超过1000字</w:t>
      </w:r>
      <w:r>
        <w:rPr>
          <w:rFonts w:hint="eastAsia" w:eastAsia="方正仿宋_GBK"/>
          <w:sz w:val="32"/>
          <w:szCs w:val="32"/>
        </w:rPr>
        <w:t>（2页以内）</w:t>
      </w:r>
      <w:r>
        <w:rPr>
          <w:rFonts w:eastAsia="方正仿宋_GBK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8B1C3F"/>
    <w:rsid w:val="45560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4"/>
    <w:basedOn w:val="2"/>
    <w:uiPriority w:val="0"/>
    <w:rPr>
      <w:rFonts w:ascii="Calibri" w:hAnsi="Calibri" w:eastAsia="方正小标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2017-10-09T02:35:08Z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