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ind w:firstLine="480"/>
        <w:jc w:val="center"/>
        <w:rPr>
          <w:rFonts w:hint="eastAsia" w:ascii="方正仿宋_GBK" w:hAnsi="宋体" w:eastAsia="方正仿宋_GBK" w:cs="宋体"/>
          <w:b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2D374B"/>
          <w:kern w:val="0"/>
          <w:sz w:val="32"/>
          <w:szCs w:val="32"/>
        </w:rPr>
        <w:t>听证会须知</w:t>
      </w:r>
    </w:p>
    <w:p>
      <w:pPr>
        <w:widowControl/>
        <w:spacing w:line="480" w:lineRule="auto"/>
        <w:ind w:firstLine="640" w:firstLineChars="20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一、凡户籍在盈江县区域范围内、年满18周岁以上的公民（具有完全民事行为能力）、法人或组织均可申请参加听证。代表单位申请参加听证的，须提交单位证明及本人身份证复印件。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二、听证会申请人经盈江县农业局审核通过后获得听证资格。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三、参加听证会的代表应本着实事求是的原则，根据盈江县实际情况，有权对盈江县畜禽水产养殖禁养区划定方案的必要性、可行性、科学性和实用性等内容提出意见和建议，为政府决策提供参考。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四、会上发言时应当简明扼要，每人发言不超过5分钟，会后将相关资料交听证举办单位。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五、参加听证会人员未经听证主持人许可，不得提问、插话，发言时请先简要介绍本人姓名、所在单位和职务；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六、听证会代表应当亲自参加听证，逾期不参加本次听证会的，视为对本次听证内容无异议；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七、听证会代表应当遵守听证会纪律，自觉维护会场秩序，不得摄影、摄像（新闻媒体单位例外），不得随意走动，不得大声喧哗、哄闹和实施其它妨碍听证活动的行为。违反听证会纪律的，听证会主持人可以责令其退场；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八、听证会上提供的材料仅供听证会参加人发表意见时参考，会后收回。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0641B"/>
    <w:rsid w:val="61F0641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2018-06-26T12:26:00Z</dcterms:created>
  <dc:creator>Administrator</dc:creator>
  <cp:lastModifiedBy>Administrator</cp:lastModifiedBy>
  <dcterms:modified xsi:type="dcterms:W3CDTF">2018-06-26T12:26:35Z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