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spacing w:before="312" w:after="312"/>
        <w:ind w:firstLine="0" w:firstLineChars="0"/>
        <w:rPr>
          <w:bCs/>
          <w:color w:val="auto"/>
          <w:highlight w:val="none"/>
        </w:rPr>
      </w:pPr>
      <w:r>
        <w:rPr>
          <w:bCs/>
          <w:color w:val="auto"/>
          <w:highlight w:val="none"/>
        </w:rPr>
        <w:t>9</w:t>
      </w:r>
      <w:r>
        <w:rPr>
          <w:rFonts w:hint="eastAsia"/>
          <w:bCs/>
          <w:color w:val="auto"/>
          <w:highlight w:val="none"/>
        </w:rPr>
        <w:t>　信用评价</w:t>
      </w:r>
      <w:r>
        <w:rPr>
          <w:rFonts w:hint="eastAsia"/>
          <w:bCs/>
          <w:color w:val="auto"/>
          <w:highlight w:val="none"/>
          <w:lang w:eastAsia="zh-CN"/>
        </w:rPr>
        <w:t>指南</w:t>
      </w:r>
    </w:p>
    <w:p>
      <w:pPr>
        <w:spacing w:line="360" w:lineRule="auto"/>
        <w:ind w:firstLine="480" w:firstLineChars="200"/>
        <w:rPr>
          <w:rFonts w:ascii="楷体" w:hAnsi="楷体" w:eastAsia="楷体"/>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楷体" w:hAnsi="楷体" w:eastAsia="楷体"/>
          <w:sz w:val="24"/>
          <w:szCs w:val="24"/>
        </w:rPr>
      </w:pPr>
      <w:r>
        <w:rPr>
          <w:rFonts w:hint="eastAsia" w:ascii="楷体" w:hAnsi="楷体" w:eastAsia="楷体"/>
          <w:sz w:val="24"/>
          <w:szCs w:val="24"/>
        </w:rPr>
        <w:t>信用评价，是指税务机关根据采集的纳税人纳税信用信息，按照纳税信用管理相关规定，对纳税人在一定周期内的纳税信用状况所进行的评价。符合条件的纳税人可在规定期限内向作出评价的税务机关申请纳税信用复评、补评和修复。包括1类3个事项。</w:t>
      </w:r>
    </w:p>
    <w:p>
      <w:pPr>
        <w:pStyle w:val="12"/>
        <w:spacing w:beforeLines="300" w:after="468"/>
        <w:rPr>
          <w:color w:val="auto"/>
          <w:highlight w:val="none"/>
        </w:rPr>
      </w:pPr>
      <w:r>
        <w:rPr>
          <w:color w:val="auto"/>
          <w:highlight w:val="none"/>
        </w:rPr>
        <w:t>9</w:t>
      </w:r>
      <w:r>
        <w:rPr>
          <w:rFonts w:hint="eastAsia"/>
          <w:color w:val="auto"/>
          <w:highlight w:val="none"/>
        </w:rPr>
        <w:t>.1</w:t>
      </w:r>
      <w:r>
        <w:rPr>
          <w:rFonts w:hint="eastAsia"/>
          <w:bCs w:val="0"/>
          <w:color w:val="auto"/>
          <w:kern w:val="24"/>
          <w:sz w:val="36"/>
          <w:szCs w:val="36"/>
          <w:highlight w:val="none"/>
        </w:rPr>
        <w:t>　</w:t>
      </w:r>
      <w:r>
        <w:rPr>
          <w:rFonts w:hint="eastAsia"/>
          <w:color w:val="auto"/>
          <w:highlight w:val="none"/>
        </w:rPr>
        <w:t>信用评价</w:t>
      </w:r>
    </w:p>
    <w:p>
      <w:pPr>
        <w:pStyle w:val="20"/>
        <w:adjustRightInd/>
        <w:snapToGrid/>
        <w:spacing w:before="312" w:after="312"/>
        <w:rPr>
          <w:color w:val="auto"/>
          <w:highlight w:val="none"/>
        </w:rPr>
      </w:pPr>
      <w:r>
        <w:rPr>
          <w:rFonts w:hint="eastAsia"/>
          <w:color w:val="auto"/>
          <w:highlight w:val="none"/>
        </w:rPr>
        <w:t>9.1.1</w:t>
      </w:r>
      <w:r>
        <w:rPr>
          <w:color w:val="auto"/>
          <w:highlight w:val="none"/>
        </w:rPr>
        <w:t>—</w:t>
      </w:r>
      <w:r>
        <w:rPr>
          <w:rFonts w:hint="eastAsia"/>
          <w:color w:val="auto"/>
          <w:highlight w:val="none"/>
        </w:rPr>
        <w:t>178　纳税信用补评</w:t>
      </w:r>
    </w:p>
    <w:p>
      <w:pPr>
        <w:spacing w:line="360" w:lineRule="auto"/>
        <w:ind w:firstLine="480" w:firstLineChars="200"/>
        <w:rPr>
          <w:rFonts w:ascii="宋体" w:hAnsi="宋体"/>
          <w:color w:val="auto"/>
          <w:sz w:val="24"/>
          <w:szCs w:val="24"/>
          <w:highlight w:val="none"/>
        </w:rPr>
      </w:pPr>
      <w:r>
        <w:rPr>
          <w:rFonts w:hint="eastAsia" w:ascii="黑体" w:hAnsi="黑体" w:eastAsia="黑体"/>
          <w:bCs/>
          <w:color w:val="auto"/>
          <w:sz w:val="24"/>
          <w:szCs w:val="24"/>
          <w:highlight w:val="none"/>
        </w:rPr>
        <w:t>【事项名称】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纳税信用补评</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w:t>
      </w:r>
      <w:r>
        <w:rPr>
          <w:rFonts w:hint="eastAsia" w:ascii="黑体" w:hAnsi="黑体" w:eastAsia="黑体"/>
          <w:color w:val="auto"/>
          <w:sz w:val="24"/>
          <w:highlight w:val="none"/>
          <w:lang w:eastAsia="zh-CN"/>
        </w:rPr>
        <w:t>申请条件</w:t>
      </w:r>
      <w:r>
        <w:rPr>
          <w:rFonts w:hint="eastAsia" w:ascii="黑体" w:hAnsi="黑体" w:eastAsia="黑体"/>
          <w:color w:val="auto"/>
          <w:sz w:val="24"/>
          <w:highlight w:val="none"/>
        </w:rPr>
        <w:t>】</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纳税人因涉嫌税收违法被立案查处尚未结案；被审计、财政部门依法查出税收违法行为，税务机关正在依法处理，尚未办结；已申请税务行政复议、提起行政诉讼尚未结案等原因未</w:t>
      </w:r>
      <w:r>
        <w:rPr>
          <w:rFonts w:hint="eastAsia" w:ascii="宋体" w:hAnsi="宋体"/>
          <w:color w:val="auto"/>
          <w:sz w:val="24"/>
          <w:szCs w:val="24"/>
          <w:highlight w:val="none"/>
          <w:lang w:val="en-US"/>
        </w:rPr>
        <w:t>予</w:t>
      </w:r>
      <w:r>
        <w:rPr>
          <w:rFonts w:hint="eastAsia" w:ascii="宋体" w:hAnsi="宋体"/>
          <w:color w:val="auto"/>
          <w:sz w:val="24"/>
          <w:szCs w:val="24"/>
          <w:highlight w:val="none"/>
        </w:rPr>
        <w:t>纳税信用评价，可待上述情形解除后，向主管税务机关申请补充评价。纳税人对</w:t>
      </w:r>
      <w:r>
        <w:rPr>
          <w:rFonts w:hint="eastAsia" w:ascii="宋体" w:hAnsi="宋体"/>
          <w:color w:val="auto"/>
          <w:sz w:val="24"/>
          <w:szCs w:val="24"/>
          <w:highlight w:val="none"/>
          <w:lang w:eastAsia="zh-CN"/>
        </w:rPr>
        <w:t>当期</w:t>
      </w:r>
      <w:r>
        <w:rPr>
          <w:rFonts w:hint="eastAsia" w:ascii="宋体" w:hAnsi="宋体"/>
          <w:color w:val="auto"/>
          <w:sz w:val="24"/>
          <w:szCs w:val="24"/>
          <w:highlight w:val="none"/>
        </w:rPr>
        <w:t>未予纳税信用评价有异议，也可向主管税务机关申请补充评价。</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【设定依据】</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《国家税务总局关于发布〈纳税信用管理办法（试行）〉的公告》（国家税务总局公告</w:t>
      </w:r>
      <w:r>
        <w:rPr>
          <w:rFonts w:hint="eastAsia" w:ascii="宋体" w:hAnsi="宋体"/>
          <w:color w:val="auto"/>
          <w:sz w:val="24"/>
          <w:szCs w:val="24"/>
          <w:highlight w:val="none"/>
          <w:lang w:eastAsia="zh-CN"/>
        </w:rPr>
        <w:t>2014</w:t>
      </w:r>
      <w:r>
        <w:rPr>
          <w:rFonts w:hint="eastAsia" w:ascii="宋体" w:hAnsi="宋体"/>
          <w:color w:val="auto"/>
          <w:sz w:val="24"/>
          <w:szCs w:val="24"/>
          <w:highlight w:val="none"/>
        </w:rPr>
        <w:t>年第</w:t>
      </w:r>
      <w:r>
        <w:rPr>
          <w:rFonts w:hint="eastAsia" w:ascii="宋体" w:hAnsi="宋体"/>
          <w:color w:val="auto"/>
          <w:sz w:val="24"/>
          <w:szCs w:val="24"/>
          <w:highlight w:val="none"/>
          <w:lang w:eastAsia="zh-CN"/>
        </w:rPr>
        <w:t>40</w:t>
      </w:r>
      <w:r>
        <w:rPr>
          <w:rFonts w:hint="eastAsia" w:ascii="宋体" w:hAnsi="宋体"/>
          <w:color w:val="auto"/>
          <w:sz w:val="24"/>
          <w:szCs w:val="24"/>
          <w:highlight w:val="none"/>
        </w:rPr>
        <w:t>号）第二十五条</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《国家税务总局关于明确纳税信用补评和复评事项的公告》（国家税务总局公告</w:t>
      </w:r>
      <w:r>
        <w:rPr>
          <w:rFonts w:hint="eastAsia" w:ascii="宋体" w:hAnsi="宋体"/>
          <w:color w:val="auto"/>
          <w:sz w:val="24"/>
          <w:szCs w:val="24"/>
          <w:highlight w:val="none"/>
          <w:lang w:eastAsia="zh-CN"/>
        </w:rPr>
        <w:t>2015</w:t>
      </w:r>
      <w:r>
        <w:rPr>
          <w:rFonts w:hint="eastAsia" w:ascii="宋体" w:hAnsi="宋体"/>
          <w:color w:val="auto"/>
          <w:sz w:val="24"/>
          <w:szCs w:val="24"/>
          <w:highlight w:val="none"/>
        </w:rPr>
        <w:t>年第</w:t>
      </w:r>
      <w:r>
        <w:rPr>
          <w:rFonts w:hint="eastAsia" w:ascii="宋体" w:hAnsi="宋体"/>
          <w:color w:val="auto"/>
          <w:sz w:val="24"/>
          <w:szCs w:val="24"/>
          <w:highlight w:val="none"/>
          <w:lang w:eastAsia="zh-CN"/>
        </w:rPr>
        <w:t>46</w:t>
      </w:r>
      <w:r>
        <w:rPr>
          <w:rFonts w:hint="eastAsia" w:ascii="宋体" w:hAnsi="宋体"/>
          <w:color w:val="auto"/>
          <w:sz w:val="24"/>
          <w:szCs w:val="24"/>
          <w:highlight w:val="none"/>
        </w:rPr>
        <w:t>号）</w:t>
      </w:r>
    </w:p>
    <w:p>
      <w:pPr>
        <w:spacing w:line="360" w:lineRule="auto"/>
        <w:ind w:firstLine="480" w:firstLineChars="200"/>
        <w:rPr>
          <w:rFonts w:hint="eastAsia" w:ascii="黑体" w:hAnsi="黑体" w:eastAsia="黑体"/>
          <w:bCs/>
          <w:color w:val="auto"/>
          <w:sz w:val="24"/>
          <w:szCs w:val="24"/>
          <w:highlight w:val="none"/>
          <w:lang w:eastAsia="zh-CN"/>
        </w:rPr>
      </w:pPr>
      <w:r>
        <w:rPr>
          <w:rFonts w:hint="eastAsia" w:ascii="黑体" w:hAnsi="黑体" w:eastAsia="黑体"/>
          <w:bCs/>
          <w:color w:val="auto"/>
          <w:sz w:val="24"/>
          <w:szCs w:val="24"/>
          <w:highlight w:val="none"/>
          <w:lang w:eastAsia="zh-CN"/>
        </w:rPr>
        <w:t>【办理材料】</w:t>
      </w:r>
    </w:p>
    <w:tbl>
      <w:tblPr>
        <w:tblStyle w:val="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bCs/>
                <w:color w:val="auto"/>
                <w:sz w:val="21"/>
                <w:szCs w:val="21"/>
                <w:highlight w:val="none"/>
              </w:rPr>
            </w:pPr>
            <w:r>
              <w:rPr>
                <w:rFonts w:ascii="黑体" w:hAnsi="黑体" w:eastAsia="黑体" w:cs="Times New Roman"/>
                <w:bCs/>
                <w:color w:val="auto"/>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bCs/>
                <w:color w:val="auto"/>
                <w:sz w:val="21"/>
                <w:szCs w:val="21"/>
                <w:highlight w:val="none"/>
              </w:rPr>
            </w:pPr>
            <w:r>
              <w:rPr>
                <w:rFonts w:ascii="黑体" w:hAnsi="黑体" w:eastAsia="黑体" w:cs="Times New Roman"/>
                <w:bCs/>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bCs/>
                <w:color w:val="auto"/>
                <w:sz w:val="21"/>
                <w:szCs w:val="21"/>
                <w:highlight w:val="none"/>
              </w:rPr>
            </w:pPr>
            <w:r>
              <w:rPr>
                <w:rFonts w:ascii="黑体" w:hAnsi="黑体" w:eastAsia="黑体" w:cs="Times New Roman"/>
                <w:bCs/>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bCs/>
                <w:color w:val="auto"/>
                <w:sz w:val="21"/>
                <w:szCs w:val="21"/>
                <w:highlight w:val="none"/>
              </w:rPr>
            </w:pPr>
            <w:r>
              <w:rPr>
                <w:rFonts w:ascii="黑体" w:hAnsi="黑体" w:eastAsia="黑体" w:cs="Times New Roman"/>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Times New Roman"/>
                <w:bCs/>
                <w:color w:val="auto"/>
                <w:sz w:val="18"/>
                <w:szCs w:val="18"/>
                <w:highlight w:val="none"/>
                <w:lang w:eastAsia="zh-CN"/>
              </w:rPr>
            </w:pPr>
            <w:r>
              <w:rPr>
                <w:rFonts w:hint="eastAsia" w:ascii="Times New Roman" w:hAnsi="Times New Roman" w:eastAsia="黑体" w:cs="Times New Roman"/>
                <w:bCs/>
                <w:caps w:val="0"/>
                <w:smallCaps w:val="0"/>
                <w:strike w:val="0"/>
                <w:dstrike w:val="0"/>
                <w:outline w:val="0"/>
                <w:shadow w:val="0"/>
                <w:emboss w:val="0"/>
                <w:imprint w:val="0"/>
                <w:vanish w:val="0"/>
                <w:color w:val="auto"/>
                <w:sz w:val="18"/>
                <w:szCs w:val="18"/>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bCs/>
                <w:color w:val="auto"/>
                <w:sz w:val="18"/>
                <w:szCs w:val="18"/>
                <w:highlight w:val="none"/>
              </w:rPr>
            </w:pPr>
            <w:r>
              <w:rPr>
                <w:rFonts w:ascii="黑体" w:hAnsi="黑体" w:eastAsia="黑体" w:cs="Times New Roman"/>
                <w:bCs/>
                <w:color w:val="auto"/>
                <w:sz w:val="18"/>
                <w:szCs w:val="18"/>
                <w:highlight w:val="none"/>
              </w:rPr>
              <w:t>《纳税信用补评申请表》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bCs/>
                <w:color w:val="auto"/>
                <w:sz w:val="18"/>
                <w:szCs w:val="18"/>
                <w:highlight w:val="none"/>
              </w:rPr>
            </w:pPr>
            <w:r>
              <w:rPr>
                <w:rFonts w:hint="eastAsia" w:ascii="Times New Roman" w:hAnsi="Times New Roman" w:eastAsia="黑体" w:cs="Times New Roman"/>
                <w:bCs/>
                <w:caps w:val="0"/>
                <w:smallCaps w:val="0"/>
                <w:strike w:val="0"/>
                <w:dstrike w:val="0"/>
                <w:outline w:val="0"/>
                <w:shadow w:val="0"/>
                <w:emboss w:val="0"/>
                <w:imprint w:val="0"/>
                <w:vanish w:val="0"/>
                <w:color w:val="auto"/>
                <w:sz w:val="18"/>
                <w:szCs w:val="18"/>
                <w:highlight w:val="none"/>
                <w:lang w:eastAsia="zh-CN"/>
              </w:rPr>
              <w:t>2</w:t>
            </w:r>
            <w:r>
              <w:rPr>
                <w:rFonts w:ascii="黑体" w:hAnsi="黑体" w:eastAsia="黑体" w:cs="Times New Roman"/>
                <w:bCs/>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bCs/>
                <w:color w:val="auto"/>
                <w:sz w:val="18"/>
                <w:szCs w:val="18"/>
                <w:highlight w:val="none"/>
              </w:rPr>
            </w:pPr>
          </w:p>
        </w:tc>
      </w:tr>
    </w:tbl>
    <w:p>
      <w:pPr>
        <w:spacing w:line="360" w:lineRule="auto"/>
        <w:ind w:firstLine="480" w:firstLineChars="200"/>
        <w:rPr>
          <w:rFonts w:hint="eastAsia" w:ascii="黑体" w:hAnsi="黑体" w:eastAsia="黑体"/>
          <w:bCs/>
          <w:color w:val="auto"/>
          <w:sz w:val="24"/>
          <w:szCs w:val="24"/>
          <w:highlight w:val="none"/>
        </w:rPr>
      </w:pP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【办理地点】</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color w:val="auto"/>
          <w:sz w:val="24"/>
          <w:szCs w:val="24"/>
          <w:highlight w:val="none"/>
        </w:rPr>
        <w:t>办理，具体网址可从</w:t>
      </w:r>
      <w:r>
        <w:rPr>
          <w:rFonts w:hint="eastAsia" w:ascii="宋体" w:hAnsi="宋体"/>
          <w:color w:val="auto"/>
          <w:sz w:val="24"/>
          <w:szCs w:val="24"/>
          <w:highlight w:val="none"/>
          <w:lang w:eastAsia="zh-CN"/>
        </w:rPr>
        <w:t>云南省</w:t>
      </w:r>
      <w:r>
        <w:rPr>
          <w:rFonts w:hint="eastAsia" w:ascii="宋体" w:hAnsi="宋体"/>
          <w:color w:val="auto"/>
          <w:sz w:val="24"/>
          <w:szCs w:val="24"/>
          <w:highlight w:val="none"/>
        </w:rPr>
        <w:t>税务局网站“纳税服务”栏目查询。</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【办理机构】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主管税务机关</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【收费标准】</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不收费</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【办理时间】</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应自受理之日起</w:t>
      </w:r>
      <w:r>
        <w:rPr>
          <w:rFonts w:hint="eastAsia" w:ascii="宋体" w:hAnsi="宋体"/>
          <w:color w:val="auto"/>
          <w:sz w:val="24"/>
          <w:szCs w:val="24"/>
          <w:highlight w:val="none"/>
          <w:lang w:eastAsia="zh-CN"/>
        </w:rPr>
        <w:t>15</w:t>
      </w:r>
      <w:r>
        <w:rPr>
          <w:rFonts w:hint="eastAsia" w:ascii="宋体" w:hAnsi="宋体"/>
          <w:color w:val="auto"/>
          <w:sz w:val="24"/>
          <w:szCs w:val="24"/>
          <w:highlight w:val="none"/>
        </w:rPr>
        <w:t>个工作日内办结。</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【联系电话】</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主管税务机关对外公开的联系电话，可从</w:t>
      </w:r>
      <w:r>
        <w:rPr>
          <w:rFonts w:hint="eastAsia" w:ascii="宋体" w:hAnsi="宋体"/>
          <w:color w:val="auto"/>
          <w:sz w:val="24"/>
          <w:szCs w:val="24"/>
          <w:highlight w:val="none"/>
          <w:lang w:eastAsia="zh-CN"/>
        </w:rPr>
        <w:t>云南省</w:t>
      </w:r>
      <w:r>
        <w:rPr>
          <w:rFonts w:hint="eastAsia" w:ascii="宋体" w:hAnsi="宋体"/>
          <w:color w:val="auto"/>
          <w:sz w:val="24"/>
          <w:szCs w:val="24"/>
          <w:highlight w:val="none"/>
        </w:rPr>
        <w:t>税务局网站“纳税服务”栏目查询。</w:t>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【办理流程】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drawing>
          <wp:inline distT="0" distB="0" distL="114300" distR="114300">
            <wp:extent cx="5184140" cy="1769745"/>
            <wp:effectExtent l="0" t="0" r="12700" b="13335"/>
            <wp:docPr id="124" name="图片 124" descr="C:\Users\baoqianyu\Desktop\流程图\流转\纳税人.png纳税人"/>
            <wp:cNvGraphicFramePr/>
            <a:graphic xmlns:a="http://schemas.openxmlformats.org/drawingml/2006/main">
              <a:graphicData uri="http://schemas.openxmlformats.org/drawingml/2006/picture">
                <pic:pic xmlns:pic="http://schemas.openxmlformats.org/drawingml/2006/picture">
                  <pic:nvPicPr>
                    <pic:cNvPr id="124" name="图片 124" descr="C:\Users\baoqianyu\Desktop\流程图\流转\纳税人.png纳税人"/>
                    <pic:cNvPicPr/>
                  </pic:nvPicPr>
                  <pic:blipFill>
                    <a:blip r:embed="rId4"/>
                    <a:srcRect/>
                    <a:stretch>
                      <a:fillRect/>
                    </a:stretch>
                  </pic:blipFill>
                  <pic:spPr>
                    <a:xfrm>
                      <a:off x="0" y="0"/>
                      <a:ext cx="5184140" cy="1769745"/>
                    </a:xfrm>
                    <a:prstGeom prst="rect">
                      <a:avLst/>
                    </a:prstGeom>
                  </pic:spPr>
                </pic:pic>
              </a:graphicData>
            </a:graphic>
          </wp:inline>
        </w:drawing>
      </w:r>
    </w:p>
    <w:p>
      <w:pPr>
        <w:spacing w:line="360" w:lineRule="auto"/>
        <w:ind w:firstLine="480" w:firstLineChars="200"/>
        <w:rPr>
          <w:rFonts w:hint="eastAsia" w:ascii="黑体" w:hAnsi="黑体" w:eastAsia="黑体"/>
          <w:bCs/>
          <w:color w:val="auto"/>
          <w:sz w:val="24"/>
          <w:szCs w:val="24"/>
          <w:highlight w:val="none"/>
        </w:rPr>
      </w:pPr>
      <w:r>
        <w:rPr>
          <w:rFonts w:hint="eastAsia" w:ascii="黑体" w:hAnsi="黑体" w:eastAsia="黑体"/>
          <w:bCs/>
          <w:color w:val="auto"/>
          <w:sz w:val="24"/>
          <w:szCs w:val="24"/>
          <w:highlight w:val="none"/>
        </w:rPr>
        <w:t>【纳税人注意事项】</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纳税人对报送材料的真实性和合法性承担责任。</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纳税人使用符合电子签名法规定条件的电子签名，与手写签名或者盖章具有同等法律效力。</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3.文书表单可在云南省税务局网站“下载中心”栏目查询下载或到办税服务厅领取</w:t>
      </w:r>
      <w:r>
        <w:rPr>
          <w:rFonts w:hint="eastAsia" w:ascii="宋体" w:hAnsi="宋体"/>
          <w:color w:val="auto"/>
          <w:sz w:val="24"/>
          <w:szCs w:val="24"/>
          <w:highlight w:val="none"/>
        </w:rPr>
        <w:t>。</w:t>
      </w:r>
    </w:p>
    <w:p>
      <w:pPr>
        <w:pStyle w:val="15"/>
        <w:adjustRightInd/>
        <w:snapToGrid/>
        <w:rPr>
          <w:color w:val="auto"/>
          <w:highlight w:val="none"/>
        </w:rPr>
      </w:pPr>
    </w:p>
    <w:p>
      <w:pPr>
        <w:keepNext/>
        <w:topLinePunct/>
        <w:spacing w:afterLines="125" w:line="360" w:lineRule="auto"/>
        <w:ind w:firstLine="510"/>
        <w:outlineLvl w:val="2"/>
        <w:rPr>
          <w:rFonts w:ascii="Times New Roman" w:hAnsi="Times New Roman" w:eastAsia="黑体"/>
          <w:b/>
          <w:bCs/>
          <w:color w:val="auto"/>
          <w:kern w:val="24"/>
          <w:sz w:val="28"/>
          <w:szCs w:val="28"/>
          <w:highlight w:val="none"/>
        </w:rPr>
      </w:pPr>
      <w:r>
        <w:rPr>
          <w:rFonts w:hint="eastAsia" w:ascii="Times New Roman" w:hAnsi="Times New Roman" w:eastAsia="黑体"/>
          <w:b/>
          <w:bCs/>
          <w:color w:val="auto"/>
          <w:kern w:val="24"/>
          <w:sz w:val="28"/>
          <w:szCs w:val="28"/>
          <w:highlight w:val="none"/>
        </w:rPr>
        <w:t>9.1.2</w:t>
      </w:r>
      <w:r>
        <w:rPr>
          <w:rFonts w:ascii="Times New Roman" w:hAnsi="Times New Roman" w:eastAsia="黑体"/>
          <w:b/>
          <w:bCs/>
          <w:color w:val="auto"/>
          <w:kern w:val="24"/>
          <w:sz w:val="28"/>
          <w:szCs w:val="28"/>
          <w:highlight w:val="none"/>
        </w:rPr>
        <w:t>—</w:t>
      </w:r>
      <w:r>
        <w:rPr>
          <w:rFonts w:hint="eastAsia" w:ascii="Times New Roman" w:hAnsi="Times New Roman" w:eastAsia="黑体"/>
          <w:b/>
          <w:bCs/>
          <w:color w:val="auto"/>
          <w:kern w:val="24"/>
          <w:sz w:val="28"/>
          <w:szCs w:val="28"/>
          <w:highlight w:val="none"/>
        </w:rPr>
        <w:t>179　纳税信用复评</w:t>
      </w:r>
    </w:p>
    <w:p>
      <w:pPr>
        <w:spacing w:line="360" w:lineRule="auto"/>
        <w:ind w:firstLine="480" w:firstLineChars="200"/>
        <w:rPr>
          <w:rFonts w:ascii="黑体" w:hAnsi="黑体" w:eastAsia="黑体"/>
          <w:bCs/>
          <w:color w:val="auto"/>
          <w:sz w:val="24"/>
          <w:szCs w:val="24"/>
          <w:highlight w:val="none"/>
        </w:rPr>
      </w:pPr>
      <w:r>
        <w:rPr>
          <w:rFonts w:hint="eastAsia" w:ascii="黑体" w:hAnsi="黑体" w:eastAsia="黑体"/>
          <w:bCs/>
          <w:color w:val="auto"/>
          <w:sz w:val="24"/>
          <w:szCs w:val="24"/>
          <w:highlight w:val="none"/>
        </w:rPr>
        <w:t>【事项名称】</w:t>
      </w:r>
    </w:p>
    <w:p>
      <w:pPr>
        <w:pStyle w:val="22"/>
        <w:adjustRightInd/>
        <w:snapToGrid/>
        <w:ind w:firstLine="480"/>
        <w:rPr>
          <w:b w:val="0"/>
          <w:color w:val="auto"/>
          <w:highlight w:val="none"/>
        </w:rPr>
      </w:pPr>
      <w:r>
        <w:rPr>
          <w:rFonts w:hint="eastAsia"/>
          <w:b w:val="0"/>
          <w:color w:val="auto"/>
          <w:highlight w:val="none"/>
        </w:rPr>
        <w:t>纳税信用复评</w:t>
      </w:r>
    </w:p>
    <w:p>
      <w:pPr>
        <w:spacing w:line="360" w:lineRule="auto"/>
        <w:ind w:firstLine="480" w:firstLineChars="200"/>
        <w:rPr>
          <w:rFonts w:ascii="黑体" w:hAnsi="黑体" w:eastAsia="黑体"/>
          <w:bCs/>
          <w:color w:val="auto"/>
          <w:sz w:val="24"/>
          <w:szCs w:val="24"/>
          <w:highlight w:val="none"/>
        </w:rPr>
      </w:pPr>
      <w:r>
        <w:rPr>
          <w:rFonts w:hint="eastAsia" w:ascii="黑体" w:hAnsi="黑体" w:eastAsia="黑体"/>
          <w:bCs/>
          <w:color w:val="auto"/>
          <w:sz w:val="24"/>
          <w:szCs w:val="24"/>
          <w:highlight w:val="none"/>
        </w:rPr>
        <w:t>【</w:t>
      </w:r>
      <w:r>
        <w:rPr>
          <w:rFonts w:hint="eastAsia" w:ascii="黑体" w:hAnsi="黑体" w:eastAsia="黑体"/>
          <w:bCs/>
          <w:color w:val="auto"/>
          <w:sz w:val="24"/>
          <w:szCs w:val="24"/>
          <w:highlight w:val="none"/>
          <w:lang w:eastAsia="zh-CN"/>
        </w:rPr>
        <w:t>申请条件</w:t>
      </w:r>
      <w:r>
        <w:rPr>
          <w:rFonts w:hint="eastAsia" w:ascii="黑体" w:hAnsi="黑体" w:eastAsia="黑体"/>
          <w:bCs/>
          <w:color w:val="auto"/>
          <w:sz w:val="24"/>
          <w:szCs w:val="24"/>
          <w:highlight w:val="none"/>
        </w:rPr>
        <w:t>】</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已纳入纳税信用管理的纳税人，对纳税信用评价结果有异议，可在纳税信用评价结果确定的当年内向主管税务机关申请复核。</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【设定依据】</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1.</w:t>
      </w:r>
      <w:r>
        <w:rPr>
          <w:rFonts w:ascii="宋体" w:hAnsi="宋体" w:cs="Times New Roman"/>
          <w:color w:val="auto"/>
          <w:sz w:val="24"/>
          <w:szCs w:val="24"/>
          <w:highlight w:val="none"/>
        </w:rPr>
        <w:t>《国家税务总局关于发布〈纳税信用管理办法（试行）〉的公告》（国家税务总局公告</w:t>
      </w: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2014</w:t>
      </w:r>
      <w:r>
        <w:rPr>
          <w:rFonts w:ascii="宋体" w:hAnsi="宋体" w:cs="Times New Roman"/>
          <w:color w:val="auto"/>
          <w:sz w:val="24"/>
          <w:szCs w:val="24"/>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40</w:t>
      </w:r>
      <w:r>
        <w:rPr>
          <w:rFonts w:ascii="宋体" w:hAnsi="宋体" w:cs="Times New Roman"/>
          <w:color w:val="auto"/>
          <w:sz w:val="24"/>
          <w:szCs w:val="24"/>
          <w:highlight w:val="none"/>
        </w:rPr>
        <w:t>号）第二十五条</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2.</w:t>
      </w:r>
      <w:r>
        <w:rPr>
          <w:rFonts w:ascii="宋体" w:hAnsi="宋体" w:cs="Times New Roman"/>
          <w:color w:val="auto"/>
          <w:sz w:val="24"/>
          <w:szCs w:val="24"/>
          <w:highlight w:val="none"/>
        </w:rPr>
        <w:t>《国家税务总局关于明确纳税信用补评和复评事项的公告》（国家税务总局公告</w:t>
      </w: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2015</w:t>
      </w:r>
      <w:r>
        <w:rPr>
          <w:rFonts w:ascii="宋体" w:hAnsi="宋体" w:cs="Times New Roman"/>
          <w:color w:val="auto"/>
          <w:sz w:val="24"/>
          <w:szCs w:val="24"/>
          <w:highlight w:val="none"/>
        </w:rPr>
        <w:t>年第</w:t>
      </w: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46</w:t>
      </w:r>
      <w:r>
        <w:rPr>
          <w:rFonts w:ascii="宋体" w:hAnsi="宋体" w:cs="Times New Roman"/>
          <w:color w:val="auto"/>
          <w:sz w:val="24"/>
          <w:szCs w:val="24"/>
          <w:highlight w:val="none"/>
        </w:rPr>
        <w:t>号）</w:t>
      </w:r>
    </w:p>
    <w:p>
      <w:pPr>
        <w:wordWrap w:val="0"/>
        <w:spacing w:line="360" w:lineRule="auto"/>
        <w:ind w:firstLine="480"/>
        <w:rPr>
          <w:rFonts w:hint="eastAsia" w:ascii="黑体" w:hAnsi="黑体" w:eastAsia="黑体" w:cs="Times New Roman"/>
          <w:bCs/>
          <w:color w:val="auto"/>
          <w:sz w:val="24"/>
          <w:szCs w:val="24"/>
          <w:highlight w:val="none"/>
          <w:lang w:eastAsia="zh-CN"/>
        </w:rPr>
      </w:pPr>
      <w:r>
        <w:rPr>
          <w:rFonts w:hint="eastAsia" w:ascii="黑体" w:hAnsi="黑体" w:eastAsia="黑体" w:cs="Times New Roman"/>
          <w:bCs/>
          <w:color w:val="auto"/>
          <w:sz w:val="24"/>
          <w:szCs w:val="24"/>
          <w:highlight w:val="none"/>
          <w:lang w:eastAsia="zh-CN"/>
        </w:rPr>
        <w:t>【办理材料】</w:t>
      </w:r>
    </w:p>
    <w:tbl>
      <w:tblPr>
        <w:tblStyle w:val="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color w:val="auto"/>
                <w:sz w:val="21"/>
                <w:szCs w:val="21"/>
                <w:highlight w:val="none"/>
              </w:rPr>
            </w:pPr>
            <w:r>
              <w:rPr>
                <w:rFonts w:ascii="黑体" w:hAnsi="黑体" w:eastAsia="黑体" w:cs="Times New Roman"/>
                <w:color w:val="auto"/>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color w:val="auto"/>
                <w:sz w:val="21"/>
                <w:szCs w:val="21"/>
                <w:highlight w:val="none"/>
              </w:rPr>
            </w:pPr>
            <w:r>
              <w:rPr>
                <w:rFonts w:ascii="黑体" w:hAnsi="黑体" w:eastAsia="黑体" w:cs="Times New Roman"/>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color w:val="auto"/>
                <w:sz w:val="21"/>
                <w:szCs w:val="21"/>
                <w:highlight w:val="none"/>
              </w:rPr>
            </w:pPr>
            <w:r>
              <w:rPr>
                <w:rFonts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eastAsia" w:ascii="黑体" w:hAnsi="黑体" w:eastAsia="黑体" w:cs="Times New Roman"/>
                <w:color w:val="auto"/>
                <w:sz w:val="21"/>
                <w:szCs w:val="21"/>
                <w:highlight w:val="none"/>
                <w:lang w:eastAsia="zh-CN"/>
              </w:rPr>
            </w:pPr>
            <w:r>
              <w:rPr>
                <w:rFonts w:hint="eastAsia" w:ascii="Times New Roman" w:hAnsi="Times New Roman" w:eastAsia="黑体" w:cs="Times New Roman"/>
                <w:caps w:val="0"/>
                <w:smallCaps w:val="0"/>
                <w:strike w:val="0"/>
                <w:dstrike w:val="0"/>
                <w:outline w:val="0"/>
                <w:shadow w:val="0"/>
                <w:emboss w:val="0"/>
                <w:imprint w:val="0"/>
                <w:vanish w:val="0"/>
                <w:color w:val="auto"/>
                <w:sz w:val="21"/>
                <w:szCs w:val="21"/>
                <w:highlight w:val="none"/>
                <w:lang w:eastAsia="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color w:val="auto"/>
                <w:sz w:val="21"/>
                <w:szCs w:val="21"/>
                <w:highlight w:val="none"/>
              </w:rPr>
            </w:pPr>
            <w:r>
              <w:rPr>
                <w:rFonts w:ascii="黑体" w:hAnsi="黑体" w:eastAsia="黑体" w:cs="Microsoft Himalaya"/>
                <w:color w:val="auto"/>
                <w:sz w:val="21"/>
                <w:szCs w:val="21"/>
                <w:highlight w:val="none"/>
              </w:rPr>
              <w:t>《纳税信用复评申请表》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color w:val="auto"/>
                <w:sz w:val="21"/>
                <w:szCs w:val="21"/>
                <w:highlight w:val="none"/>
              </w:rPr>
            </w:pPr>
            <w:r>
              <w:rPr>
                <w:rFonts w:hint="eastAsia" w:ascii="Times New Roman" w:hAnsi="Times New Roman" w:eastAsia="黑体" w:cs="Times New Roman"/>
                <w:caps w:val="0"/>
                <w:smallCaps w:val="0"/>
                <w:strike w:val="0"/>
                <w:dstrike w:val="0"/>
                <w:outline w:val="0"/>
                <w:shadow w:val="0"/>
                <w:emboss w:val="0"/>
                <w:imprint w:val="0"/>
                <w:vanish w:val="0"/>
                <w:color w:val="auto"/>
                <w:sz w:val="21"/>
                <w:szCs w:val="21"/>
                <w:highlight w:val="none"/>
                <w:lang w:eastAsia="zh-CN"/>
              </w:rPr>
              <w:t>2</w:t>
            </w:r>
            <w:r>
              <w:rPr>
                <w:rFonts w:ascii="黑体" w:hAnsi="黑体" w:eastAsia="黑体" w:cs="Microsoft Himalaya"/>
                <w:color w:val="auto"/>
                <w:sz w:val="21"/>
                <w:szCs w:val="21"/>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color w:val="auto"/>
                <w:sz w:val="21"/>
                <w:szCs w:val="21"/>
                <w:highlight w:val="none"/>
              </w:rPr>
            </w:pPr>
          </w:p>
        </w:tc>
      </w:tr>
    </w:tbl>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【办理地点】</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color w:val="auto"/>
          <w:sz w:val="24"/>
          <w:szCs w:val="24"/>
          <w:highlight w:val="none"/>
        </w:rPr>
        <w:t>办理，具体网址可从</w:t>
      </w:r>
      <w:r>
        <w:rPr>
          <w:rFonts w:hint="eastAsia" w:ascii="宋体" w:hAnsi="宋体" w:cs="Times New Roman"/>
          <w:color w:val="auto"/>
          <w:sz w:val="24"/>
          <w:szCs w:val="24"/>
          <w:highlight w:val="none"/>
          <w:lang w:eastAsia="zh-CN"/>
        </w:rPr>
        <w:t>云南省</w:t>
      </w:r>
      <w:r>
        <w:rPr>
          <w:rFonts w:ascii="宋体" w:hAnsi="宋体" w:cs="Times New Roman"/>
          <w:color w:val="auto"/>
          <w:sz w:val="24"/>
          <w:szCs w:val="24"/>
          <w:highlight w:val="none"/>
        </w:rPr>
        <w:t>税务局网站“纳税服务”栏目查询。</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【办理机构】</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主管税务机关</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【收费标准】</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不收费</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【办理时间】</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自受理之日起</w:t>
      </w: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15</w:t>
      </w:r>
      <w:r>
        <w:rPr>
          <w:rFonts w:hint="default" w:ascii="宋体" w:hAnsi="宋体" w:cs="Times New Roman"/>
          <w:color w:val="auto"/>
          <w:sz w:val="24"/>
          <w:szCs w:val="24"/>
          <w:highlight w:val="none"/>
        </w:rPr>
        <w:t>个工作日内办结</w:t>
      </w:r>
      <w:r>
        <w:rPr>
          <w:rFonts w:ascii="宋体" w:hAnsi="宋体" w:cs="Times New Roman"/>
          <w:color w:val="auto"/>
          <w:sz w:val="24"/>
          <w:szCs w:val="24"/>
          <w:highlight w:val="none"/>
        </w:rPr>
        <w:t xml:space="preserve"> </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【联系电话】</w:t>
      </w:r>
    </w:p>
    <w:p>
      <w:pPr>
        <w:wordWrap w:val="0"/>
        <w:spacing w:line="360" w:lineRule="auto"/>
        <w:ind w:firstLine="480"/>
        <w:rPr>
          <w:rFonts w:hint="default" w:ascii="宋体" w:hAnsi="宋体" w:cs="Times New Roman"/>
          <w:color w:val="auto"/>
          <w:sz w:val="24"/>
          <w:szCs w:val="24"/>
          <w:highlight w:val="none"/>
        </w:rPr>
      </w:pPr>
      <w:r>
        <w:rPr>
          <w:rFonts w:ascii="宋体" w:hAnsi="宋体" w:cs="Times New Roman"/>
          <w:color w:val="auto"/>
          <w:sz w:val="24"/>
          <w:szCs w:val="24"/>
          <w:highlight w:val="none"/>
        </w:rPr>
        <w:t>主管税务机关对外公开的联系电话，可从</w:t>
      </w:r>
      <w:r>
        <w:rPr>
          <w:rFonts w:hint="eastAsia" w:ascii="宋体" w:hAnsi="宋体" w:cs="Times New Roman"/>
          <w:color w:val="auto"/>
          <w:sz w:val="24"/>
          <w:szCs w:val="24"/>
          <w:highlight w:val="none"/>
          <w:lang w:eastAsia="zh-CN"/>
        </w:rPr>
        <w:t>云南省</w:t>
      </w:r>
      <w:r>
        <w:rPr>
          <w:rFonts w:ascii="宋体" w:hAnsi="宋体" w:cs="Times New Roman"/>
          <w:color w:val="auto"/>
          <w:sz w:val="24"/>
          <w:szCs w:val="24"/>
          <w:highlight w:val="none"/>
        </w:rPr>
        <w:t>税务局网站“纳税服务”栏目查询。</w:t>
      </w:r>
    </w:p>
    <w:p>
      <w:pPr>
        <w:wordWrap w:val="0"/>
        <w:spacing w:line="360" w:lineRule="auto"/>
        <w:ind w:firstLine="480"/>
        <w:rPr>
          <w:rFonts w:hint="default" w:ascii="黑体" w:hAnsi="黑体" w:eastAsia="黑体" w:cs="Times New Roman"/>
          <w:bCs/>
          <w:color w:val="auto"/>
          <w:sz w:val="24"/>
          <w:szCs w:val="24"/>
          <w:highlight w:val="none"/>
        </w:rPr>
      </w:pPr>
      <w:r>
        <w:rPr>
          <w:rFonts w:ascii="黑体" w:hAnsi="黑体" w:eastAsia="黑体" w:cs="Times New Roman"/>
          <w:bCs/>
          <w:color w:val="auto"/>
          <w:sz w:val="24"/>
          <w:szCs w:val="24"/>
          <w:highlight w:val="none"/>
        </w:rPr>
        <w:t>【办理流程】</w:t>
      </w:r>
    </w:p>
    <w:p>
      <w:pPr>
        <w:wordWrap w:val="0"/>
        <w:spacing w:line="360" w:lineRule="auto"/>
        <w:ind w:firstLine="0" w:firstLineChars="0"/>
        <w:rPr>
          <w:rFonts w:hint="default" w:ascii="黑体" w:hAnsi="黑体" w:eastAsia="黑体" w:cs="Times New Roman"/>
          <w:bCs/>
          <w:color w:val="auto"/>
          <w:sz w:val="24"/>
          <w:szCs w:val="24"/>
          <w:highlight w:val="none"/>
        </w:rPr>
      </w:pPr>
      <w:r>
        <w:rPr>
          <w:rFonts w:ascii="宋体" w:hAnsi="宋体" w:cs="Times New Roman"/>
          <w:color w:val="auto"/>
          <w:highlight w:val="none"/>
        </w:rPr>
        <w:drawing>
          <wp:inline distT="0" distB="0" distL="114300" distR="114300">
            <wp:extent cx="5184140" cy="1769745"/>
            <wp:effectExtent l="0" t="0" r="12700" b="13335"/>
            <wp:docPr id="125" name="图片 125" descr="C:\Users\baoqianyu\Desktop\流程图\流转\纳税人.png纳税人"/>
            <wp:cNvGraphicFramePr/>
            <a:graphic xmlns:a="http://schemas.openxmlformats.org/drawingml/2006/main">
              <a:graphicData uri="http://schemas.openxmlformats.org/drawingml/2006/picture">
                <pic:pic xmlns:pic="http://schemas.openxmlformats.org/drawingml/2006/picture">
                  <pic:nvPicPr>
                    <pic:cNvPr id="125" name="图片 125" descr="C:\Users\baoqianyu\Desktop\流程图\流转\纳税人.png纳税人"/>
                    <pic:cNvPicPr/>
                  </pic:nvPicPr>
                  <pic:blipFill>
                    <a:blip r:embed="rId4"/>
                    <a:srcRect/>
                    <a:stretch>
                      <a:fillRect/>
                    </a:stretch>
                  </pic:blipFill>
                  <pic:spPr>
                    <a:xfrm>
                      <a:off x="0" y="0"/>
                      <a:ext cx="5184140" cy="1769745"/>
                    </a:xfrm>
                    <a:prstGeom prst="rect">
                      <a:avLst/>
                    </a:prstGeom>
                  </pic:spPr>
                </pic:pic>
              </a:graphicData>
            </a:graphic>
          </wp:inline>
        </w:drawing>
      </w:r>
      <w:r>
        <w:rPr>
          <w:rFonts w:ascii="宋体" w:hAnsi="宋体" w:cs="Times New Roman"/>
          <w:color w:val="auto"/>
          <w:sz w:val="24"/>
          <w:szCs w:val="24"/>
          <w:highlight w:val="none"/>
        </w:rPr>
        <w:tab/>
      </w:r>
      <w:r>
        <w:rPr>
          <w:rFonts w:ascii="黑体" w:hAnsi="黑体" w:eastAsia="黑体" w:cs="Times New Roman"/>
          <w:bCs/>
          <w:color w:val="auto"/>
          <w:sz w:val="24"/>
          <w:szCs w:val="24"/>
          <w:highlight w:val="none"/>
        </w:rPr>
        <w:t>【纳税人注意事项】</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1.</w:t>
      </w:r>
      <w:r>
        <w:rPr>
          <w:rFonts w:hint="default" w:ascii="宋体" w:hAnsi="宋体" w:cs="Times New Roman"/>
          <w:color w:val="auto"/>
          <w:sz w:val="24"/>
          <w:szCs w:val="24"/>
          <w:highlight w:val="none"/>
        </w:rPr>
        <w:t>纳税人对报送材料的真实性和合法性承担责任。</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2.</w:t>
      </w:r>
      <w:r>
        <w:rPr>
          <w:rFonts w:ascii="宋体" w:hAnsi="宋体" w:cs="Times New Roman"/>
          <w:color w:val="auto"/>
          <w:sz w:val="24"/>
          <w:szCs w:val="24"/>
          <w:highlight w:val="none"/>
        </w:rPr>
        <w:t>纳税人使用</w:t>
      </w:r>
      <w:r>
        <w:rPr>
          <w:rFonts w:hint="default" w:ascii="宋体" w:hAnsi="宋体" w:cs="Times New Roman"/>
          <w:color w:val="auto"/>
          <w:sz w:val="24"/>
          <w:szCs w:val="24"/>
          <w:highlight w:val="none"/>
        </w:rPr>
        <w:t>符合电子签名法</w:t>
      </w:r>
      <w:r>
        <w:rPr>
          <w:rFonts w:ascii="宋体" w:hAnsi="宋体" w:cs="Times New Roman"/>
          <w:color w:val="auto"/>
          <w:sz w:val="24"/>
          <w:szCs w:val="24"/>
          <w:highlight w:val="none"/>
        </w:rPr>
        <w:t>规定条件的电子签名，</w:t>
      </w:r>
      <w:r>
        <w:rPr>
          <w:rFonts w:hint="default" w:ascii="宋体" w:hAnsi="宋体" w:cs="Times New Roman"/>
          <w:color w:val="auto"/>
          <w:sz w:val="24"/>
          <w:szCs w:val="24"/>
          <w:highlight w:val="none"/>
        </w:rPr>
        <w:t>与手写签名或者盖章具有同等法律效力</w:t>
      </w:r>
      <w:r>
        <w:rPr>
          <w:rFonts w:ascii="宋体" w:hAnsi="宋体" w:cs="Times New Roman"/>
          <w:color w:val="auto"/>
          <w:sz w:val="24"/>
          <w:szCs w:val="24"/>
          <w:highlight w:val="none"/>
        </w:rPr>
        <w:t>。</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3.</w:t>
      </w:r>
      <w:r>
        <w:rPr>
          <w:rFonts w:ascii="宋体" w:hAnsi="宋体" w:cs="Times New Roman"/>
          <w:color w:val="auto"/>
          <w:sz w:val="24"/>
          <w:szCs w:val="24"/>
          <w:highlight w:val="none"/>
        </w:rPr>
        <w:t>纳税人评价结果确定的当年内申请复评。</w:t>
      </w:r>
    </w:p>
    <w:p>
      <w:pPr>
        <w:wordWrap w:val="0"/>
        <w:spacing w:line="360" w:lineRule="auto"/>
        <w:ind w:firstLine="48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outline w:val="0"/>
          <w:shadow w:val="0"/>
          <w:emboss w:val="0"/>
          <w:imprint w:val="0"/>
          <w:vanish w:val="0"/>
          <w:color w:val="auto"/>
          <w:sz w:val="24"/>
          <w:szCs w:val="24"/>
          <w:highlight w:val="none"/>
          <w:lang w:eastAsia="zh-CN"/>
        </w:rPr>
        <w:t>4.</w:t>
      </w:r>
      <w:r>
        <w:rPr>
          <w:rFonts w:hint="eastAsia" w:ascii="宋体" w:hAnsi="宋体" w:cs="Times New Roman"/>
          <w:color w:val="auto"/>
          <w:sz w:val="24"/>
          <w:szCs w:val="24"/>
          <w:highlight w:val="none"/>
          <w:lang w:eastAsia="zh-CN"/>
        </w:rPr>
        <w:t>文书表单可在云南省税务局网站“下载中心”栏目查询下载或到办税服务厅领取</w:t>
      </w:r>
      <w:r>
        <w:rPr>
          <w:rFonts w:hint="default" w:ascii="宋体" w:hAnsi="宋体" w:cs="Times New Roman"/>
          <w:color w:val="auto"/>
          <w:sz w:val="24"/>
          <w:szCs w:val="24"/>
          <w:highlight w:val="none"/>
        </w:rPr>
        <w:t>。</w:t>
      </w:r>
    </w:p>
    <w:p>
      <w:pPr>
        <w:wordWrap w:val="0"/>
        <w:spacing w:line="360" w:lineRule="auto"/>
        <w:ind w:firstLine="480"/>
        <w:rPr>
          <w:rFonts w:hint="default" w:ascii="宋体" w:hAnsi="宋体" w:cs="Times New Roman"/>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12" w:beforeLines="100" w:after="312" w:afterLines="100" w:line="360" w:lineRule="auto"/>
        <w:ind w:firstLine="562" w:firstLineChars="200"/>
        <w:jc w:val="both"/>
        <w:textAlignment w:val="auto"/>
        <w:outlineLvl w:val="2"/>
        <w:rPr>
          <w:rFonts w:ascii="Times New Roman" w:hAnsi="Times New Roman" w:eastAsia="黑体" w:cs="Times New Roman"/>
          <w:b/>
          <w:bCs/>
          <w:color w:val="auto"/>
          <w:kern w:val="24"/>
          <w:sz w:val="28"/>
          <w:szCs w:val="28"/>
          <w:lang w:val="en-US" w:eastAsia="zh-CN" w:bidi="ar-SA"/>
        </w:rPr>
      </w:pPr>
      <w:r>
        <w:rPr>
          <w:rFonts w:hint="eastAsia" w:ascii="Times New Roman" w:hAnsi="Times New Roman" w:eastAsia="黑体" w:cs="Times New Roman"/>
          <w:b/>
          <w:bCs/>
          <w:color w:val="auto"/>
          <w:kern w:val="24"/>
          <w:sz w:val="28"/>
          <w:szCs w:val="28"/>
          <w:lang w:val="en-US" w:eastAsia="zh-CN" w:bidi="ar-SA"/>
        </w:rPr>
        <w:t>9.1.3</w:t>
      </w:r>
      <w:r>
        <w:rPr>
          <w:rFonts w:ascii="Times New Roman" w:hAnsi="Times New Roman" w:eastAsia="黑体" w:cs="Times New Roman"/>
          <w:b/>
          <w:bCs/>
          <w:color w:val="auto"/>
          <w:kern w:val="24"/>
          <w:sz w:val="28"/>
          <w:szCs w:val="28"/>
          <w:lang w:val="en-US" w:eastAsia="zh-CN" w:bidi="ar-SA"/>
        </w:rPr>
        <w:t>—</w:t>
      </w:r>
      <w:r>
        <w:rPr>
          <w:rFonts w:hint="eastAsia" w:ascii="Times New Roman" w:hAnsi="Times New Roman" w:eastAsia="黑体" w:cs="Times New Roman"/>
          <w:b/>
          <w:bCs/>
          <w:color w:val="auto"/>
          <w:kern w:val="24"/>
          <w:sz w:val="28"/>
          <w:szCs w:val="28"/>
          <w:lang w:val="en-US" w:eastAsia="zh-CN" w:bidi="ar-SA"/>
        </w:rPr>
        <w:t>180　纳税信用修复</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【事项名称】</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纳税信用修复</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【申请条件】</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纳入纳税信用管理的企业纳税人，符合下列条件之一的，可在规定期限内向主管税务机关申请纳税信用修复。</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1.纳税人发生未按法定期限办理纳税申报、税款缴纳、资料备案等事项且已补办的。</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2.未按税务机关处理结论缴纳或者足额缴纳税款、滞纳金和罚款，未构成犯罪，纳税信用级别被直接判为D级的纳税人，在税务机关处理结论明确的期限期满后60日内足额缴纳、补缴的。</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3.纳税人履行相应法律义务并由税务机关依法解除非正常户状态的。</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【设定依据】</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auto"/>
          <w:kern w:val="2"/>
          <w:sz w:val="24"/>
          <w:szCs w:val="24"/>
          <w:u w:val="none"/>
          <w:lang w:val="en-US" w:eastAsia="zh-CN" w:bidi="ar-SA"/>
        </w:rPr>
      </w:pPr>
      <w:r>
        <w:rPr>
          <w:rFonts w:ascii="宋体" w:hAnsi="宋体" w:eastAsia="宋体" w:cs="宋体"/>
          <w:color w:val="auto"/>
          <w:kern w:val="2"/>
          <w:sz w:val="24"/>
          <w:szCs w:val="24"/>
          <w:u w:val="none"/>
          <w:lang w:val="en-US" w:eastAsia="zh-CN" w:bidi="ar-SA"/>
        </w:rPr>
        <w:t>《国家税务总局关于</w:t>
      </w:r>
      <w:r>
        <w:rPr>
          <w:rFonts w:hint="eastAsia" w:ascii="宋体" w:hAnsi="宋体" w:eastAsia="宋体" w:cs="宋体"/>
          <w:color w:val="auto"/>
          <w:kern w:val="2"/>
          <w:sz w:val="24"/>
          <w:szCs w:val="24"/>
          <w:u w:val="none"/>
          <w:lang w:val="en-US" w:eastAsia="zh-CN" w:bidi="ar-SA"/>
        </w:rPr>
        <w:t>纳税信用修复有关事项</w:t>
      </w:r>
      <w:r>
        <w:rPr>
          <w:rFonts w:ascii="宋体" w:hAnsi="宋体" w:eastAsia="宋体" w:cs="宋体"/>
          <w:color w:val="auto"/>
          <w:kern w:val="2"/>
          <w:sz w:val="24"/>
          <w:szCs w:val="24"/>
          <w:u w:val="none"/>
          <w:lang w:val="en-US" w:eastAsia="zh-CN" w:bidi="ar-SA"/>
        </w:rPr>
        <w:t>的公告》（国家税务总局公告</w:t>
      </w:r>
      <w:r>
        <w:rPr>
          <w:rFonts w:hint="eastAsia" w:ascii="宋体" w:hAnsi="宋体" w:eastAsia="宋体" w:cs="宋体"/>
          <w:color w:val="auto"/>
          <w:kern w:val="2"/>
          <w:sz w:val="24"/>
          <w:szCs w:val="24"/>
          <w:u w:val="none"/>
          <w:lang w:val="en-US" w:eastAsia="zh-CN" w:bidi="ar-SA"/>
        </w:rPr>
        <w:t>2019</w:t>
      </w:r>
      <w:r>
        <w:rPr>
          <w:rFonts w:ascii="宋体" w:hAnsi="宋体" w:eastAsia="宋体" w:cs="宋体"/>
          <w:color w:val="auto"/>
          <w:kern w:val="2"/>
          <w:sz w:val="24"/>
          <w:szCs w:val="24"/>
          <w:u w:val="none"/>
          <w:lang w:val="en-US" w:eastAsia="zh-CN" w:bidi="ar-SA"/>
        </w:rPr>
        <w:t>年第</w:t>
      </w:r>
      <w:r>
        <w:rPr>
          <w:rFonts w:hint="eastAsia" w:ascii="宋体" w:hAnsi="宋体" w:eastAsia="宋体" w:cs="宋体"/>
          <w:color w:val="auto"/>
          <w:kern w:val="2"/>
          <w:sz w:val="24"/>
          <w:szCs w:val="24"/>
          <w:u w:val="none"/>
          <w:lang w:val="en-US" w:eastAsia="zh-CN" w:bidi="ar-SA"/>
        </w:rPr>
        <w:t>37</w:t>
      </w:r>
      <w:r>
        <w:rPr>
          <w:rFonts w:ascii="宋体" w:hAnsi="宋体" w:eastAsia="宋体" w:cs="宋体"/>
          <w:color w:val="auto"/>
          <w:kern w:val="2"/>
          <w:sz w:val="24"/>
          <w:szCs w:val="24"/>
          <w:u w:val="none"/>
          <w:lang w:val="en-US" w:eastAsia="zh-CN" w:bidi="ar-SA"/>
        </w:rPr>
        <w:t>号）</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【办理材料】</w:t>
      </w:r>
    </w:p>
    <w:tbl>
      <w:tblPr>
        <w:tblStyle w:val="9"/>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529"/>
        <w:gridCol w:w="1680"/>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79"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黑体" w:hAnsi="黑体" w:eastAsia="黑体" w:cs="黑体"/>
                <w:color w:val="auto"/>
                <w:sz w:val="21"/>
                <w:szCs w:val="21"/>
              </w:rPr>
              <w:t>序号</w:t>
            </w:r>
          </w:p>
        </w:tc>
        <w:tc>
          <w:tcPr>
            <w:tcW w:w="3529"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黑体" w:hAnsi="黑体" w:eastAsia="黑体" w:cs="黑体"/>
                <w:color w:val="auto"/>
                <w:sz w:val="21"/>
                <w:szCs w:val="21"/>
              </w:rPr>
              <w:t>材料名称</w:t>
            </w:r>
          </w:p>
        </w:tc>
        <w:tc>
          <w:tcPr>
            <w:tcW w:w="1680"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黑体" w:hAnsi="黑体" w:eastAsia="黑体" w:cs="黑体"/>
                <w:color w:val="auto"/>
                <w:sz w:val="21"/>
                <w:szCs w:val="21"/>
              </w:rPr>
              <w:t>数量</w:t>
            </w:r>
          </w:p>
        </w:tc>
        <w:tc>
          <w:tcPr>
            <w:tcW w:w="2275" w:type="dxa"/>
            <w:shd w:val="clear" w:color="auto" w:fill="D9D9D9"/>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Times New Roman" w:hAnsi="Times New Roman" w:eastAsia="黑体" w:cs="等线"/>
                <w:color w:val="auto"/>
                <w:sz w:val="18"/>
                <w:szCs w:val="18"/>
              </w:rPr>
              <w:t>1</w:t>
            </w:r>
          </w:p>
        </w:tc>
        <w:tc>
          <w:tcPr>
            <w:tcW w:w="352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18"/>
                <w:szCs w:val="18"/>
              </w:rPr>
            </w:pPr>
            <w:r>
              <w:rPr>
                <w:rFonts w:ascii="黑体" w:hAnsi="黑体" w:eastAsia="黑体" w:cs="Microsoft Himalaya"/>
                <w:color w:val="auto"/>
                <w:sz w:val="18"/>
                <w:szCs w:val="18"/>
              </w:rPr>
              <w:t>《纳税信用</w:t>
            </w:r>
            <w:r>
              <w:rPr>
                <w:rFonts w:hint="eastAsia" w:ascii="黑体" w:hAnsi="黑体" w:eastAsia="黑体" w:cs="Microsoft Himalaya"/>
                <w:color w:val="auto"/>
                <w:sz w:val="18"/>
                <w:szCs w:val="18"/>
              </w:rPr>
              <w:t>修复</w:t>
            </w:r>
            <w:r>
              <w:rPr>
                <w:rFonts w:ascii="黑体" w:hAnsi="黑体" w:eastAsia="黑体" w:cs="Microsoft Himalaya"/>
                <w:color w:val="auto"/>
                <w:sz w:val="18"/>
                <w:szCs w:val="18"/>
              </w:rPr>
              <w:t>申请表》</w:t>
            </w:r>
          </w:p>
        </w:tc>
        <w:tc>
          <w:tcPr>
            <w:tcW w:w="1680"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Times New Roman" w:hAnsi="Times New Roman" w:eastAsia="黑体" w:cs="等线"/>
                <w:color w:val="auto"/>
                <w:sz w:val="18"/>
                <w:szCs w:val="18"/>
              </w:rPr>
              <w:t>2</w:t>
            </w:r>
            <w:r>
              <w:rPr>
                <w:rFonts w:ascii="黑体" w:hAnsi="黑体" w:eastAsia="黑体" w:cs="Microsoft Himalaya"/>
                <w:color w:val="auto"/>
                <w:sz w:val="18"/>
                <w:szCs w:val="18"/>
              </w:rPr>
              <w:t>份</w:t>
            </w:r>
          </w:p>
        </w:tc>
        <w:tc>
          <w:tcPr>
            <w:tcW w:w="227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color w:val="auto"/>
                <w:sz w:val="21"/>
                <w:szCs w:val="21"/>
              </w:rPr>
            </w:pPr>
            <w:r>
              <w:rPr>
                <w:rFonts w:hint="eastAsia" w:ascii="黑体" w:hAnsi="黑体" w:eastAsia="黑体" w:cs="Microsoft Himalaya"/>
                <w:color w:val="auto"/>
                <w:sz w:val="18"/>
                <w:szCs w:val="18"/>
              </w:rPr>
              <w:t>符合</w:t>
            </w:r>
            <w:r>
              <w:rPr>
                <w:rFonts w:ascii="黑体" w:hAnsi="黑体" w:eastAsia="黑体" w:cs="Microsoft Himalaya"/>
                <w:color w:val="auto"/>
                <w:sz w:val="18"/>
                <w:szCs w:val="18"/>
              </w:rPr>
              <w:t>条件的可免于申请</w:t>
            </w:r>
          </w:p>
        </w:tc>
      </w:tr>
    </w:tbl>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【办理地点】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ascii="宋体" w:hAnsi="宋体" w:eastAsia="宋体" w:cs="宋体"/>
          <w:color w:val="auto"/>
          <w:sz w:val="24"/>
          <w:szCs w:val="24"/>
        </w:rPr>
        <w:t>可通过办税服务厅（场所）办理，具体地点可从省（自治区、直辖市和计划单列市）税务局网站“纳税服务”栏目查询。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【办理机构】</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宋体"/>
          <w:color w:val="auto"/>
          <w:sz w:val="24"/>
          <w:szCs w:val="24"/>
        </w:rPr>
        <w:t>主管税务机关</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【收费标准】</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宋体"/>
          <w:color w:val="auto"/>
          <w:sz w:val="24"/>
          <w:szCs w:val="24"/>
        </w:rPr>
        <w:t>不收费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【办理时间】</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自受理之日起15个工作日内办结</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【联系电话】</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宋体"/>
          <w:color w:val="auto"/>
          <w:sz w:val="24"/>
          <w:szCs w:val="24"/>
        </w:rPr>
        <w:t>主管税务机关对外公开的联系电话，可从省（自治区、直辖市和计划单列市）税务局网站“纳税服务”栏目查询。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【办理流程】</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ascii="宋体" w:hAnsi="宋体" w:eastAsia="宋体" w:cs="Times New Roman"/>
          <w:color w:val="auto"/>
          <w:sz w:val="24"/>
          <w:szCs w:val="24"/>
        </w:rPr>
      </w:pPr>
      <w:r>
        <w:rPr>
          <w:rFonts w:ascii="宋体" w:hAnsi="宋体" w:eastAsia="宋体" w:cs="Times New Roman"/>
          <w:color w:val="auto"/>
          <w:sz w:val="24"/>
          <w:szCs w:val="24"/>
        </w:rPr>
        <w:drawing>
          <wp:inline distT="0" distB="0" distL="114300" distR="114300">
            <wp:extent cx="5184140" cy="1769745"/>
            <wp:effectExtent l="0" t="0" r="16510" b="1905"/>
            <wp:docPr id="1" name="图片 125" descr="C:\Users\baoqianyu\Desktop\流程图\流转\纳税人.png纳税人"/>
            <wp:cNvGraphicFramePr/>
            <a:graphic xmlns:a="http://schemas.openxmlformats.org/drawingml/2006/main">
              <a:graphicData uri="http://schemas.openxmlformats.org/drawingml/2006/picture">
                <pic:pic xmlns:pic="http://schemas.openxmlformats.org/drawingml/2006/picture">
                  <pic:nvPicPr>
                    <pic:cNvPr id="1" name="图片 125" descr="C:\Users\baoqianyu\Desktop\流程图\流转\纳税人.png纳税人"/>
                    <pic:cNvPicPr/>
                  </pic:nvPicPr>
                  <pic:blipFill>
                    <a:blip r:embed="rId4" cstate="print"/>
                    <a:srcRect/>
                    <a:stretch>
                      <a:fillRect/>
                    </a:stretch>
                  </pic:blipFill>
                  <pic:spPr>
                    <a:xfrm>
                      <a:off x="0" y="0"/>
                      <a:ext cx="5184140" cy="1769745"/>
                    </a:xfrm>
                    <a:prstGeom prst="rect">
                      <a:avLst/>
                    </a:prstGeom>
                  </pic:spPr>
                </pic:pic>
              </a:graphicData>
            </a:graphic>
          </wp:inline>
        </w:drawing>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黑体" w:hAnsi="黑体" w:eastAsia="黑体" w:cs="Times New Roman"/>
          <w:color w:val="auto"/>
          <w:sz w:val="24"/>
          <w:szCs w:val="24"/>
        </w:rPr>
      </w:pPr>
      <w:r>
        <w:rPr>
          <w:rFonts w:hint="eastAsia" w:ascii="黑体" w:hAnsi="黑体" w:eastAsia="黑体" w:cs="黑体"/>
          <w:color w:val="auto"/>
          <w:sz w:val="24"/>
          <w:szCs w:val="24"/>
        </w:rPr>
        <w:t>【纳税人注意事项】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1.纳税人对报送材料的真实性和合法性承担责任。</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2.需向主管税务机关提出纳税信用修复申请的纳税人应同时对纠正失信行为的真实性作出承诺。</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3.纳税人使用符合电子签名法规定条件的电子签名，与手写签名或者盖章具有同等法律效力。</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4.文书表单可在省（自治区、直辖市和计划单列市）税务局网站“下载中心”栏目查询下载或到办税服务厅领取。</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5.发生未按法定期限办理纳税申报、税款缴纳、资料备案等事项且已补办的纳税人，失信行为已纳入纳税信用评价的，可在失信行为被税务机关列入失信记录的次年年底前向主管税务机关提出信用修复申请。</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未按法定期限办理纳税申报、税款缴纳、资料备案等事项且已补办的纳税人，失信行为尚未纳入纳税信用评价的，纳税人无需提出申请，税务机关将调整纳税人该项纳税信用评价指标分值并进行纳税信用评价。</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未按税务机关处理结论缴纳或者足额缴纳税款、滞纳金和罚款，未构成犯罪，纳税信用级别被直接判为D级，在税务机关处理结论明确的期限期满后60日内足额缴纳、补缴的纳税人和履行相应法律义务并由税务机关依法解除非正常户状态的纳税人，可在纳税信用被直接判为D级的次年年底前向主管税务机关提出申请，税务机关将根据纳税人失信行为纠正情况调整该项纳税信用评价指标的状态，重新评价纳税人的纳税信用级别，但不得评价为A级。</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7.非正常户失信行为纳税信用修复一个纳税年度内只能申请一次。纳税年度自公历1月1日起至12月31日止。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8.纳税信用修复后纳税信用级别不再为D级的纳税人，其直接责任人注册登记或者负责经营的其他纳税人之前被关联为D级的，可向主管税务机关申请解除纳税信用D级关联。</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9.纳税信用修复完成后，纳税人按照修复后的纳税信用级别适用相应的税收政策和管理服务措施，之前已适用的税收政策和管理服务措施不作追溯调整。</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wordWrap w:val="0"/>
        <w:spacing w:line="360" w:lineRule="auto"/>
        <w:ind w:firstLine="480"/>
        <w:rPr>
          <w:rFonts w:hint="default" w:ascii="宋体" w:hAnsi="宋体" w:cs="Times New Roman"/>
          <w:color w:val="auto"/>
          <w:sz w:val="24"/>
          <w:szCs w:val="24"/>
          <w:highlight w:val="none"/>
        </w:rPr>
      </w:pPr>
    </w:p>
    <w:p>
      <w:pPr>
        <w:pStyle w:val="15"/>
        <w:adjustRightInd/>
        <w:snapToGrid/>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95B45"/>
    <w:multiLevelType w:val="multilevel"/>
    <w:tmpl w:val="56095B45"/>
    <w:lvl w:ilvl="0" w:tentative="0">
      <w:start w:val="1"/>
      <w:numFmt w:val="bullet"/>
      <w:pStyle w:val="14"/>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abstractNum w:abstractNumId="1">
    <w:nsid w:val="56930417"/>
    <w:multiLevelType w:val="multilevel"/>
    <w:tmpl w:val="56930417"/>
    <w:lvl w:ilvl="0" w:tentative="0">
      <w:start w:val="1"/>
      <w:numFmt w:val="bullet"/>
      <w:pStyle w:val="1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0859"/>
    <w:rsid w:val="000C454B"/>
    <w:rsid w:val="00130881"/>
    <w:rsid w:val="00154125"/>
    <w:rsid w:val="00172A27"/>
    <w:rsid w:val="0018317A"/>
    <w:rsid w:val="001A4496"/>
    <w:rsid w:val="00214938"/>
    <w:rsid w:val="0028193D"/>
    <w:rsid w:val="002C08B6"/>
    <w:rsid w:val="002D5593"/>
    <w:rsid w:val="00367284"/>
    <w:rsid w:val="00375BA0"/>
    <w:rsid w:val="003A1F90"/>
    <w:rsid w:val="003A6ADD"/>
    <w:rsid w:val="003C0934"/>
    <w:rsid w:val="003D63F1"/>
    <w:rsid w:val="004364B4"/>
    <w:rsid w:val="00480D45"/>
    <w:rsid w:val="0049732A"/>
    <w:rsid w:val="0056720F"/>
    <w:rsid w:val="00570844"/>
    <w:rsid w:val="005C7669"/>
    <w:rsid w:val="005D4635"/>
    <w:rsid w:val="005F55A6"/>
    <w:rsid w:val="005F5AC7"/>
    <w:rsid w:val="006145D9"/>
    <w:rsid w:val="00626E47"/>
    <w:rsid w:val="0063088E"/>
    <w:rsid w:val="006C085A"/>
    <w:rsid w:val="00714D9C"/>
    <w:rsid w:val="0071698A"/>
    <w:rsid w:val="00785CD6"/>
    <w:rsid w:val="00821879"/>
    <w:rsid w:val="008473A5"/>
    <w:rsid w:val="00853641"/>
    <w:rsid w:val="00904470"/>
    <w:rsid w:val="0090668B"/>
    <w:rsid w:val="00921777"/>
    <w:rsid w:val="0095750F"/>
    <w:rsid w:val="00967033"/>
    <w:rsid w:val="00987B63"/>
    <w:rsid w:val="009B37D5"/>
    <w:rsid w:val="009D3FD3"/>
    <w:rsid w:val="00A027A3"/>
    <w:rsid w:val="00A255C1"/>
    <w:rsid w:val="00A2633B"/>
    <w:rsid w:val="00A32F3A"/>
    <w:rsid w:val="00A65714"/>
    <w:rsid w:val="00A97159"/>
    <w:rsid w:val="00AD0C2B"/>
    <w:rsid w:val="00AE521D"/>
    <w:rsid w:val="00B41A13"/>
    <w:rsid w:val="00B76D9D"/>
    <w:rsid w:val="00BB6150"/>
    <w:rsid w:val="00C042FA"/>
    <w:rsid w:val="00C84986"/>
    <w:rsid w:val="00D00C5D"/>
    <w:rsid w:val="00D50B4A"/>
    <w:rsid w:val="00D60D76"/>
    <w:rsid w:val="00DA753B"/>
    <w:rsid w:val="00DC7DC8"/>
    <w:rsid w:val="00E33E89"/>
    <w:rsid w:val="00E43FB2"/>
    <w:rsid w:val="00E80419"/>
    <w:rsid w:val="00E825C8"/>
    <w:rsid w:val="00E82D06"/>
    <w:rsid w:val="00EB10E1"/>
    <w:rsid w:val="00EC5928"/>
    <w:rsid w:val="00EC6660"/>
    <w:rsid w:val="00F10FFE"/>
    <w:rsid w:val="00F3195B"/>
    <w:rsid w:val="00F44B64"/>
    <w:rsid w:val="00F90BD1"/>
    <w:rsid w:val="00FB2F24"/>
    <w:rsid w:val="02D11211"/>
    <w:rsid w:val="0B702141"/>
    <w:rsid w:val="0C305439"/>
    <w:rsid w:val="0D28713C"/>
    <w:rsid w:val="11E42F98"/>
    <w:rsid w:val="123D09F9"/>
    <w:rsid w:val="14750DFE"/>
    <w:rsid w:val="17511349"/>
    <w:rsid w:val="1ADE526B"/>
    <w:rsid w:val="1C653FE6"/>
    <w:rsid w:val="1CED5B76"/>
    <w:rsid w:val="1EBB605A"/>
    <w:rsid w:val="1F276EE2"/>
    <w:rsid w:val="217E1A37"/>
    <w:rsid w:val="257B6D91"/>
    <w:rsid w:val="274F2D6E"/>
    <w:rsid w:val="279E1DD4"/>
    <w:rsid w:val="2B7E3F08"/>
    <w:rsid w:val="2E6D6B77"/>
    <w:rsid w:val="2EB70B20"/>
    <w:rsid w:val="2F063F9C"/>
    <w:rsid w:val="31DB7FCC"/>
    <w:rsid w:val="33F31659"/>
    <w:rsid w:val="35644F83"/>
    <w:rsid w:val="388412B0"/>
    <w:rsid w:val="443233CD"/>
    <w:rsid w:val="47D27ECA"/>
    <w:rsid w:val="48852D64"/>
    <w:rsid w:val="50534C32"/>
    <w:rsid w:val="51380147"/>
    <w:rsid w:val="52A81E2A"/>
    <w:rsid w:val="533029C8"/>
    <w:rsid w:val="550C1809"/>
    <w:rsid w:val="55435D61"/>
    <w:rsid w:val="598F6D48"/>
    <w:rsid w:val="5D867C7F"/>
    <w:rsid w:val="5FBD3BB1"/>
    <w:rsid w:val="6005624E"/>
    <w:rsid w:val="612E7BDE"/>
    <w:rsid w:val="62FE750F"/>
    <w:rsid w:val="66080A8D"/>
    <w:rsid w:val="66485584"/>
    <w:rsid w:val="66812814"/>
    <w:rsid w:val="6B4E0DA9"/>
    <w:rsid w:val="6C8C4B34"/>
    <w:rsid w:val="6D9C46C9"/>
    <w:rsid w:val="6DDB2915"/>
    <w:rsid w:val="71A1280F"/>
    <w:rsid w:val="725907D9"/>
    <w:rsid w:val="72C27974"/>
    <w:rsid w:val="75E85932"/>
    <w:rsid w:val="76F51055"/>
    <w:rsid w:val="77503EB2"/>
    <w:rsid w:val="79200F33"/>
    <w:rsid w:val="7B374F30"/>
    <w:rsid w:val="7C7F72C7"/>
    <w:rsid w:val="FC9B9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Document Map"/>
    <w:basedOn w:val="1"/>
    <w:link w:val="25"/>
    <w:qFormat/>
    <w:uiPriority w:val="0"/>
    <w:rPr>
      <w:rFonts w:ascii="宋体"/>
      <w:sz w:val="18"/>
      <w:szCs w:val="18"/>
    </w:rPr>
  </w:style>
  <w:style w:type="paragraph" w:styleId="6">
    <w:name w:val="Balloon Text"/>
    <w:basedOn w:val="1"/>
    <w:link w:val="42"/>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二级标题"/>
    <w:basedOn w:val="3"/>
    <w:link w:val="40"/>
    <w:qFormat/>
    <w:uiPriority w:val="0"/>
    <w:pPr>
      <w:spacing w:beforeLines="150" w:afterLines="150" w:line="360" w:lineRule="auto"/>
      <w:ind w:firstLine="643" w:firstLineChars="200"/>
    </w:pPr>
    <w:rPr>
      <w:rFonts w:ascii="Times New Roman" w:hAnsi="Times New Roman" w:eastAsia="黑体"/>
    </w:rPr>
  </w:style>
  <w:style w:type="paragraph" w:customStyle="1" w:styleId="13">
    <w:name w:val="5.1证明"/>
    <w:basedOn w:val="1"/>
    <w:link w:val="30"/>
    <w:qFormat/>
    <w:uiPriority w:val="0"/>
    <w:pPr>
      <w:keepNext/>
      <w:keepLines/>
      <w:topLinePunct/>
      <w:adjustRightInd w:val="0"/>
      <w:spacing w:before="660" w:after="260"/>
      <w:ind w:firstLine="510"/>
      <w:outlineLvl w:val="1"/>
    </w:pPr>
    <w:rPr>
      <w:rFonts w:ascii="Arial" w:hAnsi="Arial" w:eastAsia="黑体"/>
      <w:b/>
      <w:bCs/>
      <w:kern w:val="24"/>
      <w:sz w:val="32"/>
      <w:szCs w:val="32"/>
    </w:rPr>
  </w:style>
  <w:style w:type="paragraph" w:customStyle="1" w:styleId="14">
    <w:name w:val="标签"/>
    <w:basedOn w:val="1"/>
    <w:link w:val="36"/>
    <w:qFormat/>
    <w:uiPriority w:val="0"/>
    <w:pPr>
      <w:numPr>
        <w:ilvl w:val="0"/>
        <w:numId w:val="1"/>
      </w:numPr>
      <w:topLinePunct/>
      <w:adjustRightInd w:val="0"/>
      <w:spacing w:line="360" w:lineRule="auto"/>
    </w:pPr>
    <w:rPr>
      <w:rFonts w:ascii="Times New Roman" w:hAnsi="Times New Roman"/>
      <w:kern w:val="24"/>
      <w:sz w:val="24"/>
      <w:szCs w:val="24"/>
    </w:rPr>
  </w:style>
  <w:style w:type="paragraph" w:customStyle="1" w:styleId="15">
    <w:name w:val="正文正文"/>
    <w:basedOn w:val="1"/>
    <w:link w:val="38"/>
    <w:qFormat/>
    <w:uiPriority w:val="0"/>
    <w:pPr>
      <w:adjustRightInd w:val="0"/>
      <w:snapToGrid w:val="0"/>
      <w:spacing w:line="360" w:lineRule="auto"/>
      <w:ind w:firstLine="480" w:firstLineChars="200"/>
    </w:pPr>
    <w:rPr>
      <w:rFonts w:ascii="宋体" w:hAnsi="宋体"/>
      <w:sz w:val="24"/>
      <w:szCs w:val="24"/>
    </w:rPr>
  </w:style>
  <w:style w:type="paragraph" w:customStyle="1" w:styleId="16">
    <w:name w:val="List Paragraph"/>
    <w:basedOn w:val="1"/>
    <w:qFormat/>
    <w:uiPriority w:val="34"/>
    <w:pPr>
      <w:ind w:firstLine="420" w:firstLineChars="200"/>
    </w:pPr>
  </w:style>
  <w:style w:type="paragraph" w:customStyle="1" w:styleId="17">
    <w:name w:val="样式1【标准】"/>
    <w:basedOn w:val="2"/>
    <w:link w:val="33"/>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bCs w:val="0"/>
      <w:kern w:val="24"/>
      <w:sz w:val="36"/>
      <w:szCs w:val="36"/>
    </w:rPr>
  </w:style>
  <w:style w:type="paragraph" w:customStyle="1" w:styleId="18">
    <w:name w:val="4.1 XX优惠"/>
    <w:basedOn w:val="3"/>
    <w:link w:val="31"/>
    <w:qFormat/>
    <w:uiPriority w:val="0"/>
    <w:pPr>
      <w:topLinePunct/>
      <w:adjustRightInd w:val="0"/>
      <w:spacing w:before="660" w:line="240" w:lineRule="auto"/>
      <w:ind w:firstLine="510"/>
    </w:pPr>
    <w:rPr>
      <w:rFonts w:ascii="Arial" w:hAnsi="Arial" w:eastAsia="黑体"/>
      <w:kern w:val="24"/>
    </w:rPr>
  </w:style>
  <w:style w:type="paragraph" w:customStyle="1" w:styleId="19">
    <w:name w:val="标签标签"/>
    <w:basedOn w:val="16"/>
    <w:link w:val="35"/>
    <w:qFormat/>
    <w:uiPriority w:val="0"/>
    <w:pPr>
      <w:numPr>
        <w:ilvl w:val="0"/>
        <w:numId w:val="2"/>
      </w:numPr>
      <w:adjustRightInd w:val="0"/>
      <w:snapToGrid w:val="0"/>
      <w:spacing w:beforeLines="25" w:afterLines="25" w:line="360" w:lineRule="auto"/>
      <w:ind w:left="0" w:firstLine="480"/>
    </w:pPr>
    <w:rPr>
      <w:rFonts w:ascii="黑体" w:hAnsi="黑体" w:eastAsia="黑体"/>
      <w:kern w:val="24"/>
      <w:sz w:val="24"/>
      <w:szCs w:val="24"/>
    </w:rPr>
  </w:style>
  <w:style w:type="paragraph" w:customStyle="1" w:styleId="20">
    <w:name w:val="3 sunshine"/>
    <w:basedOn w:val="4"/>
    <w:link w:val="27"/>
    <w:qFormat/>
    <w:uiPriority w:val="0"/>
    <w:pPr>
      <w:keepLines w:val="0"/>
      <w:topLinePunct/>
      <w:adjustRightInd w:val="0"/>
      <w:snapToGrid w:val="0"/>
      <w:spacing w:beforeLines="100" w:afterLines="100" w:line="360" w:lineRule="auto"/>
      <w:ind w:firstLine="562" w:firstLineChars="200"/>
    </w:pPr>
    <w:rPr>
      <w:rFonts w:ascii="Times New Roman" w:hAnsi="Times New Roman" w:eastAsia="黑体"/>
      <w:kern w:val="24"/>
      <w:sz w:val="28"/>
      <w:szCs w:val="28"/>
    </w:rPr>
  </w:style>
  <w:style w:type="paragraph" w:customStyle="1" w:styleId="21">
    <w:name w:val="5.1.1 完税"/>
    <w:basedOn w:val="1"/>
    <w:link w:val="29"/>
    <w:qFormat/>
    <w:uiPriority w:val="0"/>
    <w:pPr>
      <w:keepNext/>
      <w:topLinePunct/>
      <w:adjustRightInd w:val="0"/>
      <w:snapToGrid w:val="0"/>
      <w:spacing w:afterLines="125"/>
      <w:ind w:firstLine="510"/>
      <w:outlineLvl w:val="2"/>
    </w:pPr>
    <w:rPr>
      <w:rFonts w:ascii="Times New Roman" w:hAnsi="Times New Roman" w:eastAsia="黑体"/>
      <w:b/>
      <w:bCs/>
      <w:kern w:val="24"/>
      <w:sz w:val="28"/>
      <w:szCs w:val="28"/>
    </w:rPr>
  </w:style>
  <w:style w:type="paragraph" w:customStyle="1" w:styleId="22">
    <w:name w:val="【事项描】"/>
    <w:basedOn w:val="1"/>
    <w:link w:val="41"/>
    <w:qFormat/>
    <w:uiPriority w:val="0"/>
    <w:pPr>
      <w:adjustRightInd w:val="0"/>
      <w:snapToGrid w:val="0"/>
      <w:spacing w:line="360" w:lineRule="auto"/>
      <w:ind w:firstLine="482" w:firstLineChars="200"/>
    </w:pPr>
    <w:rPr>
      <w:rFonts w:ascii="宋体" w:hAnsi="宋体"/>
      <w:b/>
      <w:sz w:val="24"/>
      <w:szCs w:val="24"/>
    </w:rPr>
  </w:style>
  <w:style w:type="paragraph" w:customStyle="1" w:styleId="23">
    <w:name w:val="4.1.1 XX优惠"/>
    <w:basedOn w:val="4"/>
    <w:link w:val="39"/>
    <w:qFormat/>
    <w:uiPriority w:val="0"/>
    <w:pPr>
      <w:keepLines w:val="0"/>
      <w:topLinePunct/>
      <w:adjustRightInd w:val="0"/>
      <w:snapToGrid w:val="0"/>
      <w:spacing w:before="0" w:afterLines="125" w:line="240" w:lineRule="auto"/>
      <w:ind w:firstLine="510"/>
    </w:pPr>
    <w:rPr>
      <w:rFonts w:ascii="Times New Roman" w:hAnsi="Times New Roman" w:eastAsia="黑体"/>
      <w:kern w:val="24"/>
      <w:sz w:val="28"/>
      <w:szCs w:val="28"/>
    </w:rPr>
  </w:style>
  <w:style w:type="character" w:customStyle="1" w:styleId="24">
    <w:name w:val="页脚 Char"/>
    <w:link w:val="7"/>
    <w:qFormat/>
    <w:uiPriority w:val="0"/>
    <w:rPr>
      <w:kern w:val="2"/>
      <w:sz w:val="18"/>
      <w:szCs w:val="18"/>
    </w:rPr>
  </w:style>
  <w:style w:type="character" w:customStyle="1" w:styleId="25">
    <w:name w:val="文档结构图 Char"/>
    <w:basedOn w:val="11"/>
    <w:link w:val="5"/>
    <w:qFormat/>
    <w:uiPriority w:val="0"/>
    <w:rPr>
      <w:rFonts w:ascii="宋体"/>
      <w:kern w:val="2"/>
      <w:sz w:val="18"/>
      <w:szCs w:val="18"/>
    </w:rPr>
  </w:style>
  <w:style w:type="character" w:customStyle="1" w:styleId="26">
    <w:name w:val="页眉 Char"/>
    <w:link w:val="8"/>
    <w:qFormat/>
    <w:uiPriority w:val="0"/>
    <w:rPr>
      <w:kern w:val="2"/>
      <w:sz w:val="18"/>
      <w:szCs w:val="18"/>
    </w:rPr>
  </w:style>
  <w:style w:type="character" w:customStyle="1" w:styleId="27">
    <w:name w:val="3 sunshine 字符"/>
    <w:link w:val="20"/>
    <w:qFormat/>
    <w:uiPriority w:val="0"/>
    <w:rPr>
      <w:rFonts w:ascii="Times New Roman" w:hAnsi="Times New Roman" w:eastAsia="黑体"/>
      <w:b/>
      <w:bCs/>
      <w:kern w:val="24"/>
      <w:sz w:val="28"/>
      <w:szCs w:val="28"/>
    </w:rPr>
  </w:style>
  <w:style w:type="character" w:customStyle="1" w:styleId="28">
    <w:name w:val="标题 2 Char"/>
    <w:link w:val="3"/>
    <w:qFormat/>
    <w:uiPriority w:val="0"/>
    <w:rPr>
      <w:rFonts w:ascii="等线 Light" w:hAnsi="等线 Light" w:eastAsia="等线 Light" w:cs="Times New Roman"/>
      <w:b/>
      <w:bCs/>
      <w:kern w:val="2"/>
      <w:sz w:val="32"/>
      <w:szCs w:val="32"/>
    </w:rPr>
  </w:style>
  <w:style w:type="character" w:customStyle="1" w:styleId="29">
    <w:name w:val="5.1.1 完税 字符"/>
    <w:link w:val="21"/>
    <w:qFormat/>
    <w:uiPriority w:val="0"/>
    <w:rPr>
      <w:rFonts w:ascii="Times New Roman" w:hAnsi="Times New Roman" w:eastAsia="黑体"/>
      <w:b/>
      <w:bCs/>
      <w:kern w:val="24"/>
      <w:sz w:val="28"/>
      <w:szCs w:val="28"/>
    </w:rPr>
  </w:style>
  <w:style w:type="character" w:customStyle="1" w:styleId="30">
    <w:name w:val="5.1证明 字符"/>
    <w:link w:val="13"/>
    <w:qFormat/>
    <w:uiPriority w:val="0"/>
    <w:rPr>
      <w:rFonts w:ascii="Arial" w:hAnsi="Arial" w:eastAsia="黑体"/>
      <w:b/>
      <w:bCs/>
      <w:kern w:val="24"/>
      <w:sz w:val="32"/>
      <w:szCs w:val="32"/>
    </w:rPr>
  </w:style>
  <w:style w:type="character" w:customStyle="1" w:styleId="31">
    <w:name w:val="4.1 XX优惠 字符"/>
    <w:link w:val="18"/>
    <w:qFormat/>
    <w:uiPriority w:val="0"/>
    <w:rPr>
      <w:rFonts w:ascii="Arial" w:hAnsi="Arial" w:eastAsia="黑体"/>
      <w:b/>
      <w:bCs/>
      <w:kern w:val="24"/>
      <w:sz w:val="32"/>
      <w:szCs w:val="32"/>
    </w:rPr>
  </w:style>
  <w:style w:type="character" w:customStyle="1" w:styleId="32">
    <w:name w:val="标题 3 Char"/>
    <w:link w:val="4"/>
    <w:qFormat/>
    <w:uiPriority w:val="0"/>
    <w:rPr>
      <w:b/>
      <w:bCs/>
      <w:kern w:val="2"/>
      <w:sz w:val="32"/>
      <w:szCs w:val="32"/>
    </w:rPr>
  </w:style>
  <w:style w:type="character" w:customStyle="1" w:styleId="33">
    <w:name w:val="样式1【标准】 字符"/>
    <w:link w:val="17"/>
    <w:qFormat/>
    <w:uiPriority w:val="0"/>
    <w:rPr>
      <w:rFonts w:ascii="Times New Roman" w:hAnsi="Times New Roman" w:eastAsia="黑体"/>
      <w:b/>
      <w:kern w:val="24"/>
      <w:sz w:val="36"/>
      <w:szCs w:val="36"/>
    </w:rPr>
  </w:style>
  <w:style w:type="character" w:customStyle="1" w:styleId="34">
    <w:name w:val="标题 1 Char"/>
    <w:qFormat/>
    <w:locked/>
    <w:uiPriority w:val="0"/>
    <w:rPr>
      <w:rFonts w:ascii="黑体" w:hAnsi="黑体" w:eastAsia="黑体"/>
      <w:kern w:val="24"/>
      <w:sz w:val="36"/>
      <w:szCs w:val="36"/>
    </w:rPr>
  </w:style>
  <w:style w:type="character" w:customStyle="1" w:styleId="35">
    <w:name w:val="标签标签 字符"/>
    <w:link w:val="19"/>
    <w:qFormat/>
    <w:uiPriority w:val="0"/>
    <w:rPr>
      <w:rFonts w:ascii="黑体" w:hAnsi="黑体" w:eastAsia="黑体"/>
      <w:kern w:val="24"/>
      <w:sz w:val="24"/>
      <w:szCs w:val="24"/>
    </w:rPr>
  </w:style>
  <w:style w:type="character" w:customStyle="1" w:styleId="36">
    <w:name w:val="标签 字符"/>
    <w:link w:val="14"/>
    <w:qFormat/>
    <w:uiPriority w:val="0"/>
    <w:rPr>
      <w:rFonts w:ascii="Times New Roman" w:hAnsi="Times New Roman"/>
      <w:kern w:val="24"/>
      <w:sz w:val="24"/>
      <w:szCs w:val="24"/>
    </w:rPr>
  </w:style>
  <w:style w:type="character" w:customStyle="1" w:styleId="37">
    <w:name w:val="标题 1 Char1"/>
    <w:link w:val="2"/>
    <w:qFormat/>
    <w:uiPriority w:val="0"/>
    <w:rPr>
      <w:b/>
      <w:bCs/>
      <w:kern w:val="44"/>
      <w:sz w:val="44"/>
      <w:szCs w:val="44"/>
    </w:rPr>
  </w:style>
  <w:style w:type="character" w:customStyle="1" w:styleId="38">
    <w:name w:val="正文正文 字符"/>
    <w:link w:val="15"/>
    <w:qFormat/>
    <w:uiPriority w:val="0"/>
    <w:rPr>
      <w:rFonts w:ascii="宋体" w:hAnsi="宋体"/>
      <w:kern w:val="2"/>
      <w:sz w:val="24"/>
      <w:szCs w:val="24"/>
    </w:rPr>
  </w:style>
  <w:style w:type="character" w:customStyle="1" w:styleId="39">
    <w:name w:val="4.1.1 XX优惠 字符"/>
    <w:link w:val="23"/>
    <w:qFormat/>
    <w:uiPriority w:val="0"/>
    <w:rPr>
      <w:rFonts w:ascii="Times New Roman" w:hAnsi="Times New Roman" w:eastAsia="黑体"/>
      <w:b/>
      <w:bCs/>
      <w:kern w:val="24"/>
      <w:sz w:val="28"/>
      <w:szCs w:val="28"/>
    </w:rPr>
  </w:style>
  <w:style w:type="character" w:customStyle="1" w:styleId="40">
    <w:name w:val="二级标题 字符"/>
    <w:link w:val="12"/>
    <w:qFormat/>
    <w:uiPriority w:val="0"/>
    <w:rPr>
      <w:rFonts w:ascii="Times New Roman" w:hAnsi="Times New Roman" w:eastAsia="黑体"/>
      <w:b/>
      <w:bCs/>
      <w:kern w:val="2"/>
      <w:sz w:val="32"/>
      <w:szCs w:val="32"/>
    </w:rPr>
  </w:style>
  <w:style w:type="character" w:customStyle="1" w:styleId="41">
    <w:name w:val="【事项描】 字符"/>
    <w:link w:val="22"/>
    <w:qFormat/>
    <w:uiPriority w:val="0"/>
    <w:rPr>
      <w:rFonts w:ascii="宋体" w:hAnsi="宋体"/>
      <w:b/>
      <w:kern w:val="2"/>
      <w:sz w:val="24"/>
      <w:szCs w:val="24"/>
    </w:rPr>
  </w:style>
  <w:style w:type="character" w:customStyle="1" w:styleId="42">
    <w:name w:val="批注框文本 Char"/>
    <w:basedOn w:val="11"/>
    <w:link w:val="6"/>
    <w:qFormat/>
    <w:uiPriority w:val="0"/>
    <w:rPr>
      <w:rFonts w:ascii="Calibri" w:hAnsi="Calibri" w:eastAsia="宋体" w:cs="Times New Roman"/>
      <w:kern w:val="2"/>
      <w:sz w:val="18"/>
      <w:szCs w:val="18"/>
    </w:rPr>
  </w:style>
  <w:style w:type="paragraph" w:customStyle="1" w:styleId="43">
    <w:name w:val="样式 样式 楷体_GB2312 五号 红色 下划线 行距: 单倍行距 + 首行缩进:  2 字符"/>
    <w:qFormat/>
    <w:uiPriority w:val="99"/>
    <w:pPr>
      <w:widowControl w:val="0"/>
      <w:spacing w:line="460" w:lineRule="exact"/>
      <w:ind w:firstLine="200" w:firstLineChars="200"/>
      <w:jc w:val="both"/>
    </w:pPr>
    <w:rPr>
      <w:rFonts w:ascii="楷体_GB2312" w:hAnsi="楷体" w:eastAsia="楷体_GB2312" w:cs="楷体_GB2312"/>
      <w:color w:val="FF0000"/>
      <w:kern w:val="2"/>
      <w:sz w:val="21"/>
      <w:szCs w:val="21"/>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402</Words>
  <Characters>2294</Characters>
  <Lines>19</Lines>
  <Paragraphs>5</Paragraphs>
  <TotalTime>0</TotalTime>
  <ScaleCrop>false</ScaleCrop>
  <LinksUpToDate>false</LinksUpToDate>
  <CharactersWithSpaces>2691</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鲍倩钰</dc:creator>
  <cp:lastModifiedBy>fff</cp:lastModifiedBy>
  <dcterms:modified xsi:type="dcterms:W3CDTF">2019-12-30T02:47:07Z</dcterms:modified>
  <dc:title>9 信用评价规范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