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4153"/>
          <w:tab w:val="left" w:pos="6771"/>
        </w:tabs>
        <w:autoSpaceDE w:val="0"/>
        <w:autoSpaceDN w:val="0"/>
        <w:spacing w:beforeLines="100" w:afterLines="100" w:line="360" w:lineRule="auto"/>
        <w:jc w:val="center"/>
        <w:rPr>
          <w:rFonts w:ascii="黑体" w:hAnsi="黑体" w:eastAsia="黑体" w:cs="Times New Roman"/>
          <w:bCs w:val="0"/>
          <w:kern w:val="24"/>
          <w:sz w:val="36"/>
          <w:szCs w:val="36"/>
          <w:highlight w:val="none"/>
        </w:rPr>
      </w:pPr>
      <w:bookmarkStart w:id="0" w:name="_Toc459387029"/>
      <w:bookmarkStart w:id="1" w:name="_Toc459388209"/>
      <w:bookmarkStart w:id="2" w:name="_Toc459987190"/>
      <w:r>
        <w:rPr>
          <w:rFonts w:ascii="Times New Roman" w:hAnsi="Times New Roman" w:eastAsia="黑体" w:cs="Times New Roman"/>
          <w:bCs w:val="0"/>
          <w:kern w:val="24"/>
          <w:sz w:val="36"/>
          <w:szCs w:val="36"/>
          <w:highlight w:val="none"/>
        </w:rPr>
        <w:t>14</w:t>
      </w:r>
      <w:r>
        <w:rPr>
          <w:rFonts w:hint="eastAsia"/>
          <w:highlight w:val="none"/>
        </w:rPr>
        <w:t>　</w:t>
      </w:r>
      <w:r>
        <w:rPr>
          <w:rFonts w:hint="eastAsia" w:ascii="黑体" w:hAnsi="黑体" w:eastAsia="黑体" w:cs="Times New Roman"/>
          <w:bCs w:val="0"/>
          <w:kern w:val="24"/>
          <w:sz w:val="36"/>
          <w:szCs w:val="36"/>
          <w:highlight w:val="none"/>
        </w:rPr>
        <w:t>涉税专业服务指南</w:t>
      </w:r>
    </w:p>
    <w:p>
      <w:pPr>
        <w:wordWrap w:val="0"/>
        <w:spacing w:line="360" w:lineRule="auto"/>
        <w:ind w:firstLine="480"/>
        <w:rPr>
          <w:rFonts w:ascii="楷体" w:hAnsi="楷体" w:eastAsia="楷体"/>
          <w:color w:val="000000" w:themeColor="text1"/>
          <w:sz w:val="24"/>
          <w:szCs w:val="28"/>
          <w:highlight w:val="none"/>
          <w14:textFill>
            <w14:solidFill>
              <w14:schemeClr w14:val="tx1"/>
            </w14:solidFill>
          </w14:textFill>
        </w:rPr>
      </w:pPr>
      <w:r>
        <w:rPr>
          <w:rFonts w:ascii="楷体" w:hAnsi="楷体" w:eastAsia="楷体"/>
          <w:color w:val="000000" w:themeColor="text1"/>
          <w:sz w:val="24"/>
          <w:szCs w:val="28"/>
          <w:highlight w:val="none"/>
          <w14:textFill>
            <w14:solidFill>
              <w14:schemeClr w14:val="tx1"/>
            </w14:solidFill>
          </w14:textFill>
        </w:rPr>
        <w:t>涉税专业服务是指涉税专业服务机构接受委托，利用专业知识和技能，就涉税事项向委托人提供的税务代理等服务。涉税专业服务机构是指税务师事务所和从事涉税专业服务的会计师事务所、律师事务所、代理记账机构、税务代理公司、财税类咨询公司等机构。包括</w:t>
      </w:r>
      <w:r>
        <w:rPr>
          <w:rFonts w:hint="eastAsia" w:ascii="Times New Roman" w:hAnsi="Times New Roman" w:eastAsia="楷体" w:cs="Times New Roman"/>
          <w:color w:val="000000" w:themeColor="text1"/>
          <w:sz w:val="24"/>
          <w:szCs w:val="28"/>
          <w:highlight w:val="none"/>
          <w14:textFill>
            <w14:solidFill>
              <w14:schemeClr w14:val="tx1"/>
            </w14:solidFill>
          </w14:textFill>
        </w:rPr>
        <w:t>3</w:t>
      </w:r>
      <w:r>
        <w:rPr>
          <w:rFonts w:ascii="楷体" w:hAnsi="楷体" w:eastAsia="楷体"/>
          <w:color w:val="000000" w:themeColor="text1"/>
          <w:sz w:val="24"/>
          <w:szCs w:val="28"/>
          <w:highlight w:val="none"/>
          <w14:textFill>
            <w14:solidFill>
              <w14:schemeClr w14:val="tx1"/>
            </w14:solidFill>
          </w14:textFill>
        </w:rPr>
        <w:t>类</w:t>
      </w:r>
      <w:r>
        <w:rPr>
          <w:rFonts w:hint="eastAsia" w:ascii="Times New Roman" w:hAnsi="Times New Roman" w:eastAsia="楷体" w:cs="Times New Roman"/>
          <w:color w:val="000000" w:themeColor="text1"/>
          <w:sz w:val="24"/>
          <w:szCs w:val="28"/>
          <w:highlight w:val="none"/>
          <w14:textFill>
            <w14:solidFill>
              <w14:schemeClr w14:val="tx1"/>
            </w14:solidFill>
          </w14:textFill>
        </w:rPr>
        <w:t>9</w:t>
      </w:r>
      <w:r>
        <w:rPr>
          <w:rFonts w:ascii="楷体" w:hAnsi="楷体" w:eastAsia="楷体"/>
          <w:color w:val="000000" w:themeColor="text1"/>
          <w:sz w:val="24"/>
          <w:szCs w:val="28"/>
          <w:highlight w:val="none"/>
          <w14:textFill>
            <w14:solidFill>
              <w14:schemeClr w14:val="tx1"/>
            </w14:solidFill>
          </w14:textFill>
        </w:rPr>
        <w:t>个事项。</w:t>
      </w:r>
    </w:p>
    <w:bookmarkEnd w:id="0"/>
    <w:bookmarkEnd w:id="1"/>
    <w:bookmarkEnd w:id="2"/>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3" w:name="_Toc10660"/>
      <w:r>
        <w:rPr>
          <w:rFonts w:hint="eastAsia" w:ascii="Times New Roman" w:hAnsi="Times New Roman" w:eastAsia="黑体" w:cs="Times New Roman"/>
          <w:b/>
          <w:bCs/>
          <w:color w:val="000000" w:themeColor="text1"/>
          <w:sz w:val="32"/>
          <w:szCs w:val="32"/>
          <w:highlight w:val="none"/>
          <w14:textFill>
            <w14:solidFill>
              <w14:schemeClr w14:val="tx1"/>
            </w14:solidFill>
          </w14:textFill>
        </w:rPr>
        <w:t>14.1</w:t>
      </w:r>
      <w:r>
        <w:rPr>
          <w:rFonts w:eastAsia="黑体" w:cs="Times New Roman"/>
          <w:b/>
          <w:bCs/>
          <w:color w:val="000000" w:themeColor="text1"/>
          <w:sz w:val="32"/>
          <w:szCs w:val="32"/>
          <w:highlight w:val="none"/>
          <w14:textFill>
            <w14:solidFill>
              <w14:schemeClr w14:val="tx1"/>
            </w14:solidFill>
          </w14:textFill>
        </w:rPr>
        <w:t>　税务师事务所行政登记</w:t>
      </w:r>
      <w:bookmarkEnd w:id="3"/>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4" w:name="_Hlk12976239"/>
      <w:bookmarkStart w:id="5" w:name="_Toc24064"/>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14.1.1</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3</w:t>
      </w:r>
      <w:r>
        <w:rPr>
          <w:rFonts w:eastAsia="黑体" w:cs="Times New Roman"/>
          <w:b/>
          <w:bCs/>
          <w:color w:val="000000" w:themeColor="text1"/>
          <w:kern w:val="24"/>
          <w:sz w:val="28"/>
          <w:szCs w:val="28"/>
          <w:highlight w:val="none"/>
          <w14:textFill>
            <w14:solidFill>
              <w14:schemeClr w14:val="tx1"/>
            </w14:solidFill>
          </w14:textFill>
        </w:rPr>
        <w:t>　</w:t>
      </w:r>
      <w:bookmarkEnd w:id="4"/>
      <w:r>
        <w:rPr>
          <w:rFonts w:eastAsia="黑体" w:cs="Times New Roman"/>
          <w:b/>
          <w:bCs/>
          <w:color w:val="000000" w:themeColor="text1"/>
          <w:kern w:val="24"/>
          <w:sz w:val="28"/>
          <w:szCs w:val="28"/>
          <w:highlight w:val="none"/>
          <w14:textFill>
            <w14:solidFill>
              <w14:schemeClr w14:val="tx1"/>
            </w14:solidFill>
          </w14:textFill>
        </w:rPr>
        <w:t>税务师事务所行政登记</w:t>
      </w:r>
      <w:bookmarkEnd w:id="5"/>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税务师事务所行政登记</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w:t>
      </w:r>
      <w:r>
        <w:rPr>
          <w:rFonts w:hint="eastAsia" w:ascii="黑体" w:hAnsi="黑体" w:eastAsia="黑体" w:cs="Times New Roman"/>
          <w:bCs/>
          <w:color w:val="000000" w:themeColor="text1"/>
          <w:sz w:val="24"/>
          <w:szCs w:val="24"/>
          <w:highlight w:val="none"/>
          <w14:textFill>
            <w14:solidFill>
              <w14:schemeClr w14:val="tx1"/>
            </w14:solidFill>
          </w14:textFill>
        </w:rPr>
        <w:t>申请条件</w:t>
      </w:r>
      <w:r>
        <w:rPr>
          <w:rFonts w:ascii="黑体" w:hAnsi="黑体" w:eastAsia="黑体" w:cs="Times New Roman"/>
          <w:bCs/>
          <w:color w:val="000000" w:themeColor="text1"/>
          <w:sz w:val="24"/>
          <w:szCs w:val="24"/>
          <w:highlight w:val="none"/>
          <w14:textFill>
            <w14:solidFill>
              <w14:schemeClr w14:val="tx1"/>
            </w14:solidFill>
          </w14:textFill>
        </w:rPr>
        <w:t>】</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r>
        <w:rPr>
          <w:rFonts w:ascii="宋体" w:hAnsi="宋体" w:cs="Times New Roman"/>
          <w:color w:val="000000" w:themeColor="text1"/>
          <w:sz w:val="24"/>
          <w:szCs w:val="24"/>
          <w:highlight w:val="none"/>
          <w14:textFill>
            <w14:solidFill>
              <w14:schemeClr w14:val="tx1"/>
            </w14:solidFill>
          </w14:textFill>
        </w:rPr>
        <w:t>在商事登记名称中含有“税务师事务所”字样的行政相对人，应当向省税务机关申请办理行政登记。</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【设定依据】</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w:t>
      </w:r>
      <w:r>
        <w:rPr>
          <w:rFonts w:ascii="宋体" w:hAnsi="宋体" w:cs="Times New Roman"/>
          <w:color w:val="000000" w:themeColor="text1"/>
          <w:sz w:val="24"/>
          <w:szCs w:val="24"/>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color w:val="000000" w:themeColor="text1"/>
          <w:sz w:val="24"/>
          <w:szCs w:val="24"/>
          <w:highlight w:val="none"/>
          <w14:textFill>
            <w14:solidFill>
              <w14:schemeClr w14:val="tx1"/>
            </w14:solidFill>
          </w14:textFill>
        </w:rPr>
        <w:t>2017</w:t>
      </w:r>
      <w:r>
        <w:rPr>
          <w:rFonts w:ascii="宋体" w:hAnsi="宋体" w:cs="Times New Roman"/>
          <w:color w:val="000000" w:themeColor="text1"/>
          <w:sz w:val="24"/>
          <w:szCs w:val="24"/>
          <w:highlight w:val="none"/>
          <w14:textFill>
            <w14:solidFill>
              <w14:schemeClr w14:val="tx1"/>
            </w14:solidFill>
          </w14:textFill>
        </w:rPr>
        <w:t>年第</w:t>
      </w:r>
      <w:r>
        <w:rPr>
          <w:rFonts w:hint="eastAsia" w:ascii="Times New Roman" w:hAnsi="Times New Roman" w:cs="Times New Roman"/>
          <w:color w:val="000000" w:themeColor="text1"/>
          <w:sz w:val="24"/>
          <w:szCs w:val="24"/>
          <w:highlight w:val="none"/>
          <w14:textFill>
            <w14:solidFill>
              <w14:schemeClr w14:val="tx1"/>
            </w14:solidFill>
          </w14:textFill>
        </w:rPr>
        <w:t>13</w:t>
      </w:r>
      <w:r>
        <w:rPr>
          <w:rFonts w:ascii="宋体" w:hAnsi="宋体" w:cs="Times New Roman"/>
          <w:color w:val="000000" w:themeColor="text1"/>
          <w:sz w:val="24"/>
          <w:szCs w:val="24"/>
          <w:highlight w:val="none"/>
          <w14:textFill>
            <w14:solidFill>
              <w14:schemeClr w14:val="tx1"/>
            </w14:solidFill>
          </w14:textFill>
        </w:rPr>
        <w:t>号）第七条</w:t>
      </w:r>
    </w:p>
    <w:p>
      <w:pPr>
        <w:wordWrap w:val="0"/>
        <w:spacing w:line="360" w:lineRule="auto"/>
        <w:ind w:firstLine="480"/>
        <w:rPr>
          <w:rFonts w:ascii="宋体" w:hAnsi="宋体" w:cs="Times New Roman"/>
          <w:color w:val="000000" w:themeColor="text1"/>
          <w:sz w:val="24"/>
          <w:szCs w:val="24"/>
          <w:highlight w:val="none"/>
          <w14:textFill>
            <w14:solidFill>
              <w14:schemeClr w14:val="tx1"/>
            </w14:solidFill>
          </w14:textFill>
        </w:rPr>
      </w:pPr>
      <w:bookmarkStart w:id="6" w:name="_Toc32310"/>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宋体" w:hAnsi="宋体" w:cs="Times New Roman"/>
          <w:color w:val="000000" w:themeColor="text1"/>
          <w:sz w:val="24"/>
          <w:szCs w:val="24"/>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color w:val="000000" w:themeColor="text1"/>
          <w:sz w:val="24"/>
          <w:szCs w:val="24"/>
          <w:highlight w:val="none"/>
          <w14:textFill>
            <w14:solidFill>
              <w14:schemeClr w14:val="tx1"/>
            </w14:solidFill>
          </w14:textFill>
        </w:rPr>
        <w:t>2017</w:t>
      </w:r>
      <w:r>
        <w:rPr>
          <w:rFonts w:ascii="宋体" w:hAnsi="宋体" w:cs="Times New Roman"/>
          <w:color w:val="000000" w:themeColor="text1"/>
          <w:sz w:val="24"/>
          <w:szCs w:val="24"/>
          <w:highlight w:val="none"/>
          <w14:textFill>
            <w14:solidFill>
              <w14:schemeClr w14:val="tx1"/>
            </w14:solidFill>
          </w14:textFill>
        </w:rPr>
        <w:t>年第</w:t>
      </w:r>
      <w:r>
        <w:rPr>
          <w:rFonts w:hint="eastAsia" w:ascii="Times New Roman" w:hAnsi="Times New Roman" w:cs="Times New Roman"/>
          <w:color w:val="000000" w:themeColor="text1"/>
          <w:sz w:val="24"/>
          <w:szCs w:val="24"/>
          <w:highlight w:val="none"/>
          <w14:textFill>
            <w14:solidFill>
              <w14:schemeClr w14:val="tx1"/>
            </w14:solidFill>
          </w14:textFill>
        </w:rPr>
        <w:t>31</w:t>
      </w:r>
      <w:r>
        <w:rPr>
          <w:rFonts w:ascii="宋体" w:hAnsi="宋体" w:cs="Times New Roman"/>
          <w:color w:val="000000" w:themeColor="text1"/>
          <w:sz w:val="24"/>
          <w:szCs w:val="24"/>
          <w:highlight w:val="none"/>
          <w14:textFill>
            <w14:solidFill>
              <w14:schemeClr w14:val="tx1"/>
            </w14:solidFill>
          </w14:textFill>
        </w:rPr>
        <w:t>号）</w:t>
      </w:r>
      <w:bookmarkEnd w:id="6"/>
      <w:r>
        <w:rPr>
          <w:rFonts w:ascii="宋体" w:hAnsi="宋体" w:cs="Times New Roman"/>
          <w:color w:val="000000" w:themeColor="text1"/>
          <w:sz w:val="24"/>
          <w:szCs w:val="24"/>
          <w:highlight w:val="none"/>
          <w14:textFill>
            <w14:solidFill>
              <w14:schemeClr w14:val="tx1"/>
            </w14:solidFill>
          </w14:textFill>
        </w:rPr>
        <w:t>第二条至第七条</w:t>
      </w:r>
    </w:p>
    <w:p>
      <w:pPr>
        <w:wordWrap w:val="0"/>
        <w:spacing w:line="360" w:lineRule="auto"/>
        <w:ind w:firstLine="480"/>
        <w:rPr>
          <w:rFonts w:ascii="黑体" w:hAnsi="黑体" w:eastAsia="黑体" w:cs="Times New Roman"/>
          <w:bCs/>
          <w:color w:val="000000" w:themeColor="text1"/>
          <w:sz w:val="24"/>
          <w:szCs w:val="24"/>
          <w:highlight w:val="none"/>
          <w14:textFill>
            <w14:solidFill>
              <w14:schemeClr w14:val="tx1"/>
            </w14:solidFill>
          </w14:textFill>
        </w:rPr>
      </w:pPr>
      <w:r>
        <w:rPr>
          <w:rFonts w:ascii="黑体" w:hAnsi="黑体" w:eastAsia="黑体" w:cs="Times New Roman"/>
          <w:bCs/>
          <w:color w:val="000000" w:themeColor="text1"/>
          <w:sz w:val="24"/>
          <w:szCs w:val="24"/>
          <w:highlight w:val="none"/>
          <w14:textFill>
            <w14:solidFill>
              <w14:schemeClr w14:val="tx1"/>
            </w14:solidFill>
          </w14:textFill>
        </w:rPr>
        <w:t>【办理材料】</w:t>
      </w:r>
    </w:p>
    <w:tbl>
      <w:tblPr>
        <w:tblStyle w:val="11"/>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86"/>
        <w:gridCol w:w="3150"/>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序号</w:t>
            </w:r>
          </w:p>
        </w:tc>
        <w:tc>
          <w:tcPr>
            <w:tcW w:w="453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1</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《税务师事务所行政登记表》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营业执照复印件</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1</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highlight w:val="none"/>
                <w:lang w:val="zh-CN"/>
                <w14:textFill>
                  <w14:solidFill>
                    <w14:schemeClr w14:val="tx1"/>
                  </w14:solidFill>
                </w14:textFill>
              </w:rPr>
            </w:pPr>
            <w:r>
              <w:rPr>
                <w:rFonts w:ascii="黑体" w:hAnsi="黑体" w:eastAsia="黑体"/>
                <w:color w:val="000000" w:themeColor="text1"/>
                <w:highlight w:val="none"/>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适用情形</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机构担任税务师事务所合伙人或股东</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《税务师事务所机构合伙人或股东</w:t>
            </w:r>
          </w:p>
          <w:p>
            <w:pPr>
              <w:wordWrap w:val="0"/>
              <w:jc w:val="center"/>
              <w:rPr>
                <w:rFonts w:ascii="黑体" w:hAnsi="黑体" w:eastAsia="黑体"/>
                <w:color w:val="000000" w:themeColor="text1"/>
                <w:sz w:val="18"/>
                <w:highlight w:val="none"/>
                <w14:textFill>
                  <w14:solidFill>
                    <w14:schemeClr w14:val="tx1"/>
                  </w14:solidFill>
                </w14:textFill>
              </w:rPr>
            </w:pPr>
            <w:r>
              <w:rPr>
                <w:rFonts w:ascii="黑体" w:hAnsi="黑体" w:eastAsia="黑体"/>
                <w:color w:val="000000" w:themeColor="text1"/>
                <w:sz w:val="18"/>
                <w:highlight w:val="none"/>
                <w14:textFill>
                  <w14:solidFill>
                    <w14:schemeClr w14:val="tx1"/>
                  </w14:solidFill>
                </w14:textFill>
              </w:rPr>
              <w:t>信息备案表》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sz w:val="18"/>
                <w:highlight w:val="none"/>
                <w14:textFill>
                  <w14:solidFill>
                    <w14:schemeClr w14:val="tx1"/>
                  </w14:solidFill>
                </w14:textFill>
              </w:rPr>
            </w:pPr>
            <w:r>
              <w:rPr>
                <w:rFonts w:hint="eastAsia" w:ascii="Times New Roman" w:hAnsi="Times New Roman" w:eastAsia="黑体" w:cs="Times New Roman"/>
                <w:color w:val="000000" w:themeColor="text1"/>
                <w:sz w:val="18"/>
                <w:highlight w:val="none"/>
                <w14:textFill>
                  <w14:solidFill>
                    <w14:schemeClr w14:val="tx1"/>
                  </w14:solidFill>
                </w14:textFill>
              </w:rPr>
              <w:t>2</w:t>
            </w:r>
            <w:r>
              <w:rPr>
                <w:rFonts w:ascii="黑体" w:hAnsi="黑体" w:eastAsia="黑体"/>
                <w:color w:val="000000" w:themeColor="text1"/>
                <w:sz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000000" w:themeColor="text1"/>
                <w:highlight w:val="none"/>
                <w14:textFill>
                  <w14:solidFill>
                    <w14:schemeClr w14:val="tx1"/>
                  </w14:solidFill>
                </w14:textFill>
              </w:rPr>
            </w:pP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省税务机关自受理材料之日起</w:t>
      </w:r>
      <w:r>
        <w:rPr>
          <w:rFonts w:hint="eastAsia" w:ascii="Times New Roman" w:hAnsi="Times New Roman" w:cs="Times New Roman"/>
          <w:color w:val="000000" w:themeColor="text1"/>
          <w:sz w:val="24"/>
          <w:szCs w:val="28"/>
          <w:highlight w:val="none"/>
          <w14:textFill>
            <w14:solidFill>
              <w14:schemeClr w14:val="tx1"/>
            </w14:solidFill>
          </w14:textFill>
        </w:rPr>
        <w:t>20</w:t>
      </w:r>
      <w:r>
        <w:rPr>
          <w:rFonts w:ascii="宋体" w:hAnsi="宋体"/>
          <w:color w:val="000000" w:themeColor="text1"/>
          <w:sz w:val="24"/>
          <w:szCs w:val="28"/>
          <w:highlight w:val="none"/>
          <w14:textFill>
            <w14:solidFill>
              <w14:schemeClr w14:val="tx1"/>
            </w14:solidFill>
          </w14:textFill>
        </w:rPr>
        <w:t>个工作日内办理税务师事务所行政登记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jc w:val="center"/>
        <w:rPr>
          <w:rFonts w:ascii="宋体" w:hAnsi="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930"/>
            <wp:effectExtent l="0" t="0" r="13970" b="11430"/>
            <wp:docPr id="133" name="图片 1" descr="C:\Users\baoqianyu\Desktop\流程图\行政登记.png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 descr="C:\Users\baoqianyu\Desktop\流程图\行政登记.png行政登记"/>
                    <pic:cNvPicPr>
                      <a:picLocks noChangeAspect="1"/>
                    </pic:cNvPicPr>
                  </pic:nvPicPr>
                  <pic:blipFill>
                    <a:blip r:embed="rId5"/>
                    <a:srcRect/>
                    <a:stretch>
                      <a:fillRect/>
                    </a:stretch>
                  </pic:blipFill>
                  <pic:spPr>
                    <a:xfrm>
                      <a:off x="0" y="0"/>
                      <a:ext cx="5182870" cy="172593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行政相对人提供的各项资料为复印件的，均</w:t>
      </w:r>
      <w:r>
        <w:rPr>
          <w:rFonts w:hint="eastAsia" w:ascii="宋体" w:hAnsi="宋体" w:cs="Times New Roman"/>
          <w:color w:val="000000" w:themeColor="text1"/>
          <w:sz w:val="24"/>
          <w:szCs w:val="28"/>
          <w:highlight w:val="none"/>
          <w14:textFill>
            <w14:solidFill>
              <w14:schemeClr w14:val="tx1"/>
            </w14:solidFill>
          </w14:textFill>
        </w:rPr>
        <w:t>需</w:t>
      </w:r>
      <w:r>
        <w:rPr>
          <w:rFonts w:ascii="宋体" w:hAnsi="宋体" w:cs="Times New Roman"/>
          <w:color w:val="000000" w:themeColor="text1"/>
          <w:sz w:val="24"/>
          <w:szCs w:val="28"/>
          <w:highlight w:val="none"/>
          <w14:textFill>
            <w14:solidFill>
              <w14:schemeClr w14:val="tx1"/>
            </w14:solidFill>
          </w14:textFill>
        </w:rPr>
        <w:t>注明“与原件一致”并签章。</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s="Times New Roman"/>
          <w:color w:val="000000" w:themeColor="text1"/>
          <w:sz w:val="24"/>
          <w:szCs w:val="28"/>
          <w:highlight w:val="none"/>
          <w14:textFill>
            <w14:solidFill>
              <w14:schemeClr w14:val="tx1"/>
            </w14:solidFill>
          </w14:textFill>
        </w:rPr>
        <w:t>新设税务师事务所在办理行政登记前，应到主管税务机关完善税务登记信息，并与市场监管部门登记信息保持一致，以便在省税务机关进行行政登记时能够顺利录入金税三期系统。</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s="Times New Roman"/>
          <w:color w:val="000000" w:themeColor="text1"/>
          <w:sz w:val="24"/>
          <w:szCs w:val="28"/>
          <w:highlight w:val="none"/>
          <w14:textFill>
            <w14:solidFill>
              <w14:schemeClr w14:val="tx1"/>
            </w14:solidFill>
          </w14:textFill>
        </w:rPr>
        <w:t>行政相对人未经行政登记不得使用“税务师事务所”名称，不能享有税务师事务所的合法权益。</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6.</w:t>
      </w:r>
      <w:r>
        <w:rPr>
          <w:rFonts w:ascii="宋体" w:hAnsi="宋体" w:cs="Times New Roman"/>
          <w:color w:val="000000" w:themeColor="text1"/>
          <w:sz w:val="24"/>
          <w:szCs w:val="28"/>
          <w:highlight w:val="none"/>
          <w14:textFill>
            <w14:solidFill>
              <w14:schemeClr w14:val="tx1"/>
            </w14:solidFill>
          </w14:textFill>
        </w:rPr>
        <w:t>税务师事务所采取合伙制或者有限责任制组织形式的，除国家税务总局另有规定外，应当具备下列条件：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）合伙人或者股东由税务师、注册会计师、律师担任，其中税务师占比应高于百分之五十；</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2</w:t>
      </w:r>
      <w:r>
        <w:rPr>
          <w:rFonts w:ascii="宋体" w:hAnsi="宋体" w:cs="Times New Roman"/>
          <w:color w:val="000000" w:themeColor="text1"/>
          <w:sz w:val="24"/>
          <w:szCs w:val="28"/>
          <w:highlight w:val="none"/>
          <w14:textFill>
            <w14:solidFill>
              <w14:schemeClr w14:val="tx1"/>
            </w14:solidFill>
          </w14:textFill>
        </w:rPr>
        <w:t>）有限责任制税务师事务所的法定代表人由股东担任；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）税务师、注册会计师、律师不能同时在两家以上的税务师事务所担任合伙人、股东或者从业；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s="Times New Roman"/>
          <w:color w:val="000000" w:themeColor="text1"/>
          <w:sz w:val="24"/>
          <w:szCs w:val="28"/>
          <w:highlight w:val="none"/>
          <w14:textFill>
            <w14:solidFill>
              <w14:schemeClr w14:val="tx1"/>
            </w14:solidFill>
          </w14:textFill>
        </w:rPr>
        <w:t>）税务师事务所字号不得与已经行政登记的税务师事务所字号重复。</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7.</w:t>
      </w:r>
      <w:r>
        <w:rPr>
          <w:rFonts w:ascii="宋体" w:hAnsi="宋体" w:cs="Times New Roman"/>
          <w:color w:val="000000" w:themeColor="text1"/>
          <w:sz w:val="24"/>
          <w:szCs w:val="28"/>
          <w:highlight w:val="none"/>
          <w14:textFill>
            <w14:solidFill>
              <w14:schemeClr w14:val="tx1"/>
            </w14:solidFill>
          </w14:textFill>
        </w:rPr>
        <w:t>机构担任税务师事务所的合伙人或者股东的情形：</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s="Times New Roman"/>
          <w:color w:val="000000" w:themeColor="text1"/>
          <w:sz w:val="24"/>
          <w:szCs w:val="28"/>
          <w:highlight w:val="none"/>
          <w14:textFill>
            <w14:solidFill>
              <w14:schemeClr w14:val="tx1"/>
            </w14:solidFill>
          </w14:textFill>
        </w:rPr>
        <w:t>）符合以下条件的税务师事务所，可以担任税务师事务所的合伙人或者股东：</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①执行事务合伙人或者法定代表人由税务师担任；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②前</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年内未因涉税专业服务行为受到税务行政处罚；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③法律行政法规和国家税务总局规定的其他条件。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w:t>
      </w:r>
      <w:r>
        <w:rPr>
          <w:rFonts w:hint="eastAsia" w:ascii="Times New Roman" w:hAnsi="Times New Roman" w:cs="Times New Roman"/>
          <w:color w:val="000000" w:themeColor="text1"/>
          <w:sz w:val="24"/>
          <w:szCs w:val="28"/>
          <w:highlight w:val="none"/>
          <w14:textFill>
            <w14:solidFill>
              <w14:schemeClr w14:val="tx1"/>
            </w14:solidFill>
          </w14:textFill>
        </w:rPr>
        <w:t>2</w:t>
      </w:r>
      <w:r>
        <w:rPr>
          <w:rFonts w:ascii="宋体" w:hAnsi="宋体" w:cs="Times New Roman"/>
          <w:color w:val="000000" w:themeColor="text1"/>
          <w:sz w:val="24"/>
          <w:szCs w:val="28"/>
          <w:highlight w:val="none"/>
          <w14:textFill>
            <w14:solidFill>
              <w14:schemeClr w14:val="tx1"/>
            </w14:solidFill>
          </w14:textFill>
        </w:rPr>
        <w:t>）符合以下条件的从事涉税专业服务的科技、咨询公司，可以担任税务师事务所的合伙人或者股东：</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①由税务师或者税务师事务所的合伙人（股东）发起设立，法定代表人由税务师担任；</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②前</w:t>
      </w: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s="Times New Roman"/>
          <w:color w:val="000000" w:themeColor="text1"/>
          <w:sz w:val="24"/>
          <w:szCs w:val="28"/>
          <w:highlight w:val="none"/>
          <w14:textFill>
            <w14:solidFill>
              <w14:schemeClr w14:val="tx1"/>
            </w14:solidFill>
          </w14:textFill>
        </w:rPr>
        <w:t>年内未因涉税专业服务行为受到税务行政处罚；</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③法律行政法规和国家税务总局规定的其他条件。</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8.</w:t>
      </w:r>
      <w:r>
        <w:rPr>
          <w:rFonts w:ascii="宋体" w:hAnsi="宋体" w:cs="Times New Roman"/>
          <w:color w:val="000000" w:themeColor="text1"/>
          <w:sz w:val="24"/>
          <w:szCs w:val="28"/>
          <w:highlight w:val="none"/>
          <w14:textFill>
            <w14:solidFill>
              <w14:schemeClr w14:val="tx1"/>
            </w14:solidFill>
          </w14:textFill>
        </w:rPr>
        <w:t>税务师事务所分所的负责人应当由总所的合伙人或者股东担任。税务师事务所分所的行政登记参照本节办理。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9.</w:t>
      </w:r>
      <w:r>
        <w:rPr>
          <w:rFonts w:ascii="宋体" w:hAnsi="宋体" w:cs="Times New Roman"/>
          <w:color w:val="000000" w:themeColor="text1"/>
          <w:sz w:val="24"/>
          <w:szCs w:val="28"/>
          <w:highlight w:val="none"/>
          <w14:textFill>
            <w14:solidFill>
              <w14:schemeClr w14:val="tx1"/>
            </w14:solidFill>
          </w14:textFill>
        </w:rPr>
        <w:t>从事涉税专业服务的会计师事务所和律师事务所，依法取得会计师事务所执业证书或律师事务所执业许可证，视同行政登记。</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7" w:name="_Toc17863"/>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4</w:t>
      </w:r>
      <w:r>
        <w:rPr>
          <w:rFonts w:eastAsia="黑体" w:cs="Times New Roman"/>
          <w:b/>
          <w:bCs/>
          <w:color w:val="000000" w:themeColor="text1"/>
          <w:kern w:val="24"/>
          <w:sz w:val="28"/>
          <w:szCs w:val="28"/>
          <w:highlight w:val="none"/>
          <w14:textFill>
            <w14:solidFill>
              <w14:schemeClr w14:val="tx1"/>
            </w14:solidFill>
          </w14:textFill>
        </w:rPr>
        <w:t>　税务师事务所行政登记变更</w:t>
      </w:r>
      <w:bookmarkEnd w:id="7"/>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税务师事务所行政登记变更</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税务师事务所的名称、组织形式、经营场所、合伙人或者股东、执行事务合伙人或者法定代表人等事项发生变更的，应当自办理工商变更之日起</w:t>
      </w:r>
      <w:r>
        <w:rPr>
          <w:rFonts w:hint="eastAsia" w:ascii="Times New Roman" w:hAnsi="Times New Roman" w:cs="Times New Roman"/>
          <w:bCs/>
          <w:color w:val="000000" w:themeColor="text1"/>
          <w:sz w:val="24"/>
          <w:szCs w:val="28"/>
          <w:highlight w:val="none"/>
          <w14:textFill>
            <w14:solidFill>
              <w14:schemeClr w14:val="tx1"/>
            </w14:solidFill>
          </w14:textFill>
        </w:rPr>
        <w:t>20</w:t>
      </w:r>
      <w:r>
        <w:rPr>
          <w:rFonts w:ascii="宋体" w:hAnsi="宋体"/>
          <w:bCs/>
          <w:color w:val="000000" w:themeColor="text1"/>
          <w:sz w:val="24"/>
          <w:szCs w:val="28"/>
          <w:highlight w:val="none"/>
          <w14:textFill>
            <w14:solidFill>
              <w14:schemeClr w14:val="tx1"/>
            </w14:solidFill>
          </w14:textFill>
        </w:rPr>
        <w:t>个工作日内办理变更行政登记。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号）第八条、第九条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47"/>
        <w:gridCol w:w="3089"/>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原《税务师事务所行政登记证书》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变更后的营业执照复印件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lang w:val="zh-CN"/>
                <w14:textFill>
                  <w14:solidFill>
                    <w14:schemeClr w14:val="tx1"/>
                  </w14:solidFill>
                </w14:textFill>
              </w:rPr>
            </w:pPr>
            <w:r>
              <w:rPr>
                <w:rFonts w:ascii="黑体" w:hAnsi="黑体" w:eastAsia="黑体"/>
                <w:color w:val="000000" w:themeColor="text1"/>
                <w:szCs w:val="21"/>
                <w:highlight w:val="none"/>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适用情形</w:t>
            </w:r>
          </w:p>
        </w:tc>
        <w:tc>
          <w:tcPr>
            <w:tcW w:w="308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机构担任税务师事务所合伙人或股东还应报送</w:t>
            </w:r>
          </w:p>
        </w:tc>
        <w:tc>
          <w:tcPr>
            <w:tcW w:w="308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《税务师事务所机构合伙人或</w:t>
            </w:r>
          </w:p>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股东信息备案表》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省税务机关自受理材料之日起</w:t>
      </w:r>
      <w:r>
        <w:rPr>
          <w:rFonts w:hint="eastAsia" w:ascii="Times New Roman" w:hAnsi="Times New Roman" w:cs="Times New Roman"/>
          <w:color w:val="000000" w:themeColor="text1"/>
          <w:sz w:val="24"/>
          <w:szCs w:val="28"/>
          <w:highlight w:val="none"/>
          <w14:textFill>
            <w14:solidFill>
              <w14:schemeClr w14:val="tx1"/>
            </w14:solidFill>
          </w14:textFill>
        </w:rPr>
        <w:t>15</w:t>
      </w:r>
      <w:r>
        <w:rPr>
          <w:rFonts w:ascii="宋体" w:hAnsi="宋体"/>
          <w:color w:val="000000" w:themeColor="text1"/>
          <w:sz w:val="24"/>
          <w:szCs w:val="28"/>
          <w:highlight w:val="none"/>
          <w14:textFill>
            <w14:solidFill>
              <w14:schemeClr w14:val="tx1"/>
            </w14:solidFill>
          </w14:textFill>
        </w:rPr>
        <w:t>个工作日内办理税务师事务所变更行政登记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930"/>
            <wp:effectExtent l="0" t="0" r="13970" b="11430"/>
            <wp:docPr id="134" name="图片 2" descr="C:\Users\baoqianyu\Desktop\流程图\变更行政登记.png变更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 descr="C:\Users\baoqianyu\Desktop\流程图\变更行政登记.png变更行政登记"/>
                    <pic:cNvPicPr>
                      <a:picLocks noChangeAspect="1"/>
                    </pic:cNvPicPr>
                  </pic:nvPicPr>
                  <pic:blipFill>
                    <a:blip r:embed="rId6"/>
                    <a:srcRect/>
                    <a:stretch>
                      <a:fillRect/>
                    </a:stretch>
                  </pic:blipFill>
                  <pic:spPr>
                    <a:xfrm>
                      <a:off x="0" y="0"/>
                      <a:ext cx="5182870" cy="172593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 xml:space="preserve"> 行政相对人提供的各项资料为复印件的，均</w:t>
      </w:r>
      <w:r>
        <w:rPr>
          <w:rFonts w:hint="eastAsia" w:ascii="宋体" w:hAnsi="宋体"/>
          <w:color w:val="000000" w:themeColor="text1"/>
          <w:sz w:val="24"/>
          <w:szCs w:val="28"/>
          <w:highlight w:val="none"/>
          <w14:textFill>
            <w14:solidFill>
              <w14:schemeClr w14:val="tx1"/>
            </w14:solidFill>
          </w14:textFill>
        </w:rPr>
        <w:t>需</w:t>
      </w:r>
      <w:r>
        <w:rPr>
          <w:rFonts w:ascii="宋体" w:hAnsi="宋体"/>
          <w:color w:val="000000" w:themeColor="text1"/>
          <w:sz w:val="24"/>
          <w:szCs w:val="28"/>
          <w:highlight w:val="none"/>
          <w14:textFill>
            <w14:solidFill>
              <w14:schemeClr w14:val="tx1"/>
            </w14:solidFill>
          </w14:textFill>
        </w:rPr>
        <w:t>注明“与原件一致”并签章。</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税务师事务所分所的行政登记变更参照本事项办理。</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8" w:name="_Toc9231"/>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14.1.3</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5</w:t>
      </w:r>
      <w:r>
        <w:rPr>
          <w:rFonts w:eastAsia="黑体" w:cs="Times New Roman"/>
          <w:b/>
          <w:bCs/>
          <w:color w:val="000000" w:themeColor="text1"/>
          <w:kern w:val="24"/>
          <w:sz w:val="28"/>
          <w:szCs w:val="28"/>
          <w:highlight w:val="none"/>
          <w14:textFill>
            <w14:solidFill>
              <w14:schemeClr w14:val="tx1"/>
            </w14:solidFill>
          </w14:textFill>
        </w:rPr>
        <w:t>　税务师事务所行政登记终止</w:t>
      </w:r>
      <w:bookmarkEnd w:id="8"/>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税务师事务所行政登记终止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税务师事务所在向市场监管部门办理注销登记前，应当向所在地省税务机关提交材料办理终止行政登记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《国家税务总局关于发布&lt;税务师事务所行政登记规程（试行）&gt;的公告》（国家税务总局公告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号）第十条、第十一条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机构所在地的省税务机关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省税务机关纳税服务部门</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left="51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省税务机关受理后及时办理税务师事务所终止行政登记</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省税务机关对外公开的联系电话，</w:t>
      </w:r>
      <w:r>
        <w:rPr>
          <w:rFonts w:ascii="宋体" w:hAnsi="宋体" w:cs="宋体"/>
          <w:color w:val="000000" w:themeColor="text1"/>
          <w:sz w:val="24"/>
          <w:szCs w:val="28"/>
          <w:highlight w:val="none"/>
          <w14:textFill>
            <w14:solidFill>
              <w14:schemeClr w14:val="tx1"/>
            </w14:solidFill>
          </w14:textFill>
        </w:rPr>
        <w:t>可从</w:t>
      </w:r>
      <w:r>
        <w:rPr>
          <w:rFonts w:hint="eastAsia" w:ascii="宋体" w:hAnsi="宋体" w:cs="宋体"/>
          <w:color w:val="000000" w:themeColor="text1"/>
          <w:sz w:val="24"/>
          <w:szCs w:val="28"/>
          <w:highlight w:val="none"/>
          <w:lang w:eastAsia="zh-CN"/>
          <w14:textFill>
            <w14:solidFill>
              <w14:schemeClr w14:val="tx1"/>
            </w14:solidFill>
          </w14:textFill>
        </w:rPr>
        <w:t>云南省</w:t>
      </w:r>
      <w:r>
        <w:rPr>
          <w:rFonts w:ascii="宋体" w:hAnsi="宋体" w:cs="宋体"/>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182870" cy="1725295"/>
            <wp:effectExtent l="0" t="0" r="13970" b="12065"/>
            <wp:docPr id="135" name="图片 4" descr="C:\Users\baoqianyu\Desktop\流程图\终止行政登记.png终止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 descr="C:\Users\baoqianyu\Desktop\流程图\终止行政登记.png终止行政登记"/>
                    <pic:cNvPicPr>
                      <a:picLocks noChangeAspect="1"/>
                    </pic:cNvPicPr>
                  </pic:nvPicPr>
                  <pic:blipFill>
                    <a:blip r:embed="rId7"/>
                    <a:srcRect/>
                    <a:stretch>
                      <a:fillRect/>
                    </a:stretch>
                  </pic:blipFill>
                  <pic:spPr>
                    <a:xfrm>
                      <a:off x="0" y="0"/>
                      <a:ext cx="5182870" cy="1725295"/>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行政相对人对报送材料的真实性和合法性承担责任。</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税务师事务所应在向市场监管部门办理注销登记前向所在地省税务机关提交材料办理终止行政登记。税务师事务所在向市场监管部门办理注销登记前没有办理终止行政登记的，由省税务机关宣布《税务师事务所行政登记证书》失效。</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税务师事务所分所的行政登记终止参照本事项办理。</w:t>
      </w:r>
    </w:p>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9" w:name="_Toc7116"/>
      <w:r>
        <w:rPr>
          <w:rFonts w:hint="eastAsia" w:ascii="Times New Roman" w:hAnsi="Times New Roman" w:eastAsia="黑体" w:cs="Times New Roman"/>
          <w:b/>
          <w:bCs/>
          <w:color w:val="000000" w:themeColor="text1"/>
          <w:sz w:val="32"/>
          <w:szCs w:val="32"/>
          <w:highlight w:val="none"/>
          <w14:textFill>
            <w14:solidFill>
              <w14:schemeClr w14:val="tx1"/>
            </w14:solidFill>
          </w14:textFill>
        </w:rPr>
        <w:t>14.2</w:t>
      </w:r>
      <w:r>
        <w:rPr>
          <w:rFonts w:eastAsia="黑体" w:cs="Times New Roman"/>
          <w:b/>
          <w:bCs/>
          <w:color w:val="000000" w:themeColor="text1"/>
          <w:sz w:val="32"/>
          <w:szCs w:val="32"/>
          <w:highlight w:val="none"/>
          <w14:textFill>
            <w14:solidFill>
              <w14:schemeClr w14:val="tx1"/>
            </w14:solidFill>
          </w14:textFill>
        </w:rPr>
        <w:t>　涉税专业服务机构基本信息和业务信息报送</w:t>
      </w:r>
      <w:bookmarkEnd w:id="9"/>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0" w:name="_Toc17030"/>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14.2.1</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6</w:t>
      </w:r>
      <w:r>
        <w:rPr>
          <w:rFonts w:eastAsia="黑体" w:cs="Times New Roman"/>
          <w:b/>
          <w:bCs/>
          <w:color w:val="000000" w:themeColor="text1"/>
          <w:kern w:val="24"/>
          <w:sz w:val="28"/>
          <w:szCs w:val="28"/>
          <w:highlight w:val="none"/>
          <w14:textFill>
            <w14:solidFill>
              <w14:schemeClr w14:val="tx1"/>
            </w14:solidFill>
          </w14:textFill>
        </w:rPr>
        <w:t>　涉税专业服务机构（人员）基本信息报送</w:t>
      </w:r>
      <w:bookmarkEnd w:id="10"/>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涉税专业服务机构（人员）基本信息报送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涉税专业服务机构首次报送基本信息的应当于首次提供涉税专业服务前、基本信息发生变更的应当自变更之日起</w:t>
      </w:r>
      <w:r>
        <w:rPr>
          <w:rFonts w:hint="eastAsia" w:ascii="Times New Roman" w:hAnsi="Times New Roman" w:cs="Times New Roman"/>
          <w:bCs/>
          <w:color w:val="000000" w:themeColor="text1"/>
          <w:sz w:val="24"/>
          <w:szCs w:val="28"/>
          <w:highlight w:val="none"/>
          <w14:textFill>
            <w14:solidFill>
              <w14:schemeClr w14:val="tx1"/>
            </w14:solidFill>
          </w14:textFill>
        </w:rPr>
        <w:t>30</w:t>
      </w:r>
      <w:r>
        <w:rPr>
          <w:rFonts w:ascii="宋体" w:hAnsi="宋体"/>
          <w:bCs/>
          <w:color w:val="000000" w:themeColor="text1"/>
          <w:sz w:val="24"/>
          <w:szCs w:val="28"/>
          <w:highlight w:val="none"/>
          <w14:textFill>
            <w14:solidFill>
              <w14:schemeClr w14:val="tx1"/>
            </w14:solidFill>
          </w14:textFill>
        </w:rPr>
        <w:t>日内、暂时停止提供涉税专业服务的应当于完成或终止全部涉税专业服务协议后、恢复提供涉税专业服务的应当于恢复后首次提供涉税专业服务前办理涉税专业服务机构（人员）基本信息报送。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号）第八条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6"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《涉税专业服务机构（人员）基本信息采集表》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、办税服务厅（场所）办理，具体地点可从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jc w:val="left"/>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drawing>
          <wp:inline distT="0" distB="0" distL="114300" distR="114300">
            <wp:extent cx="5184140" cy="1769745"/>
            <wp:effectExtent l="0" t="0" r="12700" b="0"/>
            <wp:docPr id="136" name="图片 136"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税务师事务所应当先办理税务师事务所行政登记，取得《税务师事务所行政登记证书》。</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涉税专业服务机构原则上应当通过电子税务局报送，因客观原因无法通过电子税务局报送的，可在非征期内通过实体办税服务厅办理。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涉税专业服务机构通过电子税务局办理的，按照系统反馈信息，自行打印《涉税专业服务机构（人员）基本信息采集表》留存。</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1" w:name="_Toc4987"/>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7</w:t>
      </w:r>
      <w:r>
        <w:rPr>
          <w:rFonts w:eastAsia="黑体" w:cs="Times New Roman"/>
          <w:b/>
          <w:bCs/>
          <w:color w:val="000000" w:themeColor="text1"/>
          <w:kern w:val="24"/>
          <w:sz w:val="28"/>
          <w:szCs w:val="28"/>
          <w:highlight w:val="none"/>
          <w14:textFill>
            <w14:solidFill>
              <w14:schemeClr w14:val="tx1"/>
            </w14:solidFill>
          </w14:textFill>
        </w:rPr>
        <w:t>　涉税专业服务协议要素信息报送</w:t>
      </w:r>
      <w:bookmarkEnd w:id="11"/>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涉税专业服务协议要素信息报送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涉税专业服务机构应当于首次为委托人提供业务委托协议约定的涉税服务前、业务委托协议发生变更或者终止的应当自变更或者终止之日起</w:t>
      </w:r>
      <w:r>
        <w:rPr>
          <w:rFonts w:hint="eastAsia" w:ascii="Times New Roman" w:hAnsi="Times New Roman" w:cs="Times New Roman"/>
          <w:bCs/>
          <w:color w:val="000000" w:themeColor="text1"/>
          <w:sz w:val="24"/>
          <w:szCs w:val="28"/>
          <w:highlight w:val="none"/>
          <w14:textFill>
            <w14:solidFill>
              <w14:schemeClr w14:val="tx1"/>
            </w14:solidFill>
          </w14:textFill>
        </w:rPr>
        <w:t>30</w:t>
      </w:r>
      <w:r>
        <w:rPr>
          <w:rFonts w:ascii="宋体" w:hAnsi="宋体"/>
          <w:bCs/>
          <w:color w:val="000000" w:themeColor="text1"/>
          <w:sz w:val="24"/>
          <w:szCs w:val="28"/>
          <w:highlight w:val="none"/>
          <w14:textFill>
            <w14:solidFill>
              <w14:schemeClr w14:val="tx1"/>
            </w14:solidFill>
          </w14:textFill>
        </w:rPr>
        <w:t>日内办理涉税专业服务协议要素信息报送。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号）第八条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号）第一条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《涉税专业服务协议要素信息采集表》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3</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税务机关、委托人和涉税专业服务机构各留存一份</w:t>
            </w: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、办税服务厅（场所）办理，具体地点可从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7" name="图片 137"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hint="eastAsia"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涉税专业服务机构办理涉税专业服务协议要素信息报送前，应已完成涉税专业服务机构（人员）基本信息报送。</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4.</w:t>
      </w:r>
      <w:r>
        <w:rPr>
          <w:rFonts w:ascii="宋体" w:hAnsi="宋体"/>
          <w:color w:val="000000" w:themeColor="text1"/>
          <w:sz w:val="24"/>
          <w:szCs w:val="28"/>
          <w:highlight w:val="none"/>
          <w14:textFill>
            <w14:solidFill>
              <w14:schemeClr w14:val="tx1"/>
            </w14:solidFill>
          </w14:textFill>
        </w:rPr>
        <w:t>涉税专业服务机构原则上应当通过电子税务局报送涉税专业服务协议要素信息，因客观原因无法通过电子税务局报送的，可在非征期内通过实体办税服务厅办理。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5.</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涉税专业服务机构通过电子税务局办理的，按照系统反馈信息，自行打印《涉税专业服务协议要素信息采集表》，由涉税专业服务机构、委托人留存。</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6.</w:t>
      </w:r>
      <w:r>
        <w:rPr>
          <w:rFonts w:ascii="宋体" w:hAnsi="宋体"/>
          <w:color w:val="000000" w:themeColor="text1"/>
          <w:sz w:val="24"/>
          <w:szCs w:val="28"/>
          <w:highlight w:val="none"/>
          <w14:textFill>
            <w14:solidFill>
              <w14:schemeClr w14:val="tx1"/>
            </w14:solidFill>
          </w14:textFill>
        </w:rPr>
        <w:t>涉税专业服务机构仅报送业务委托协议的要素信息，业务委托协议原件由涉税专业服务机构和委托人双方留存备查。</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7.</w:t>
      </w:r>
      <w:r>
        <w:rPr>
          <w:rFonts w:ascii="宋体" w:hAnsi="宋体"/>
          <w:color w:val="000000" w:themeColor="text1"/>
          <w:sz w:val="24"/>
          <w:szCs w:val="28"/>
          <w:highlight w:val="none"/>
          <w14:textFill>
            <w14:solidFill>
              <w14:schemeClr w14:val="tx1"/>
            </w14:solidFill>
          </w14:textFill>
        </w:rPr>
        <w:t>专业税务顾问、税收策划、涉税鉴证、纳税情况审查等四项涉税业务，应当由具有税务师事务所、会计师事务所、律师事务所资质的涉税专业服务机构从事。</w:t>
      </w:r>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2" w:name="_Toc17506"/>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14.2.3</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8</w:t>
      </w:r>
      <w:r>
        <w:rPr>
          <w:rFonts w:eastAsia="黑体" w:cs="Times New Roman"/>
          <w:b/>
          <w:bCs/>
          <w:color w:val="000000" w:themeColor="text1"/>
          <w:kern w:val="24"/>
          <w:sz w:val="28"/>
          <w:szCs w:val="28"/>
          <w:highlight w:val="none"/>
          <w14:textFill>
            <w14:solidFill>
              <w14:schemeClr w14:val="tx1"/>
            </w14:solidFill>
          </w14:textFill>
        </w:rPr>
        <w:t>　涉税专业服务年度报告报送</w:t>
      </w:r>
      <w:bookmarkEnd w:id="12"/>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涉税专业服务年度报告报送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涉税专业服务机构应当于每年</w:t>
      </w:r>
      <w:r>
        <w:rPr>
          <w:rFonts w:hint="eastAsia" w:ascii="Times New Roman" w:hAnsi="Times New Roman" w:cs="Times New Roman"/>
          <w:bCs/>
          <w:color w:val="000000" w:themeColor="text1"/>
          <w:sz w:val="24"/>
          <w:szCs w:val="28"/>
          <w:highlight w:val="none"/>
          <w14:textFill>
            <w14:solidFill>
              <w14:schemeClr w14:val="tx1"/>
            </w14:solidFill>
          </w14:textFill>
        </w:rPr>
        <w:t>3</w:t>
      </w:r>
      <w:r>
        <w:rPr>
          <w:rFonts w:ascii="宋体" w:hAnsi="宋体"/>
          <w:bCs/>
          <w:color w:val="000000" w:themeColor="text1"/>
          <w:sz w:val="24"/>
          <w:szCs w:val="28"/>
          <w:highlight w:val="none"/>
          <w14:textFill>
            <w14:solidFill>
              <w14:schemeClr w14:val="tx1"/>
            </w14:solidFill>
          </w14:textFill>
        </w:rPr>
        <w:t>月</w:t>
      </w:r>
      <w:r>
        <w:rPr>
          <w:rFonts w:hint="eastAsia" w:ascii="Times New Roman" w:hAnsi="Times New Roman" w:cs="Times New Roman"/>
          <w:bCs/>
          <w:color w:val="000000" w:themeColor="text1"/>
          <w:sz w:val="24"/>
          <w:szCs w:val="28"/>
          <w:highlight w:val="none"/>
          <w14:textFill>
            <w14:solidFill>
              <w14:schemeClr w14:val="tx1"/>
            </w14:solidFill>
          </w14:textFill>
        </w:rPr>
        <w:t>31</w:t>
      </w:r>
      <w:r>
        <w:rPr>
          <w:rFonts w:ascii="宋体" w:hAnsi="宋体"/>
          <w:bCs/>
          <w:color w:val="000000" w:themeColor="text1"/>
          <w:sz w:val="24"/>
          <w:szCs w:val="28"/>
          <w:highlight w:val="none"/>
          <w14:textFill>
            <w14:solidFill>
              <w14:schemeClr w14:val="tx1"/>
            </w14:solidFill>
          </w14:textFill>
        </w:rPr>
        <w:t>日前，以年度报告形式向税务机关报送上一年度从事涉税专业服务的总体情况。</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号）第九条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号）第二条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《年度涉税专业服务总体情况表》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hint="eastAsia" w:ascii="宋体" w:hAnsi="宋体" w:cs="Times New Roman"/>
          <w:color w:val="000000" w:themeColor="text1"/>
          <w:sz w:val="24"/>
          <w:szCs w:val="28"/>
          <w:highlight w:val="none"/>
          <w14:textFill>
            <w14:solidFill>
              <w14:schemeClr w14:val="tx1"/>
            </w14:solidFill>
          </w14:textFill>
        </w:rPr>
      </w:pPr>
      <w:r>
        <w:rPr>
          <w:rFonts w:hint="eastAsia"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hint="eastAsia" w:ascii="宋体" w:hAnsi="宋体" w:cs="Times New Roman"/>
          <w:color w:val="000000" w:themeColor="text1"/>
          <w:sz w:val="24"/>
          <w:szCs w:val="28"/>
          <w:highlight w:val="none"/>
          <w14:textFill>
            <w14:solidFill>
              <w14:schemeClr w14:val="tx1"/>
            </w14:solidFill>
          </w14:textFill>
        </w:rPr>
        <w:t>办理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8" name="图片 138"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涉税专业服务机构通过电子税务局办理</w:t>
      </w:r>
      <w:r>
        <w:rPr>
          <w:rFonts w:hint="eastAsia" w:ascii="宋体" w:hAnsi="宋体"/>
          <w:color w:val="000000" w:themeColor="text1"/>
          <w:sz w:val="24"/>
          <w:szCs w:val="28"/>
          <w:highlight w:val="none"/>
          <w:lang w:eastAsia="zh-CN"/>
          <w14:textFill>
            <w14:solidFill>
              <w14:schemeClr w14:val="tx1"/>
            </w14:solidFill>
          </w14:textFill>
        </w:rPr>
        <w:t>时</w:t>
      </w:r>
      <w:r>
        <w:rPr>
          <w:rFonts w:ascii="宋体" w:hAnsi="宋体"/>
          <w:color w:val="000000" w:themeColor="text1"/>
          <w:sz w:val="24"/>
          <w:szCs w:val="28"/>
          <w:highlight w:val="none"/>
          <w14:textFill>
            <w14:solidFill>
              <w14:schemeClr w14:val="tx1"/>
            </w14:solidFill>
          </w14:textFill>
        </w:rPr>
        <w:t>，按照系统反馈信息，自行打印《年度涉税专业服务总体情况表》留存。</w:t>
      </w:r>
    </w:p>
    <w:p>
      <w:pPr>
        <w:wordWrap w:val="0"/>
        <w:spacing w:beforeLines="100" w:afterLines="100" w:line="360" w:lineRule="auto"/>
        <w:ind w:firstLine="562" w:firstLineChars="200"/>
        <w:outlineLvl w:val="2"/>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pPr>
      <w:bookmarkStart w:id="13" w:name="_Toc11464"/>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14.2.4—19</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9</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　涉税专业服务专项报告报送</w:t>
      </w:r>
      <w:bookmarkEnd w:id="13"/>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涉税专业服务专项报告报送</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税务师事务所、会计师事务所、律师事务所从事专业税务顾问、税收策划、涉税鉴证、纳税情况审查业务，应当在完成业务的次月向主管税务机关单独报送相关业务信息。</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号）第九条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《国家税务总局关于采集涉税专业服务基本信息和业务信息有关事项的公告》（国家税务总局公告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49</w:t>
      </w:r>
      <w:r>
        <w:rPr>
          <w:rFonts w:ascii="宋体" w:hAnsi="宋体"/>
          <w:bCs/>
          <w:color w:val="000000" w:themeColor="text1"/>
          <w:sz w:val="24"/>
          <w:szCs w:val="28"/>
          <w:highlight w:val="none"/>
          <w14:textFill>
            <w14:solidFill>
              <w14:schemeClr w14:val="tx1"/>
            </w14:solidFill>
          </w14:textFill>
        </w:rPr>
        <w:t>号）第二条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olor w:val="000000" w:themeColor="text1"/>
                <w:sz w:val="18"/>
                <w:szCs w:val="18"/>
                <w:highlight w:val="none"/>
                <w14:textFill>
                  <w14:solidFill>
                    <w14:schemeClr w14:val="tx1"/>
                  </w14:solidFill>
                </w14:textFill>
              </w:rPr>
              <w:t>《专项业务报告要素信息采集表》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2</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税务机关和涉税专业服务机构各留存一份</w:t>
            </w:r>
          </w:p>
        </w:tc>
      </w:tr>
    </w:tbl>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hint="eastAsia" w:ascii="宋体" w:hAnsi="宋体" w:cs="Times New Roman"/>
          <w:color w:val="000000" w:themeColor="text1"/>
          <w:sz w:val="24"/>
          <w:szCs w:val="28"/>
          <w:highlight w:val="none"/>
          <w14:textFill>
            <w14:solidFill>
              <w14:schemeClr w14:val="tx1"/>
            </w14:solidFill>
          </w14:textFill>
        </w:rPr>
        <w:t>可通过电子税务局</w:t>
      </w:r>
      <w:r>
        <w:rPr>
          <w:rFonts w:hint="eastAsia" w:ascii="宋体" w:hAnsi="宋体" w:eastAsia="宋体" w:cstheme="minorBidi"/>
          <w:bCs w:val="0"/>
          <w:highlight w:val="none"/>
          <w:lang w:eastAsia="zh-CN"/>
        </w:rPr>
        <w:t>（http://etax.yunnan.chinatax.gov.cn）</w:t>
      </w:r>
      <w:r>
        <w:rPr>
          <w:rFonts w:hint="eastAsia" w:ascii="宋体" w:hAnsi="宋体" w:cs="Times New Roman"/>
          <w:color w:val="000000" w:themeColor="text1"/>
          <w:sz w:val="24"/>
          <w:szCs w:val="28"/>
          <w:highlight w:val="none"/>
          <w14:textFill>
            <w14:solidFill>
              <w14:schemeClr w14:val="tx1"/>
            </w14:solidFill>
          </w14:textFill>
        </w:rPr>
        <w:t>办理。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drawing>
          <wp:inline distT="0" distB="0" distL="114300" distR="114300">
            <wp:extent cx="5184140" cy="1769745"/>
            <wp:effectExtent l="0" t="0" r="12700" b="0"/>
            <wp:docPr id="139" name="图片 139"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C:\Users\baoqianyu\Desktop\流程图\即办\涉税专业服务机构.png涉税专业服务机构"/>
                    <pic:cNvPicPr>
                      <a:picLocks noChangeAspect="1"/>
                    </pic:cNvPicPr>
                  </pic:nvPicPr>
                  <pic:blipFill>
                    <a:blip r:embed="rId8"/>
                    <a:srcRect/>
                    <a:stretch>
                      <a:fillRect/>
                    </a:stretch>
                  </pic:blipFill>
                  <pic:spPr>
                    <a:xfrm>
                      <a:off x="0" y="0"/>
                      <a:ext cx="5184140" cy="1769745"/>
                    </a:xfrm>
                    <a:prstGeom prst="rect">
                      <a:avLst/>
                    </a:prstGeom>
                  </pic:spPr>
                </pic:pic>
              </a:graphicData>
            </a:graphic>
          </wp:inline>
        </w:drawing>
      </w:r>
    </w:p>
    <w:p>
      <w:pPr>
        <w:wordWrap w:val="0"/>
        <w:spacing w:line="360" w:lineRule="auto"/>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1.</w:t>
      </w:r>
      <w:r>
        <w:rPr>
          <w:rFonts w:ascii="宋体" w:hAnsi="宋体"/>
          <w:color w:val="000000" w:themeColor="text1"/>
          <w:sz w:val="24"/>
          <w:szCs w:val="28"/>
          <w:highlight w:val="none"/>
          <w14:textFill>
            <w14:solidFill>
              <w14:schemeClr w14:val="tx1"/>
            </w14:solidFill>
          </w14:textFill>
        </w:rPr>
        <w:t>涉税专业服务机构应主动报送相关信息并对信息的真实性、完整性、合法性和准确性负责。</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2.</w:t>
      </w:r>
      <w:r>
        <w:rPr>
          <w:rFonts w:hint="eastAsia" w:ascii="宋体" w:hAnsi="宋体" w:cs="Times New Roman"/>
          <w:color w:val="000000" w:themeColor="text1"/>
          <w:sz w:val="24"/>
          <w:szCs w:val="28"/>
          <w:highlight w:val="none"/>
          <w:lang w:eastAsia="zh-CN"/>
          <w14:textFill>
            <w14:solidFill>
              <w14:schemeClr w14:val="tx1"/>
            </w14:solidFill>
          </w14:textFill>
        </w:rPr>
        <w:t>文书表单可在云南省税务局网站“下载中心”栏目查询下载或到办税服务厅领取</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hint="eastAsia" w:ascii="Times New Roman" w:hAnsi="Times New Roman" w:cs="Times New Roman"/>
          <w:color w:val="000000" w:themeColor="text1"/>
          <w:sz w:val="24"/>
          <w:szCs w:val="28"/>
          <w:highlight w:val="none"/>
          <w14:textFill>
            <w14:solidFill>
              <w14:schemeClr w14:val="tx1"/>
            </w14:solidFill>
          </w14:textFill>
        </w:rPr>
        <w:t>3.</w:t>
      </w:r>
      <w:r>
        <w:rPr>
          <w:rFonts w:ascii="宋体" w:hAnsi="宋体"/>
          <w:color w:val="000000" w:themeColor="text1"/>
          <w:sz w:val="24"/>
          <w:szCs w:val="28"/>
          <w:highlight w:val="none"/>
          <w14:textFill>
            <w14:solidFill>
              <w14:schemeClr w14:val="tx1"/>
            </w14:solidFill>
          </w14:textFill>
        </w:rPr>
        <w:t>涉税专业服务机构通过电子税务局办理的，按照系统反馈信息，自行打印《专项业务报告要素信息采集表》留存。</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lang w:val="en-US" w:eastAsia="zh-CN"/>
          <w14:textFill>
            <w14:solidFill>
              <w14:schemeClr w14:val="tx1"/>
            </w14:solidFill>
          </w14:textFill>
        </w:rPr>
        <w:t>4</w:t>
      </w:r>
      <w:r>
        <w:rPr>
          <w:rFonts w:hint="eastAsia" w:ascii="Times New Roman" w:hAnsi="Times New Roman" w:cs="Times New Roman"/>
          <w:bCs/>
          <w:color w:val="000000" w:themeColor="text1"/>
          <w:sz w:val="24"/>
          <w:szCs w:val="28"/>
          <w:highlight w:val="none"/>
          <w14:textFill>
            <w14:solidFill>
              <w14:schemeClr w14:val="tx1"/>
            </w14:solidFill>
          </w14:textFill>
        </w:rPr>
        <w:t>.</w:t>
      </w:r>
      <w:r>
        <w:rPr>
          <w:rFonts w:ascii="宋体" w:hAnsi="宋体"/>
          <w:bCs/>
          <w:color w:val="000000" w:themeColor="text1"/>
          <w:sz w:val="24"/>
          <w:szCs w:val="28"/>
          <w:highlight w:val="none"/>
          <w14:textFill>
            <w14:solidFill>
              <w14:schemeClr w14:val="tx1"/>
            </w14:solidFill>
          </w14:textFill>
        </w:rPr>
        <w:t>《专项业务报告要素信息采集表》仅采集专项业务报告要素信息，专项业务报告的原件由涉税专业服务机构和委托人双方留存备查，除税收法律、法规及国家税务总局规定报送的外，</w:t>
      </w:r>
      <w:r>
        <w:rPr>
          <w:rFonts w:hint="eastAsia" w:ascii="宋体" w:hAnsi="宋体"/>
          <w:bCs/>
          <w:color w:val="000000" w:themeColor="text1"/>
          <w:sz w:val="24"/>
          <w:szCs w:val="28"/>
          <w:highlight w:val="none"/>
          <w14:textFill>
            <w14:solidFill>
              <w14:schemeClr w14:val="tx1"/>
            </w14:solidFill>
          </w14:textFill>
        </w:rPr>
        <w:t>无需</w:t>
      </w:r>
      <w:r>
        <w:rPr>
          <w:rFonts w:ascii="宋体" w:hAnsi="宋体"/>
          <w:bCs/>
          <w:color w:val="000000" w:themeColor="text1"/>
          <w:sz w:val="24"/>
          <w:szCs w:val="28"/>
          <w:highlight w:val="none"/>
          <w14:textFill>
            <w14:solidFill>
              <w14:schemeClr w14:val="tx1"/>
            </w14:solidFill>
          </w14:textFill>
        </w:rPr>
        <w:t>向税务机关报送。</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lang w:val="en-US" w:eastAsia="zh-CN"/>
          <w14:textFill>
            <w14:solidFill>
              <w14:schemeClr w14:val="tx1"/>
            </w14:solidFill>
          </w14:textFill>
        </w:rPr>
        <w:t>5</w:t>
      </w:r>
      <w:r>
        <w:rPr>
          <w:rFonts w:hint="eastAsia" w:ascii="Times New Roman" w:hAnsi="Times New Roman" w:cs="Times New Roman"/>
          <w:bCs/>
          <w:color w:val="000000" w:themeColor="text1"/>
          <w:sz w:val="24"/>
          <w:szCs w:val="28"/>
          <w:highlight w:val="none"/>
          <w14:textFill>
            <w14:solidFill>
              <w14:schemeClr w14:val="tx1"/>
            </w14:solidFill>
          </w14:textFill>
        </w:rPr>
        <w:t>.</w:t>
      </w:r>
      <w:r>
        <w:rPr>
          <w:rFonts w:ascii="宋体" w:hAnsi="宋体"/>
          <w:bCs/>
          <w:color w:val="000000" w:themeColor="text1"/>
          <w:sz w:val="24"/>
          <w:szCs w:val="28"/>
          <w:highlight w:val="none"/>
          <w14:textFill>
            <w14:solidFill>
              <w14:schemeClr w14:val="tx1"/>
            </w14:solidFill>
          </w14:textFill>
        </w:rPr>
        <w:t>税务师事务所、会计师事务所、律师事务所从事专业税务顾问、税收策划、涉税鉴证、纳税情况审查业务的完成时间，以税务师、注册会计师、律师在相关文书上签字的时间为准。</w:t>
      </w:r>
    </w:p>
    <w:p>
      <w:pPr>
        <w:wordWrap w:val="0"/>
        <w:spacing w:line="360" w:lineRule="auto"/>
        <w:ind w:firstLine="420"/>
        <w:rPr>
          <w:rFonts w:ascii="宋体" w:hAnsi="宋体"/>
          <w:color w:val="000000" w:themeColor="text1"/>
          <w:highlight w:val="none"/>
          <w14:textFill>
            <w14:solidFill>
              <w14:schemeClr w14:val="tx1"/>
            </w14:solidFill>
          </w14:textFill>
        </w:rPr>
      </w:pPr>
    </w:p>
    <w:p>
      <w:pPr>
        <w:wordWrap w:val="0"/>
        <w:spacing w:beforeLines="300" w:afterLines="150" w:line="360" w:lineRule="auto"/>
        <w:ind w:firstLine="643"/>
        <w:outlineLvl w:val="1"/>
        <w:rPr>
          <w:rFonts w:eastAsia="黑体" w:cs="Times New Roman"/>
          <w:b/>
          <w:bCs/>
          <w:color w:val="000000" w:themeColor="text1"/>
          <w:sz w:val="32"/>
          <w:szCs w:val="32"/>
          <w:highlight w:val="none"/>
          <w14:textFill>
            <w14:solidFill>
              <w14:schemeClr w14:val="tx1"/>
            </w14:solidFill>
          </w14:textFill>
        </w:rPr>
      </w:pPr>
      <w:bookmarkStart w:id="14" w:name="_Toc3829"/>
      <w:r>
        <w:rPr>
          <w:rFonts w:hint="eastAsia" w:ascii="Times New Roman" w:hAnsi="Times New Roman" w:eastAsia="黑体" w:cs="Times New Roman"/>
          <w:b/>
          <w:bCs/>
          <w:color w:val="000000" w:themeColor="text1"/>
          <w:sz w:val="32"/>
          <w:szCs w:val="32"/>
          <w:highlight w:val="none"/>
          <w14:textFill>
            <w14:solidFill>
              <w14:schemeClr w14:val="tx1"/>
            </w14:solidFill>
          </w14:textFill>
        </w:rPr>
        <w:t>14.3</w:t>
      </w:r>
      <w:r>
        <w:rPr>
          <w:rFonts w:eastAsia="黑体" w:cs="Times New Roman"/>
          <w:b/>
          <w:bCs/>
          <w:color w:val="000000" w:themeColor="text1"/>
          <w:sz w:val="32"/>
          <w:szCs w:val="32"/>
          <w:highlight w:val="none"/>
          <w14:textFill>
            <w14:solidFill>
              <w14:schemeClr w14:val="tx1"/>
            </w14:solidFill>
          </w14:textFill>
        </w:rPr>
        <w:t>　涉税专业服务信用评价</w:t>
      </w:r>
      <w:bookmarkEnd w:id="14"/>
    </w:p>
    <w:p>
      <w:pPr>
        <w:wordWrap w:val="0"/>
        <w:spacing w:beforeLines="100" w:afterLines="100" w:line="360" w:lineRule="auto"/>
        <w:ind w:firstLine="562" w:firstLineChars="200"/>
        <w:outlineLvl w:val="2"/>
        <w:rPr>
          <w:rFonts w:eastAsia="黑体" w:cs="Times New Roman"/>
          <w:b/>
          <w:bCs/>
          <w:color w:val="000000" w:themeColor="text1"/>
          <w:kern w:val="24"/>
          <w:sz w:val="28"/>
          <w:szCs w:val="28"/>
          <w:highlight w:val="none"/>
          <w14:textFill>
            <w14:solidFill>
              <w14:schemeClr w14:val="tx1"/>
            </w14:solidFill>
          </w14:textFill>
        </w:rPr>
      </w:pPr>
      <w:bookmarkStart w:id="15" w:name="_Toc12355"/>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14.3.1</w:t>
      </w:r>
      <w:r>
        <w:rPr>
          <w:rFonts w:eastAsia="黑体" w:cs="Times New Roman"/>
          <w:b/>
          <w:bCs/>
          <w:color w:val="000000" w:themeColor="text1"/>
          <w:kern w:val="24"/>
          <w:sz w:val="28"/>
          <w:szCs w:val="28"/>
          <w:highlight w:val="none"/>
          <w14:textFill>
            <w14:solidFill>
              <w14:schemeClr w14:val="tx1"/>
            </w14:solidFill>
          </w14:textFill>
        </w:rPr>
        <w:t>—</w:t>
      </w:r>
      <w:r>
        <w:rPr>
          <w:rFonts w:hint="eastAsia" w:eastAsia="黑体" w:cs="Times New Roman"/>
          <w:b/>
          <w:bCs/>
          <w:color w:val="000000" w:themeColor="text1"/>
          <w:kern w:val="24"/>
          <w:sz w:val="28"/>
          <w:szCs w:val="28"/>
          <w:highlight w:val="none"/>
          <w:lang w:val="en-US" w:eastAsia="zh-CN"/>
          <w14:textFill>
            <w14:solidFill>
              <w14:schemeClr w14:val="tx1"/>
            </w14:solidFill>
          </w14:textFill>
        </w:rPr>
        <w:t>200</w:t>
      </w:r>
      <w:r>
        <w:rPr>
          <w:rFonts w:eastAsia="黑体" w:cs="Times New Roman"/>
          <w:b/>
          <w:bCs/>
          <w:color w:val="000000" w:themeColor="text1"/>
          <w:kern w:val="24"/>
          <w:sz w:val="28"/>
          <w:szCs w:val="28"/>
          <w:highlight w:val="none"/>
          <w14:textFill>
            <w14:solidFill>
              <w14:schemeClr w14:val="tx1"/>
            </w14:solidFill>
          </w14:textFill>
        </w:rPr>
        <w:t>　涉税专业服务机构（人员）信用信息查询</w:t>
      </w:r>
      <w:bookmarkEnd w:id="15"/>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涉税专业服务机构（人员）信用信息查询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纳税人可以查询涉税专业服务机构的涉税专业服务信用等级和从事涉税服务人员的信用积分；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涉税专业服务机构可以查询本机构的涉税专业服务信用等级及积分明细和所属从事涉税服务人员的信用积分；</w:t>
      </w:r>
    </w:p>
    <w:p>
      <w:pPr>
        <w:wordWrap w:val="0"/>
        <w:spacing w:line="360" w:lineRule="auto"/>
        <w:ind w:firstLine="480"/>
        <w:rPr>
          <w:rFonts w:ascii="宋体" w:hAnsi="宋体"/>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从事涉税服务人员可以查询本人的信用积分明细。</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号）第十一条、第十三条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《国家税务总局关于发布&lt;涉税专业服务信用评价管理办法（试行）&gt;的公告》（国家税务总局公告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48</w:t>
      </w:r>
      <w:r>
        <w:rPr>
          <w:rFonts w:ascii="宋体" w:hAnsi="宋体"/>
          <w:bCs/>
          <w:color w:val="000000" w:themeColor="text1"/>
          <w:sz w:val="24"/>
          <w:szCs w:val="28"/>
          <w:highlight w:val="none"/>
          <w14:textFill>
            <w14:solidFill>
              <w14:schemeClr w14:val="tx1"/>
            </w14:solidFill>
          </w14:textFill>
        </w:rPr>
        <w:t>号）第十三条、第十四条</w:t>
      </w:r>
    </w:p>
    <w:p>
      <w:pPr>
        <w:widowControl/>
        <w:adjustRightInd/>
        <w:snapToGrid/>
        <w:spacing w:line="360" w:lineRule="auto"/>
        <w:ind w:firstLine="480" w:firstLineChars="200"/>
        <w:jc w:val="both"/>
        <w:rPr>
          <w:rFonts w:ascii="黑体" w:hAnsi="黑体" w:eastAsia="黑体" w:cs="Times New Roman"/>
          <w:bCs/>
          <w:color w:val="auto"/>
          <w:kern w:val="2"/>
          <w:sz w:val="24"/>
          <w:szCs w:val="24"/>
          <w:highlight w:val="none"/>
          <w:lang w:val="en-US" w:eastAsia="zh-CN" w:bidi="ar-SA"/>
        </w:rPr>
      </w:pPr>
      <w:r>
        <w:rPr>
          <w:rFonts w:hint="eastAsia" w:ascii="黑体" w:hAnsi="黑体" w:eastAsia="黑体" w:cs="Times New Roman"/>
          <w:bCs/>
          <w:color w:val="auto"/>
          <w:kern w:val="2"/>
          <w:sz w:val="24"/>
          <w:szCs w:val="24"/>
          <w:highlight w:val="none"/>
          <w:lang w:val="en-US" w:eastAsia="zh-CN" w:bidi="ar-SA"/>
        </w:rPr>
        <w:t>【办理材料】</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hint="default" w:ascii="宋体" w:hAnsi="宋体" w:eastAsia="宋体" w:cs="黑体"/>
          <w:bCs/>
          <w:color w:val="000000" w:themeColor="text1"/>
          <w:sz w:val="24"/>
          <w:szCs w:val="28"/>
          <w:highlight w:val="none"/>
          <w14:textFill>
            <w14:solidFill>
              <w14:schemeClr w14:val="tx1"/>
            </w14:solidFill>
          </w14:textFill>
        </w:rPr>
        <w:t>涉税专业服务机构（人员）信用信息查询无需提供材料。</w:t>
      </w:r>
    </w:p>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门户网站、电子税务局</w:t>
      </w:r>
      <w:r>
        <w:rPr>
          <w:rFonts w:hint="eastAsia" w:ascii="宋体" w:hAnsi="宋体" w:eastAsia="宋体" w:cstheme="minorBidi"/>
          <w:bCs w:val="0"/>
          <w:highlight w:val="none"/>
          <w:lang w:eastAsia="zh-CN"/>
        </w:rPr>
        <w:t>（http://etax.yunnan.chinatax.gov.cn）</w:t>
      </w:r>
      <w:r>
        <w:rPr>
          <w:rFonts w:ascii="宋体" w:hAnsi="宋体" w:cs="Times New Roman"/>
          <w:color w:val="000000" w:themeColor="text1"/>
          <w:sz w:val="24"/>
          <w:szCs w:val="28"/>
          <w:highlight w:val="none"/>
          <w14:textFill>
            <w14:solidFill>
              <w14:schemeClr w14:val="tx1"/>
            </w14:solidFill>
          </w14:textFill>
        </w:rPr>
        <w:t>。</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省税务机关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即时办结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省税务机关对外公布的联系电话</w:t>
      </w:r>
    </w:p>
    <w:p>
      <w:pPr>
        <w:wordWrap w:val="0"/>
        <w:spacing w:line="360" w:lineRule="auto"/>
        <w:ind w:firstLine="480"/>
        <w:rPr>
          <w:rFonts w:ascii="黑体" w:hAnsi="黑体" w:eastAsia="黑体"/>
          <w:color w:val="000000" w:themeColor="text1"/>
          <w:sz w:val="24"/>
          <w:szCs w:val="28"/>
          <w:highlight w:val="none"/>
          <w14:textFill>
            <w14:solidFill>
              <w14:schemeClr w14:val="tx1"/>
            </w14:solidFill>
          </w14:textFill>
        </w:rPr>
      </w:pPr>
      <w:r>
        <w:rPr>
          <w:rFonts w:ascii="黑体" w:hAnsi="黑体" w:eastAsia="黑体"/>
          <w:color w:val="000000" w:themeColor="text1"/>
          <w:sz w:val="24"/>
          <w:szCs w:val="28"/>
          <w:highlight w:val="none"/>
          <w14:textFill>
            <w14:solidFill>
              <w14:schemeClr w14:val="tx1"/>
            </w14:solidFill>
          </w14:textFill>
        </w:rPr>
        <w:t>【办理流程】</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无</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涉税专业服务机构仅能查询本机构的涉税专业服务信用等级及积分明细和所属从事涉税服务人员的信用积分。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从事涉税服务人员仅能查询本人的信用积分明细。</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p>
    <w:p>
      <w:pPr>
        <w:wordWrap w:val="0"/>
        <w:spacing w:beforeLines="100" w:afterLines="100" w:line="360" w:lineRule="auto"/>
        <w:outlineLvl w:val="2"/>
        <w:rPr>
          <w:rFonts w:eastAsia="黑体" w:cs="Times New Roman"/>
          <w:b/>
          <w:bCs/>
          <w:color w:val="000000" w:themeColor="text1"/>
          <w:kern w:val="24"/>
          <w:sz w:val="28"/>
          <w:szCs w:val="28"/>
          <w:highlight w:val="none"/>
          <w14:textFill>
            <w14:solidFill>
              <w14:schemeClr w14:val="tx1"/>
            </w14:solidFill>
          </w14:textFill>
        </w:rPr>
      </w:pPr>
      <w:bookmarkStart w:id="16" w:name="_Toc26373"/>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14.3.2</w:t>
      </w:r>
      <w:r>
        <w:rPr>
          <w:rFonts w:eastAsia="黑体" w:cs="Times New Roman"/>
          <w:b/>
          <w:bCs/>
          <w:color w:val="000000" w:themeColor="text1"/>
          <w:kern w:val="24"/>
          <w:sz w:val="28"/>
          <w:szCs w:val="28"/>
          <w:highlight w:val="none"/>
          <w14:textFill>
            <w14:solidFill>
              <w14:schemeClr w14:val="tx1"/>
            </w14:solidFill>
          </w14:textFill>
        </w:rPr>
        <w:t>—</w:t>
      </w:r>
      <w:r>
        <w:rPr>
          <w:rFonts w:hint="eastAsia" w:ascii="Times New Roman" w:hAnsi="Times New Roman" w:eastAsia="黑体" w:cs="Times New Roman"/>
          <w:b/>
          <w:bCs/>
          <w:color w:val="000000" w:themeColor="text1"/>
          <w:kern w:val="24"/>
          <w:sz w:val="28"/>
          <w:szCs w:val="28"/>
          <w:highlight w:val="none"/>
          <w14:textFill>
            <w14:solidFill>
              <w14:schemeClr w14:val="tx1"/>
            </w14:solidFill>
          </w14:textFill>
        </w:rPr>
        <w:t>20</w:t>
      </w:r>
      <w:r>
        <w:rPr>
          <w:rFonts w:hint="eastAsia" w:ascii="Times New Roman" w:hAnsi="Times New Roman" w:eastAsia="黑体" w:cs="Times New Roman"/>
          <w:b/>
          <w:bCs/>
          <w:color w:val="000000" w:themeColor="text1"/>
          <w:kern w:val="24"/>
          <w:sz w:val="28"/>
          <w:szCs w:val="28"/>
          <w:highlight w:val="none"/>
          <w:lang w:val="en-US" w:eastAsia="zh-CN"/>
          <w14:textFill>
            <w14:solidFill>
              <w14:schemeClr w14:val="tx1"/>
            </w14:solidFill>
          </w14:textFill>
        </w:rPr>
        <w:t>1</w:t>
      </w:r>
      <w:bookmarkStart w:id="17" w:name="_GoBack"/>
      <w:bookmarkEnd w:id="17"/>
      <w:r>
        <w:rPr>
          <w:rFonts w:eastAsia="黑体" w:cs="Times New Roman"/>
          <w:b/>
          <w:bCs/>
          <w:color w:val="000000" w:themeColor="text1"/>
          <w:kern w:val="24"/>
          <w:sz w:val="28"/>
          <w:szCs w:val="28"/>
          <w:highlight w:val="none"/>
          <w14:textFill>
            <w14:solidFill>
              <w14:schemeClr w14:val="tx1"/>
            </w14:solidFill>
          </w14:textFill>
        </w:rPr>
        <w:t>　涉税专业服务机构（人员）信用复核</w:t>
      </w:r>
      <w:bookmarkEnd w:id="16"/>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【事项名称】</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ascii="宋体" w:hAnsi="宋体"/>
          <w:bCs/>
          <w:color w:val="000000" w:themeColor="text1"/>
          <w:sz w:val="24"/>
          <w:szCs w:val="28"/>
          <w:highlight w:val="none"/>
          <w14:textFill>
            <w14:solidFill>
              <w14:schemeClr w14:val="tx1"/>
            </w14:solidFill>
          </w14:textFill>
        </w:rPr>
        <w:t>涉税专业服务机构（人员）信用复核</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w:t>
      </w:r>
      <w:r>
        <w:rPr>
          <w:rFonts w:hint="eastAsia" w:ascii="黑体" w:hAnsi="黑体" w:eastAsia="黑体" w:cs="Times New Roman"/>
          <w:bCs/>
          <w:color w:val="000000" w:themeColor="text1"/>
          <w:sz w:val="24"/>
          <w:szCs w:val="28"/>
          <w:highlight w:val="none"/>
          <w14:textFill>
            <w14:solidFill>
              <w14:schemeClr w14:val="tx1"/>
            </w14:solidFill>
          </w14:textFill>
        </w:rPr>
        <w:t>申请条件</w:t>
      </w:r>
      <w:r>
        <w:rPr>
          <w:rFonts w:ascii="黑体" w:hAnsi="黑体" w:eastAsia="黑体" w:cs="Times New Roman"/>
          <w:bCs/>
          <w:color w:val="000000" w:themeColor="text1"/>
          <w:sz w:val="24"/>
          <w:szCs w:val="28"/>
          <w:highlight w:val="none"/>
          <w14:textFill>
            <w14:solidFill>
              <w14:schemeClr w14:val="tx1"/>
            </w14:solidFill>
          </w14:textFill>
        </w:rPr>
        <w:t>】</w:t>
      </w:r>
    </w:p>
    <w:p>
      <w:pPr>
        <w:wordWrap w:val="0"/>
        <w:spacing w:line="360" w:lineRule="auto"/>
        <w:ind w:firstLine="480"/>
        <w:rPr>
          <w:rFonts w:hint="eastAsia" w:ascii="宋体" w:hAnsi="宋体"/>
          <w:bCs/>
          <w:color w:val="000000" w:themeColor="text1"/>
          <w:sz w:val="24"/>
          <w:szCs w:val="28"/>
          <w:highlight w:val="none"/>
          <w14:textFill>
            <w14:solidFill>
              <w14:schemeClr w14:val="tx1"/>
            </w14:solidFill>
          </w14:textFill>
        </w:rPr>
      </w:pPr>
      <w:r>
        <w:rPr>
          <w:rFonts w:hint="eastAsia" w:ascii="宋体" w:hAnsi="宋体"/>
          <w:bCs/>
          <w:color w:val="000000" w:themeColor="text1"/>
          <w:sz w:val="24"/>
          <w:szCs w:val="28"/>
          <w:highlight w:val="none"/>
          <w14:textFill>
            <w14:solidFill>
              <w14:schemeClr w14:val="tx1"/>
            </w14:solidFill>
          </w14:textFill>
        </w:rPr>
        <w:t>涉税专业服务机构和从事涉税服务人员对信用积分、信用等级和执业负面记录有异议的，可以书面向主管税务机关或通过电子税务局提供相关资料或者证明材料，申请复核。</w:t>
      </w:r>
    </w:p>
    <w:p>
      <w:pPr>
        <w:wordWrap w:val="0"/>
        <w:spacing w:line="360" w:lineRule="auto"/>
        <w:ind w:firstLine="480"/>
        <w:rPr>
          <w:rFonts w:ascii="宋体" w:hAnsi="宋体"/>
          <w:b/>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【设定依据】</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1.</w:t>
      </w:r>
      <w:r>
        <w:rPr>
          <w:rFonts w:ascii="宋体" w:hAnsi="宋体"/>
          <w:bCs/>
          <w:color w:val="000000" w:themeColor="text1"/>
          <w:sz w:val="24"/>
          <w:szCs w:val="28"/>
          <w:highlight w:val="none"/>
          <w14:textFill>
            <w14:solidFill>
              <w14:schemeClr w14:val="tx1"/>
            </w14:solidFill>
          </w14:textFill>
        </w:rPr>
        <w:t>《国家税务总局关于发布&lt;涉税专业服务监管办法（试行）&gt;的公告》（国家税务总局公告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13</w:t>
      </w:r>
      <w:r>
        <w:rPr>
          <w:rFonts w:ascii="宋体" w:hAnsi="宋体"/>
          <w:bCs/>
          <w:color w:val="000000" w:themeColor="text1"/>
          <w:sz w:val="24"/>
          <w:szCs w:val="28"/>
          <w:highlight w:val="none"/>
          <w14:textFill>
            <w14:solidFill>
              <w14:schemeClr w14:val="tx1"/>
            </w14:solidFill>
          </w14:textFill>
        </w:rPr>
        <w:t>号）第十一条</w:t>
      </w:r>
    </w:p>
    <w:p>
      <w:pPr>
        <w:wordWrap w:val="0"/>
        <w:spacing w:line="360" w:lineRule="auto"/>
        <w:ind w:firstLine="480"/>
        <w:rPr>
          <w:rFonts w:ascii="宋体" w:hAnsi="宋体"/>
          <w:bCs/>
          <w:color w:val="000000" w:themeColor="text1"/>
          <w:sz w:val="24"/>
          <w:szCs w:val="28"/>
          <w:highlight w:val="none"/>
          <w14:textFill>
            <w14:solidFill>
              <w14:schemeClr w14:val="tx1"/>
            </w14:solidFill>
          </w14:textFill>
        </w:rPr>
      </w:pPr>
      <w:r>
        <w:rPr>
          <w:rFonts w:hint="eastAsia" w:ascii="Times New Roman" w:hAnsi="Times New Roman" w:cs="Times New Roman"/>
          <w:bCs/>
          <w:color w:val="000000" w:themeColor="text1"/>
          <w:sz w:val="24"/>
          <w:szCs w:val="28"/>
          <w:highlight w:val="none"/>
          <w14:textFill>
            <w14:solidFill>
              <w14:schemeClr w14:val="tx1"/>
            </w14:solidFill>
          </w14:textFill>
        </w:rPr>
        <w:t>2.</w:t>
      </w:r>
      <w:r>
        <w:rPr>
          <w:rFonts w:ascii="宋体" w:hAnsi="宋体"/>
          <w:bCs/>
          <w:color w:val="000000" w:themeColor="text1"/>
          <w:sz w:val="24"/>
          <w:szCs w:val="28"/>
          <w:highlight w:val="none"/>
          <w14:textFill>
            <w14:solidFill>
              <w14:schemeClr w14:val="tx1"/>
            </w14:solidFill>
          </w14:textFill>
        </w:rPr>
        <w:t>《国家税务总局关于发布&lt;涉税专业服务信用评价管理办法（试行）&gt;的公告》（国家税务总局公告</w:t>
      </w:r>
      <w:r>
        <w:rPr>
          <w:rFonts w:hint="eastAsia" w:ascii="Times New Roman" w:hAnsi="Times New Roman" w:cs="Times New Roman"/>
          <w:bCs/>
          <w:color w:val="000000" w:themeColor="text1"/>
          <w:sz w:val="24"/>
          <w:szCs w:val="28"/>
          <w:highlight w:val="none"/>
          <w14:textFill>
            <w14:solidFill>
              <w14:schemeClr w14:val="tx1"/>
            </w14:solidFill>
          </w14:textFill>
        </w:rPr>
        <w:t>2017</w:t>
      </w:r>
      <w:r>
        <w:rPr>
          <w:rFonts w:ascii="宋体" w:hAnsi="宋体"/>
          <w:bCs/>
          <w:color w:val="000000" w:themeColor="text1"/>
          <w:sz w:val="24"/>
          <w:szCs w:val="28"/>
          <w:highlight w:val="none"/>
          <w14:textFill>
            <w14:solidFill>
              <w14:schemeClr w14:val="tx1"/>
            </w14:solidFill>
          </w14:textFill>
        </w:rPr>
        <w:t>年第</w:t>
      </w:r>
      <w:r>
        <w:rPr>
          <w:rFonts w:hint="eastAsia" w:ascii="Times New Roman" w:hAnsi="Times New Roman" w:cs="Times New Roman"/>
          <w:bCs/>
          <w:color w:val="000000" w:themeColor="text1"/>
          <w:sz w:val="24"/>
          <w:szCs w:val="28"/>
          <w:highlight w:val="none"/>
          <w14:textFill>
            <w14:solidFill>
              <w14:schemeClr w14:val="tx1"/>
            </w14:solidFill>
          </w14:textFill>
        </w:rPr>
        <w:t>48</w:t>
      </w:r>
      <w:r>
        <w:rPr>
          <w:rFonts w:ascii="宋体" w:hAnsi="宋体"/>
          <w:bCs/>
          <w:color w:val="000000" w:themeColor="text1"/>
          <w:sz w:val="24"/>
          <w:szCs w:val="28"/>
          <w:highlight w:val="none"/>
          <w14:textFill>
            <w14:solidFill>
              <w14:schemeClr w14:val="tx1"/>
            </w14:solidFill>
          </w14:textFill>
        </w:rPr>
        <w:t>号）第十五条</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【办理材料】</w:t>
      </w:r>
    </w:p>
    <w:tbl>
      <w:tblPr>
        <w:tblStyle w:val="11"/>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000000" w:themeColor="text1"/>
                <w:sz w:val="18"/>
                <w:szCs w:val="18"/>
                <w:highlight w:val="none"/>
                <w14:textFill>
                  <w14:solidFill>
                    <w14:schemeClr w14:val="tx1"/>
                  </w14:solidFill>
                </w14:textFill>
              </w:rPr>
            </w:pPr>
            <w:r>
              <w:rPr>
                <w:rFonts w:ascii="黑体" w:hAnsi="黑体" w:eastAsia="黑体" w:cs="Microsoft Himalaya"/>
                <w:color w:val="000000" w:themeColor="text1"/>
                <w:sz w:val="18"/>
                <w:szCs w:val="18"/>
                <w:highlight w:val="none"/>
                <w14:textFill>
                  <w14:solidFill>
                    <w14:schemeClr w14:val="tx1"/>
                  </w14:solidFill>
                </w14:textFill>
              </w:rPr>
              <w:t>相关资料或者证明材料</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000000" w:themeColor="text1"/>
                <w:sz w:val="18"/>
                <w:szCs w:val="18"/>
                <w:highlight w:val="none"/>
                <w14:textFill>
                  <w14:solidFill>
                    <w14:schemeClr w14:val="tx1"/>
                  </w14:solidFill>
                </w14:textFill>
              </w:rPr>
            </w:pPr>
            <w:r>
              <w:rPr>
                <w:rFonts w:hint="eastAsia" w:ascii="Times New Roman" w:hAnsi="Times New Roman" w:eastAsia="黑体" w:cs="Times New Roman"/>
                <w:color w:val="000000" w:themeColor="text1"/>
                <w:sz w:val="18"/>
                <w:szCs w:val="18"/>
                <w:highlight w:val="none"/>
                <w14:textFill>
                  <w14:solidFill>
                    <w14:schemeClr w14:val="tx1"/>
                  </w14:solidFill>
                </w14:textFill>
              </w:rPr>
              <w:t>1</w:t>
            </w:r>
            <w:r>
              <w:rPr>
                <w:rFonts w:ascii="黑体" w:hAnsi="黑体" w:eastAsia="黑体" w:cs="Microsoft Himalaya"/>
                <w:color w:val="000000" w:themeColor="text1"/>
                <w:sz w:val="18"/>
                <w:szCs w:val="18"/>
                <w:highlight w:val="none"/>
                <w14:textFill>
                  <w14:solidFill>
                    <w14:schemeClr w14:val="tx1"/>
                  </w14:solidFill>
                </w14:textFill>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rPr>
                <w:rFonts w:ascii="黑体" w:hAnsi="黑体" w:eastAsia="黑体" w:cs="Microsoft Himalaya"/>
                <w:color w:val="000000" w:themeColor="text1"/>
                <w:sz w:val="18"/>
                <w:szCs w:val="18"/>
                <w:highlight w:val="none"/>
                <w14:textFill>
                  <w14:solidFill>
                    <w14:schemeClr w14:val="tx1"/>
                  </w14:solidFill>
                </w14:textFill>
              </w:rPr>
            </w:pPr>
          </w:p>
        </w:tc>
      </w:tr>
    </w:tbl>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【办理地点】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可通过办税服务厅（场所）</w:t>
      </w:r>
      <w:r>
        <w:rPr>
          <w:rFonts w:hint="eastAsia" w:ascii="宋体" w:hAnsi="宋体" w:cs="Times New Roman"/>
          <w:color w:val="000000" w:themeColor="text1"/>
          <w:sz w:val="24"/>
          <w:szCs w:val="28"/>
          <w:highlight w:val="none"/>
          <w:lang w:eastAsia="zh-CN"/>
          <w14:textFill>
            <w14:solidFill>
              <w14:schemeClr w14:val="tx1"/>
            </w14:solidFill>
          </w14:textFill>
        </w:rPr>
        <w:t>、电子税务局</w:t>
      </w:r>
      <w:r>
        <w:rPr>
          <w:rFonts w:ascii="宋体" w:hAnsi="宋体" w:cs="Times New Roman"/>
          <w:color w:val="000000" w:themeColor="text1"/>
          <w:sz w:val="24"/>
          <w:szCs w:val="28"/>
          <w:highlight w:val="none"/>
          <w14:textFill>
            <w14:solidFill>
              <w14:schemeClr w14:val="tx1"/>
            </w14:solidFill>
          </w14:textFill>
        </w:rPr>
        <w:t>办理，具体地点可从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【办理机构】</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【收费标准】</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不收费</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【办理时间】</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税务机关应自受理之日起</w:t>
      </w:r>
      <w:r>
        <w:rPr>
          <w:rFonts w:hint="eastAsia" w:ascii="Times New Roman" w:hAnsi="Times New Roman" w:cs="Times New Roman"/>
          <w:color w:val="000000" w:themeColor="text1"/>
          <w:sz w:val="24"/>
          <w:szCs w:val="28"/>
          <w:highlight w:val="none"/>
          <w14:textFill>
            <w14:solidFill>
              <w14:schemeClr w14:val="tx1"/>
            </w14:solidFill>
          </w14:textFill>
        </w:rPr>
        <w:t>30</w:t>
      </w:r>
      <w:r>
        <w:rPr>
          <w:rFonts w:ascii="宋体" w:hAnsi="宋体" w:cs="Times New Roman"/>
          <w:color w:val="000000" w:themeColor="text1"/>
          <w:sz w:val="24"/>
          <w:szCs w:val="28"/>
          <w:highlight w:val="none"/>
          <w14:textFill>
            <w14:solidFill>
              <w14:schemeClr w14:val="tx1"/>
            </w14:solidFill>
          </w14:textFill>
        </w:rPr>
        <w:t>个工作日内办结</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【联系电话】</w:t>
      </w:r>
    </w:p>
    <w:p>
      <w:pPr>
        <w:wordWrap w:val="0"/>
        <w:spacing w:line="360" w:lineRule="auto"/>
        <w:ind w:firstLine="480"/>
        <w:rPr>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主管税务机关对外公开的联系电话，可从</w:t>
      </w:r>
      <w:r>
        <w:rPr>
          <w:rFonts w:hint="eastAsia" w:ascii="宋体" w:hAnsi="宋体" w:cs="Times New Roman"/>
          <w:color w:val="000000" w:themeColor="text1"/>
          <w:sz w:val="24"/>
          <w:szCs w:val="28"/>
          <w:highlight w:val="none"/>
          <w:lang w:eastAsia="zh-CN"/>
          <w14:textFill>
            <w14:solidFill>
              <w14:schemeClr w14:val="tx1"/>
            </w14:solidFill>
          </w14:textFill>
        </w:rPr>
        <w:t>云南省</w:t>
      </w:r>
      <w:r>
        <w:rPr>
          <w:rFonts w:ascii="宋体" w:hAnsi="宋体" w:cs="Times New Roman"/>
          <w:color w:val="000000" w:themeColor="text1"/>
          <w:sz w:val="24"/>
          <w:szCs w:val="28"/>
          <w:highlight w:val="none"/>
          <w14:textFill>
            <w14:solidFill>
              <w14:schemeClr w14:val="tx1"/>
            </w14:solidFill>
          </w14:textFill>
        </w:rPr>
        <w:t>税务局网站“纳税服务”栏目查询。</w:t>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【办理流程】</w:t>
      </w:r>
    </w:p>
    <w:p>
      <w:pPr>
        <w:wordWrap w:val="0"/>
        <w:spacing w:line="360" w:lineRule="auto"/>
        <w:rPr>
          <w:rFonts w:ascii="黑体" w:hAnsi="黑体" w:eastAsia="黑体" w:cs="Times New Roman"/>
          <w:bCs/>
          <w:color w:val="000000" w:themeColor="text1"/>
          <w:highlight w:val="none"/>
          <w14:textFill>
            <w14:solidFill>
              <w14:schemeClr w14:val="tx1"/>
            </w14:solidFill>
          </w14:textFill>
        </w:rPr>
      </w:pPr>
      <w:r>
        <w:rPr>
          <w:rFonts w:ascii="黑体" w:hAnsi="黑体" w:eastAsia="黑体" w:cs="Times New Roman"/>
          <w:bCs/>
          <w:color w:val="000000" w:themeColor="text1"/>
          <w:highlight w:val="none"/>
          <w14:textFill>
            <w14:solidFill>
              <w14:schemeClr w14:val="tx1"/>
            </w14:solidFill>
          </w14:textFill>
        </w:rPr>
        <w:drawing>
          <wp:inline distT="0" distB="0" distL="114300" distR="114300">
            <wp:extent cx="5184140" cy="1743075"/>
            <wp:effectExtent l="0" t="0" r="12700" b="9525"/>
            <wp:docPr id="140" name="图片 140" descr="C:\Users\baoqianyu\Desktop\流程图\流转\涉税专业服务机构（人员）.png涉税专业服务机构（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C:\Users\baoqianyu\Desktop\流程图\流转\涉税专业服务机构（人员）.png涉税专业服务机构（人员）"/>
                    <pic:cNvPicPr>
                      <a:picLocks noChangeAspect="1"/>
                    </pic:cNvPicPr>
                  </pic:nvPicPr>
                  <pic:blipFill>
                    <a:blip r:embed="rId9"/>
                    <a:srcRect/>
                    <a:stretch>
                      <a:fillRect/>
                    </a:stretch>
                  </pic:blipFill>
                  <pic:spPr>
                    <a:xfrm>
                      <a:off x="0" y="0"/>
                      <a:ext cx="5184140" cy="1743075"/>
                    </a:xfrm>
                    <a:prstGeom prst="rect">
                      <a:avLst/>
                    </a:prstGeom>
                  </pic:spPr>
                </pic:pic>
              </a:graphicData>
            </a:graphic>
          </wp:inline>
        </w:drawing>
      </w:r>
    </w:p>
    <w:p>
      <w:pPr>
        <w:wordWrap w:val="0"/>
        <w:spacing w:line="360" w:lineRule="auto"/>
        <w:ind w:firstLine="480"/>
        <w:rPr>
          <w:rFonts w:ascii="黑体" w:hAnsi="黑体" w:eastAsia="黑体" w:cs="Times New Roman"/>
          <w:bCs/>
          <w:color w:val="000000" w:themeColor="text1"/>
          <w:sz w:val="24"/>
          <w:szCs w:val="28"/>
          <w:highlight w:val="none"/>
          <w14:textFill>
            <w14:solidFill>
              <w14:schemeClr w14:val="tx1"/>
            </w14:solidFill>
          </w14:textFill>
        </w:rPr>
      </w:pPr>
      <w:r>
        <w:rPr>
          <w:rFonts w:ascii="黑体" w:hAnsi="黑体" w:eastAsia="黑体" w:cs="Times New Roman"/>
          <w:bCs/>
          <w:color w:val="000000" w:themeColor="text1"/>
          <w:sz w:val="24"/>
          <w:szCs w:val="28"/>
          <w:highlight w:val="none"/>
          <w14:textFill>
            <w14:solidFill>
              <w14:schemeClr w14:val="tx1"/>
            </w14:solidFill>
          </w14:textFill>
        </w:rPr>
        <w:t>【注意事项】</w:t>
      </w:r>
    </w:p>
    <w:p>
      <w:pPr>
        <w:wordWrap w:val="0"/>
        <w:spacing w:line="360" w:lineRule="auto"/>
        <w:ind w:firstLine="480"/>
        <w:rPr>
          <w:rFonts w:ascii="宋体" w:hAnsi="宋体" w:cs="Times New Roman"/>
          <w:color w:val="000000" w:themeColor="text1"/>
          <w:sz w:val="24"/>
          <w:szCs w:val="28"/>
          <w:highlight w:val="none"/>
          <w14:textFill>
            <w14:solidFill>
              <w14:schemeClr w14:val="tx1"/>
            </w14:solidFill>
          </w14:textFill>
        </w:rPr>
      </w:pPr>
      <w:r>
        <w:rPr>
          <w:rFonts w:ascii="宋体" w:hAnsi="宋体" w:cs="Times New Roman"/>
          <w:color w:val="000000" w:themeColor="text1"/>
          <w:sz w:val="24"/>
          <w:szCs w:val="28"/>
          <w:highlight w:val="none"/>
          <w14:textFill>
            <w14:solidFill>
              <w14:schemeClr w14:val="tx1"/>
            </w14:solidFill>
          </w14:textFill>
        </w:rPr>
        <w:t>申请人对相关资料或证明材料的真实性和合法性承担责任。</w:t>
      </w:r>
    </w:p>
    <w:p>
      <w:pPr>
        <w:spacing w:line="360" w:lineRule="auto"/>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E2"/>
    <w:rsid w:val="000C7555"/>
    <w:rsid w:val="000D4FB5"/>
    <w:rsid w:val="001150E4"/>
    <w:rsid w:val="00117F92"/>
    <w:rsid w:val="00130946"/>
    <w:rsid w:val="001320CE"/>
    <w:rsid w:val="001416C1"/>
    <w:rsid w:val="00147FD6"/>
    <w:rsid w:val="00172A27"/>
    <w:rsid w:val="001C27F2"/>
    <w:rsid w:val="00236A32"/>
    <w:rsid w:val="00241AD3"/>
    <w:rsid w:val="00255A06"/>
    <w:rsid w:val="002934A5"/>
    <w:rsid w:val="00295E8C"/>
    <w:rsid w:val="00297018"/>
    <w:rsid w:val="002A4290"/>
    <w:rsid w:val="002D139A"/>
    <w:rsid w:val="002E2735"/>
    <w:rsid w:val="00306C23"/>
    <w:rsid w:val="0036215E"/>
    <w:rsid w:val="00362184"/>
    <w:rsid w:val="003778D6"/>
    <w:rsid w:val="003A68D8"/>
    <w:rsid w:val="003E21D8"/>
    <w:rsid w:val="003F472C"/>
    <w:rsid w:val="004279E6"/>
    <w:rsid w:val="00471769"/>
    <w:rsid w:val="004826AB"/>
    <w:rsid w:val="004A7259"/>
    <w:rsid w:val="004B48BA"/>
    <w:rsid w:val="004F2C51"/>
    <w:rsid w:val="00521FAA"/>
    <w:rsid w:val="00545341"/>
    <w:rsid w:val="00545669"/>
    <w:rsid w:val="00553F0A"/>
    <w:rsid w:val="005C356E"/>
    <w:rsid w:val="005C56A0"/>
    <w:rsid w:val="005C6B3B"/>
    <w:rsid w:val="00604971"/>
    <w:rsid w:val="00615515"/>
    <w:rsid w:val="00635BA6"/>
    <w:rsid w:val="00665084"/>
    <w:rsid w:val="006F6228"/>
    <w:rsid w:val="006F64E3"/>
    <w:rsid w:val="00711B7B"/>
    <w:rsid w:val="0074140C"/>
    <w:rsid w:val="007A6B2F"/>
    <w:rsid w:val="007F0513"/>
    <w:rsid w:val="00850673"/>
    <w:rsid w:val="00863499"/>
    <w:rsid w:val="00893F8A"/>
    <w:rsid w:val="008B0693"/>
    <w:rsid w:val="008D36A7"/>
    <w:rsid w:val="00903A7C"/>
    <w:rsid w:val="00960ADD"/>
    <w:rsid w:val="009646C1"/>
    <w:rsid w:val="009677BA"/>
    <w:rsid w:val="009A3851"/>
    <w:rsid w:val="00A725E3"/>
    <w:rsid w:val="00A73728"/>
    <w:rsid w:val="00A86DF0"/>
    <w:rsid w:val="00AF0DA1"/>
    <w:rsid w:val="00AF62F8"/>
    <w:rsid w:val="00B12C60"/>
    <w:rsid w:val="00B728E3"/>
    <w:rsid w:val="00B72FEA"/>
    <w:rsid w:val="00BA1FA6"/>
    <w:rsid w:val="00BB0C16"/>
    <w:rsid w:val="00BB49CC"/>
    <w:rsid w:val="00BB673F"/>
    <w:rsid w:val="00C13103"/>
    <w:rsid w:val="00C50F3B"/>
    <w:rsid w:val="00C714D1"/>
    <w:rsid w:val="00C72BED"/>
    <w:rsid w:val="00C770F2"/>
    <w:rsid w:val="00CA408F"/>
    <w:rsid w:val="00CD340E"/>
    <w:rsid w:val="00D5569F"/>
    <w:rsid w:val="00DA53C1"/>
    <w:rsid w:val="00DD6122"/>
    <w:rsid w:val="00DD7E07"/>
    <w:rsid w:val="00E01EE8"/>
    <w:rsid w:val="00E1109B"/>
    <w:rsid w:val="00E13F12"/>
    <w:rsid w:val="00E502DF"/>
    <w:rsid w:val="00F21D54"/>
    <w:rsid w:val="00F26A8E"/>
    <w:rsid w:val="00F46383"/>
    <w:rsid w:val="00F94CE0"/>
    <w:rsid w:val="00FE0EF9"/>
    <w:rsid w:val="00FE272C"/>
    <w:rsid w:val="00FE363E"/>
    <w:rsid w:val="03B777CD"/>
    <w:rsid w:val="09AC6751"/>
    <w:rsid w:val="0B8D3627"/>
    <w:rsid w:val="0C3151E3"/>
    <w:rsid w:val="0FC94579"/>
    <w:rsid w:val="10871339"/>
    <w:rsid w:val="13FF5162"/>
    <w:rsid w:val="141559A6"/>
    <w:rsid w:val="15EB6F5B"/>
    <w:rsid w:val="17CA7D74"/>
    <w:rsid w:val="17E97ECD"/>
    <w:rsid w:val="183B546E"/>
    <w:rsid w:val="21292F3D"/>
    <w:rsid w:val="255E2151"/>
    <w:rsid w:val="25EA50BA"/>
    <w:rsid w:val="29D0549B"/>
    <w:rsid w:val="2BC6721D"/>
    <w:rsid w:val="2C751AB3"/>
    <w:rsid w:val="2C8431D5"/>
    <w:rsid w:val="2E1244E2"/>
    <w:rsid w:val="30FE6AB8"/>
    <w:rsid w:val="31DB6AD1"/>
    <w:rsid w:val="32FA52E9"/>
    <w:rsid w:val="34A51E4B"/>
    <w:rsid w:val="38F271FC"/>
    <w:rsid w:val="39F81F7B"/>
    <w:rsid w:val="3BE8418D"/>
    <w:rsid w:val="3C7C2BB6"/>
    <w:rsid w:val="3D2366F5"/>
    <w:rsid w:val="3FEB2BA2"/>
    <w:rsid w:val="448A7571"/>
    <w:rsid w:val="46353B4B"/>
    <w:rsid w:val="48E02358"/>
    <w:rsid w:val="4BA01256"/>
    <w:rsid w:val="4C944AFA"/>
    <w:rsid w:val="4EB2327E"/>
    <w:rsid w:val="4EB91FFF"/>
    <w:rsid w:val="504E2D23"/>
    <w:rsid w:val="52696FFF"/>
    <w:rsid w:val="5539634F"/>
    <w:rsid w:val="555620B5"/>
    <w:rsid w:val="56545776"/>
    <w:rsid w:val="56D446AC"/>
    <w:rsid w:val="57264D6A"/>
    <w:rsid w:val="59CF61DC"/>
    <w:rsid w:val="5C35666B"/>
    <w:rsid w:val="5FD06C05"/>
    <w:rsid w:val="62280BCB"/>
    <w:rsid w:val="62900BB1"/>
    <w:rsid w:val="68923045"/>
    <w:rsid w:val="68E85FE1"/>
    <w:rsid w:val="6BC77FDC"/>
    <w:rsid w:val="6D4320D2"/>
    <w:rsid w:val="6E242EF2"/>
    <w:rsid w:val="6E425794"/>
    <w:rsid w:val="71B05B03"/>
    <w:rsid w:val="751920BB"/>
    <w:rsid w:val="76A3499A"/>
    <w:rsid w:val="78A272D6"/>
    <w:rsid w:val="7D146221"/>
    <w:rsid w:val="7E9D679E"/>
    <w:rsid w:val="7F1E6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1"/>
    <w:qFormat/>
    <w:uiPriority w:val="0"/>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9"/>
    <w:unhideWhenUsed/>
    <w:qFormat/>
    <w:uiPriority w:val="99"/>
    <w:rPr>
      <w:rFonts w:ascii="宋体"/>
      <w:sz w:val="18"/>
      <w:szCs w:val="18"/>
    </w:rPr>
  </w:style>
  <w:style w:type="paragraph" w:styleId="6">
    <w:name w:val="annotation text"/>
    <w:basedOn w:val="1"/>
    <w:link w:val="32"/>
    <w:qFormat/>
    <w:uiPriority w:val="0"/>
    <w:pPr>
      <w:jc w:val="left"/>
    </w:pPr>
  </w:style>
  <w:style w:type="paragraph" w:styleId="7">
    <w:name w:val="Balloon Text"/>
    <w:basedOn w:val="1"/>
    <w:link w:val="26"/>
    <w:qFormat/>
    <w:uiPriority w:val="99"/>
    <w:rPr>
      <w:sz w:val="18"/>
      <w:szCs w:val="18"/>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33"/>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unhideWhenUsed/>
    <w:qFormat/>
    <w:uiPriority w:val="99"/>
    <w:rPr>
      <w:sz w:val="21"/>
      <w:szCs w:val="21"/>
    </w:rPr>
  </w:style>
  <w:style w:type="paragraph" w:customStyle="1" w:styleId="15">
    <w:name w:val="事项名称"/>
    <w:basedOn w:val="1"/>
    <w:next w:val="1"/>
    <w:qFormat/>
    <w:uiPriority w:val="0"/>
    <w:pPr>
      <w:ind w:firstLine="562" w:firstLineChars="200"/>
    </w:pPr>
    <w:rPr>
      <w:rFonts w:hint="eastAsia" w:ascii="Times New Roman" w:hAnsi="Times New Roman" w:eastAsia="宋体"/>
      <w:b/>
      <w:bCs/>
      <w:kern w:val="2"/>
      <w:sz w:val="24"/>
      <w:szCs w:val="24"/>
    </w:rPr>
  </w:style>
  <w:style w:type="paragraph" w:customStyle="1" w:styleId="16">
    <w:name w:val="List Paragraph_6a3f6c9e-e186-45d0-a9f5-616e18c33b66"/>
    <w:basedOn w:val="1"/>
    <w:link w:val="22"/>
    <w:qFormat/>
    <w:uiPriority w:val="34"/>
    <w:pPr>
      <w:ind w:firstLine="420" w:firstLineChars="200"/>
    </w:pPr>
  </w:style>
  <w:style w:type="paragraph" w:customStyle="1" w:styleId="17">
    <w:name w:val="正文正文"/>
    <w:basedOn w:val="1"/>
    <w:link w:val="24"/>
    <w:qFormat/>
    <w:uiPriority w:val="0"/>
    <w:pPr>
      <w:adjustRightInd w:val="0"/>
      <w:snapToGrid w:val="0"/>
      <w:spacing w:line="360" w:lineRule="auto"/>
      <w:ind w:firstLine="480" w:firstLineChars="200"/>
    </w:pPr>
    <w:rPr>
      <w:rFonts w:ascii="宋体" w:hAnsi="宋体" w:cs="Times New Roman"/>
      <w:sz w:val="24"/>
      <w:szCs w:val="24"/>
    </w:rPr>
  </w:style>
  <w:style w:type="paragraph" w:customStyle="1" w:styleId="18">
    <w:name w:val="【事项描】"/>
    <w:basedOn w:val="1"/>
    <w:link w:val="25"/>
    <w:qFormat/>
    <w:uiPriority w:val="0"/>
    <w:pPr>
      <w:adjustRightInd w:val="0"/>
      <w:snapToGrid w:val="0"/>
      <w:spacing w:line="360" w:lineRule="auto"/>
      <w:ind w:firstLine="482" w:firstLineChars="200"/>
    </w:pPr>
    <w:rPr>
      <w:rFonts w:ascii="宋体" w:hAnsi="宋体" w:cs="Times New Roman"/>
      <w:b/>
      <w:sz w:val="24"/>
      <w:szCs w:val="24"/>
    </w:rPr>
  </w:style>
  <w:style w:type="character" w:customStyle="1" w:styleId="19">
    <w:name w:val="标题 1 Char"/>
    <w:basedOn w:val="13"/>
    <w:link w:val="2"/>
    <w:qFormat/>
    <w:uiPriority w:val="9"/>
    <w:rPr>
      <w:b/>
      <w:bCs/>
      <w:kern w:val="44"/>
      <w:sz w:val="44"/>
      <w:szCs w:val="44"/>
    </w:rPr>
  </w:style>
  <w:style w:type="character" w:customStyle="1" w:styleId="20">
    <w:name w:val="标题 2 Char"/>
    <w:basedOn w:val="13"/>
    <w:qFormat/>
    <w:uiPriority w:val="9"/>
    <w:rPr>
      <w:rFonts w:ascii="Cambria" w:hAnsi="Cambria" w:eastAsia="宋体" w:cs="黑体"/>
      <w:b/>
      <w:bCs/>
      <w:sz w:val="32"/>
      <w:szCs w:val="32"/>
    </w:rPr>
  </w:style>
  <w:style w:type="character" w:customStyle="1" w:styleId="21">
    <w:name w:val="标题 3 Char"/>
    <w:basedOn w:val="13"/>
    <w:link w:val="4"/>
    <w:qFormat/>
    <w:uiPriority w:val="9"/>
    <w:rPr>
      <w:rFonts w:ascii="Times New Roman" w:hAnsi="Times New Roman" w:eastAsia="黑体" w:cs="Times New Roman"/>
      <w:b/>
      <w:bCs/>
      <w:kern w:val="24"/>
      <w:sz w:val="28"/>
      <w:szCs w:val="28"/>
    </w:rPr>
  </w:style>
  <w:style w:type="character" w:customStyle="1" w:styleId="22">
    <w:name w:val="列出段落 Char"/>
    <w:basedOn w:val="13"/>
    <w:link w:val="16"/>
    <w:qFormat/>
    <w:uiPriority w:val="34"/>
  </w:style>
  <w:style w:type="character" w:customStyle="1" w:styleId="23">
    <w:name w:val="标题 2 Char1"/>
    <w:link w:val="3"/>
    <w:qFormat/>
    <w:uiPriority w:val="9"/>
    <w:rPr>
      <w:rFonts w:ascii="等线 Light" w:hAnsi="等线 Light" w:eastAsia="等线 Light" w:cs="Times New Roman"/>
      <w:b/>
      <w:bCs/>
      <w:sz w:val="32"/>
      <w:szCs w:val="32"/>
    </w:rPr>
  </w:style>
  <w:style w:type="character" w:customStyle="1" w:styleId="24">
    <w:name w:val="正文正文 字符"/>
    <w:link w:val="17"/>
    <w:qFormat/>
    <w:uiPriority w:val="0"/>
    <w:rPr>
      <w:rFonts w:ascii="宋体" w:hAnsi="宋体" w:eastAsia="宋体" w:cs="Times New Roman"/>
      <w:sz w:val="24"/>
      <w:szCs w:val="24"/>
    </w:rPr>
  </w:style>
  <w:style w:type="character" w:customStyle="1" w:styleId="25">
    <w:name w:val="【事项描】 字符"/>
    <w:link w:val="18"/>
    <w:qFormat/>
    <w:uiPriority w:val="0"/>
    <w:rPr>
      <w:rFonts w:ascii="宋体" w:hAnsi="宋体" w:eastAsia="宋体" w:cs="Times New Roman"/>
      <w:b/>
      <w:sz w:val="24"/>
      <w:szCs w:val="24"/>
    </w:rPr>
  </w:style>
  <w:style w:type="character" w:customStyle="1" w:styleId="26">
    <w:name w:val="批注框文本 Char"/>
    <w:basedOn w:val="13"/>
    <w:link w:val="7"/>
    <w:qFormat/>
    <w:uiPriority w:val="99"/>
    <w:rPr>
      <w:sz w:val="18"/>
      <w:szCs w:val="18"/>
    </w:rPr>
  </w:style>
  <w:style w:type="character" w:customStyle="1" w:styleId="27">
    <w:name w:val="页眉 Char"/>
    <w:basedOn w:val="13"/>
    <w:link w:val="9"/>
    <w:qFormat/>
    <w:uiPriority w:val="99"/>
    <w:rPr>
      <w:rFonts w:ascii="Calibri" w:hAnsi="Calibri" w:cs="黑体"/>
      <w:kern w:val="2"/>
      <w:sz w:val="18"/>
      <w:szCs w:val="18"/>
    </w:rPr>
  </w:style>
  <w:style w:type="character" w:customStyle="1" w:styleId="28">
    <w:name w:val="页脚 Char"/>
    <w:basedOn w:val="13"/>
    <w:link w:val="8"/>
    <w:qFormat/>
    <w:uiPriority w:val="99"/>
    <w:rPr>
      <w:rFonts w:ascii="Calibri" w:hAnsi="Calibri" w:cs="黑体"/>
      <w:kern w:val="2"/>
      <w:sz w:val="18"/>
      <w:szCs w:val="18"/>
    </w:rPr>
  </w:style>
  <w:style w:type="character" w:customStyle="1" w:styleId="29">
    <w:name w:val="文档结构图 Char"/>
    <w:basedOn w:val="13"/>
    <w:link w:val="5"/>
    <w:semiHidden/>
    <w:qFormat/>
    <w:uiPriority w:val="99"/>
    <w:rPr>
      <w:rFonts w:ascii="宋体" w:hAnsi="Calibri" w:cs="黑体"/>
      <w:kern w:val="2"/>
      <w:sz w:val="18"/>
      <w:szCs w:val="18"/>
    </w:rPr>
  </w:style>
  <w:style w:type="paragraph" w:customStyle="1" w:styleId="30">
    <w:name w:val="4.1 XX优惠"/>
    <w:basedOn w:val="3"/>
    <w:link w:val="31"/>
    <w:qFormat/>
    <w:uiPriority w:val="0"/>
    <w:pPr>
      <w:topLinePunct/>
      <w:adjustRightInd w:val="0"/>
      <w:spacing w:before="660" w:line="240" w:lineRule="auto"/>
      <w:ind w:firstLine="510"/>
    </w:pPr>
    <w:rPr>
      <w:rFonts w:ascii="Arial" w:hAnsi="Arial" w:eastAsia="黑体"/>
      <w:kern w:val="24"/>
    </w:rPr>
  </w:style>
  <w:style w:type="character" w:customStyle="1" w:styleId="31">
    <w:name w:val="4.1 XX优惠 字符"/>
    <w:link w:val="30"/>
    <w:qFormat/>
    <w:uiPriority w:val="0"/>
    <w:rPr>
      <w:rFonts w:ascii="Arial" w:hAnsi="Arial" w:eastAsia="黑体"/>
      <w:b/>
      <w:bCs/>
      <w:kern w:val="24"/>
      <w:sz w:val="32"/>
      <w:szCs w:val="32"/>
    </w:rPr>
  </w:style>
  <w:style w:type="character" w:customStyle="1" w:styleId="32">
    <w:name w:val="批注文字 Char"/>
    <w:basedOn w:val="13"/>
    <w:link w:val="6"/>
    <w:qFormat/>
    <w:uiPriority w:val="0"/>
    <w:rPr>
      <w:rFonts w:ascii="Calibri" w:hAnsi="Calibri" w:cs="黑体"/>
      <w:kern w:val="2"/>
      <w:sz w:val="21"/>
      <w:szCs w:val="22"/>
    </w:rPr>
  </w:style>
  <w:style w:type="character" w:customStyle="1" w:styleId="33">
    <w:name w:val="批注主题 Char"/>
    <w:basedOn w:val="32"/>
    <w:link w:val="10"/>
    <w:semiHidden/>
    <w:qFormat/>
    <w:uiPriority w:val="99"/>
    <w:rPr>
      <w:rFonts w:ascii="Calibri" w:hAnsi="Calibri" w:cs="黑体"/>
      <w:b/>
      <w:bCs/>
      <w:kern w:val="2"/>
      <w:sz w:val="21"/>
      <w:szCs w:val="22"/>
    </w:rPr>
  </w:style>
  <w:style w:type="paragraph" w:customStyle="1" w:styleId="34">
    <w:name w:val="3 sunshine"/>
    <w:basedOn w:val="4"/>
    <w:link w:val="35"/>
    <w:qFormat/>
    <w:uiPriority w:val="0"/>
    <w:pPr>
      <w:spacing w:beforeLines="100" w:afterLines="100" w:line="360" w:lineRule="auto"/>
      <w:ind w:firstLine="562" w:firstLineChars="200"/>
    </w:pPr>
  </w:style>
  <w:style w:type="character" w:customStyle="1" w:styleId="35">
    <w:name w:val="3 sunshine 字符"/>
    <w:basedOn w:val="21"/>
    <w:link w:val="34"/>
    <w:qFormat/>
    <w:uiPriority w:val="0"/>
    <w:rPr>
      <w:rFonts w:ascii="Times New Roman" w:hAnsi="Times New Roman" w:eastAsia="黑体" w:cs="Times New Roman"/>
      <w:kern w:val="24"/>
      <w:sz w:val="28"/>
      <w:szCs w:val="28"/>
    </w:rPr>
  </w:style>
  <w:style w:type="paragraph" w:customStyle="1" w:styleId="36">
    <w:name w:val="二级标题"/>
    <w:basedOn w:val="3"/>
    <w:link w:val="37"/>
    <w:qFormat/>
    <w:uiPriority w:val="0"/>
    <w:pPr>
      <w:spacing w:beforeLines="150" w:afterLines="150" w:line="360" w:lineRule="auto"/>
      <w:ind w:firstLine="643" w:firstLineChars="200"/>
    </w:pPr>
    <w:rPr>
      <w:rFonts w:ascii="Times New Roman" w:hAnsi="Times New Roman" w:eastAsia="黑体"/>
    </w:rPr>
  </w:style>
  <w:style w:type="character" w:customStyle="1" w:styleId="37">
    <w:name w:val="二级标题 字符"/>
    <w:basedOn w:val="13"/>
    <w:link w:val="36"/>
    <w:qFormat/>
    <w:uiPriority w:val="0"/>
    <w:rPr>
      <w:rFonts w:eastAsia="黑体"/>
      <w:b/>
      <w:bCs/>
      <w:kern w:val="2"/>
      <w:sz w:val="32"/>
      <w:szCs w:val="32"/>
    </w:rPr>
  </w:style>
  <w:style w:type="paragraph" w:customStyle="1" w:styleId="38">
    <w:name w:val="材料 文本"/>
    <w:basedOn w:val="1"/>
    <w:unhideWhenUsed/>
    <w:qFormat/>
    <w:uiPriority w:val="0"/>
    <w:pPr>
      <w:jc w:val="center"/>
    </w:pPr>
    <w:rPr>
      <w:rFonts w:hint="eastAsia" w:ascii="黑体" w:hAnsi="黑体" w:eastAsia="黑体"/>
      <w:sz w:val="18"/>
    </w:rPr>
  </w:style>
  <w:style w:type="paragraph" w:customStyle="1" w:styleId="39">
    <w:name w:val="政策 表头"/>
    <w:basedOn w:val="1"/>
    <w:unhideWhenUsed/>
    <w:qFormat/>
    <w:uiPriority w:val="0"/>
    <w:pPr>
      <w:jc w:val="center"/>
    </w:pPr>
    <w:rPr>
      <w:rFonts w:hint="eastAsia" w:ascii="黑体" w:hAnsi="黑体" w:eastAsia="黑体"/>
      <w:lang w:val="zh-CN"/>
    </w:rPr>
  </w:style>
  <w:style w:type="paragraph" w:customStyle="1" w:styleId="40">
    <w:name w:val="材料 表头"/>
    <w:basedOn w:val="39"/>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661BCD8-A3AF-4D8E-B7F3-65088B7E1692}">
  <ds:schemaRefs/>
</ds:datastoreItem>
</file>

<file path=customXml/itemProps11.xml><?xml version="1.0" encoding="utf-8"?>
<ds:datastoreItem xmlns:ds="http://schemas.openxmlformats.org/officeDocument/2006/customXml" ds:itemID="{31A61BFE-4276-4DB6-A48C-90B0759A899B}">
  <ds:schemaRefs/>
</ds:datastoreItem>
</file>

<file path=customXml/itemProps12.xml><?xml version="1.0" encoding="utf-8"?>
<ds:datastoreItem xmlns:ds="http://schemas.openxmlformats.org/officeDocument/2006/customXml" ds:itemID="{3F48351E-1405-4837-BCA8-785D39A4078C}">
  <ds:schemaRefs/>
</ds:datastoreItem>
</file>

<file path=customXml/itemProps13.xml><?xml version="1.0" encoding="utf-8"?>
<ds:datastoreItem xmlns:ds="http://schemas.openxmlformats.org/officeDocument/2006/customXml" ds:itemID="{C9C6B115-338A-4A50-A2C0-09C266BEBB1E}">
  <ds:schemaRefs/>
</ds:datastoreItem>
</file>

<file path=customXml/itemProps14.xml><?xml version="1.0" encoding="utf-8"?>
<ds:datastoreItem xmlns:ds="http://schemas.openxmlformats.org/officeDocument/2006/customXml" ds:itemID="{3EC3C910-4718-4FDA-B46A-14F7705CFB68}">
  <ds:schemaRefs/>
</ds:datastoreItem>
</file>

<file path=customXml/itemProps15.xml><?xml version="1.0" encoding="utf-8"?>
<ds:datastoreItem xmlns:ds="http://schemas.openxmlformats.org/officeDocument/2006/customXml" ds:itemID="{A1CC8CEF-4773-44A0-A635-3EECC8F56DD8}">
  <ds:schemaRefs/>
</ds:datastoreItem>
</file>

<file path=customXml/itemProps16.xml><?xml version="1.0" encoding="utf-8"?>
<ds:datastoreItem xmlns:ds="http://schemas.openxmlformats.org/officeDocument/2006/customXml" ds:itemID="{7C6B0C9F-D5AA-406E-A600-9FE071528983}">
  <ds:schemaRefs/>
</ds:datastoreItem>
</file>

<file path=customXml/itemProps17.xml><?xml version="1.0" encoding="utf-8"?>
<ds:datastoreItem xmlns:ds="http://schemas.openxmlformats.org/officeDocument/2006/customXml" ds:itemID="{100B074F-2E13-4485-97AE-FA5398323D3B}">
  <ds:schemaRefs/>
</ds:datastoreItem>
</file>

<file path=customXml/itemProps18.xml><?xml version="1.0" encoding="utf-8"?>
<ds:datastoreItem xmlns:ds="http://schemas.openxmlformats.org/officeDocument/2006/customXml" ds:itemID="{39B8AD67-966F-4FAD-BA71-4C91FFF05611}">
  <ds:schemaRefs/>
</ds:datastoreItem>
</file>

<file path=customXml/itemProps2.xml><?xml version="1.0" encoding="utf-8"?>
<ds:datastoreItem xmlns:ds="http://schemas.openxmlformats.org/officeDocument/2006/customXml" ds:itemID="{FB417205-3580-478B-8CF7-FA73F9FEBF2B}">
  <ds:schemaRefs/>
</ds:datastoreItem>
</file>

<file path=customXml/itemProps3.xml><?xml version="1.0" encoding="utf-8"?>
<ds:datastoreItem xmlns:ds="http://schemas.openxmlformats.org/officeDocument/2006/customXml" ds:itemID="{953FA17A-C4CA-4E4C-B0D6-A37AF5100E22}">
  <ds:schemaRefs/>
</ds:datastoreItem>
</file>

<file path=customXml/itemProps4.xml><?xml version="1.0" encoding="utf-8"?>
<ds:datastoreItem xmlns:ds="http://schemas.openxmlformats.org/officeDocument/2006/customXml" ds:itemID="{3ED924F2-DF98-4DDD-87A9-968DE9527C76}">
  <ds:schemaRefs/>
</ds:datastoreItem>
</file>

<file path=customXml/itemProps5.xml><?xml version="1.0" encoding="utf-8"?>
<ds:datastoreItem xmlns:ds="http://schemas.openxmlformats.org/officeDocument/2006/customXml" ds:itemID="{0F2FE265-5A5F-498C-8D2E-F2C029101089}">
  <ds:schemaRefs/>
</ds:datastoreItem>
</file>

<file path=customXml/itemProps6.xml><?xml version="1.0" encoding="utf-8"?>
<ds:datastoreItem xmlns:ds="http://schemas.openxmlformats.org/officeDocument/2006/customXml" ds:itemID="{110F66D6-57CE-4D98-914E-1E2C087E6543}">
  <ds:schemaRefs/>
</ds:datastoreItem>
</file>

<file path=customXml/itemProps7.xml><?xml version="1.0" encoding="utf-8"?>
<ds:datastoreItem xmlns:ds="http://schemas.openxmlformats.org/officeDocument/2006/customXml" ds:itemID="{C81AC05A-D6E8-4A4E-90EB-AED451C9437E}">
  <ds:schemaRefs/>
</ds:datastoreItem>
</file>

<file path=customXml/itemProps8.xml><?xml version="1.0" encoding="utf-8"?>
<ds:datastoreItem xmlns:ds="http://schemas.openxmlformats.org/officeDocument/2006/customXml" ds:itemID="{656D4C19-F27C-4C77-96B9-FE1D7388BCBE}">
  <ds:schemaRefs/>
</ds:datastoreItem>
</file>

<file path=customXml/itemProps9.xml><?xml version="1.0" encoding="utf-8"?>
<ds:datastoreItem xmlns:ds="http://schemas.openxmlformats.org/officeDocument/2006/customXml" ds:itemID="{45F773AF-8E55-41D2-AB15-A5F6E470F41D}">
  <ds:schemaRefs/>
</ds:datastoreItem>
</file>

<file path=docProps/app.xml><?xml version="1.0" encoding="utf-8"?>
<Properties xmlns="http://schemas.openxmlformats.org/officeDocument/2006/extended-properties" xmlns:vt="http://schemas.openxmlformats.org/officeDocument/2006/docPropsVTypes">
  <Template>Normal</Template>
  <Pages>16</Pages>
  <Words>1054</Words>
  <Characters>6009</Characters>
  <Lines>50</Lines>
  <Paragraphs>14</Paragraphs>
  <TotalTime>3</TotalTime>
  <ScaleCrop>false</ScaleCrop>
  <LinksUpToDate>false</LinksUpToDate>
  <CharactersWithSpaces>7049</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2019-07-03T01:32:00Z</dcterms:created>
  <dc:creator>ycpic</dc:creator>
  <cp:lastModifiedBy>fff</cp:lastModifiedBy>
  <cp:lastPrinted>2019-08-05T15:14:00Z</cp:lastPrinted>
  <dcterms:modified xsi:type="dcterms:W3CDTF">2019-12-30T02:50:50Z</dcterms:modified>
  <dc:title>第14章 涉税专业服务规范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