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Bdr>
          <w:bottom w:val="none" w:color="auto" w:sz="0" w:space="0"/>
        </w:pBdr>
        <w:tabs>
          <w:tab w:val="center" w:pos="4153"/>
          <w:tab w:val="right" w:pos="8306"/>
        </w:tabs>
        <w:spacing w:line="620" w:lineRule="exact"/>
        <w:ind w:firstLine="360" w:firstLineChars="100"/>
        <w:jc w:val="both"/>
        <w:rPr>
          <w:rFonts w:hint="eastAsia" w:ascii="方正小标宋_GBK" w:hAnsi="方正小标宋简体" w:eastAsia="方正小标宋_GBK" w:cs="方正小标宋简体"/>
          <w:color w:val="000000"/>
          <w:kern w:val="0"/>
          <w:sz w:val="36"/>
          <w:szCs w:val="36"/>
          <w:lang w:val="en-US" w:eastAsia="zh-CN" w:bidi="ar"/>
        </w:rPr>
      </w:pPr>
      <w:r>
        <w:rPr>
          <w:rFonts w:hint="eastAsia" w:ascii="方正小标宋_GBK" w:hAnsi="方正小标宋简体" w:eastAsia="方正小标宋_GBK" w:cs="方正小标宋简体"/>
          <w:color w:val="000000"/>
          <w:kern w:val="0"/>
          <w:sz w:val="36"/>
          <w:szCs w:val="36"/>
          <w:lang w:val="en-US" w:eastAsia="zh-CN" w:bidi="ar"/>
        </w:rPr>
        <w:t>附件：</w:t>
      </w:r>
    </w:p>
    <w:p>
      <w:pPr>
        <w:pStyle w:val="3"/>
        <w:pBdr>
          <w:bottom w:val="none" w:color="auto" w:sz="0" w:space="0"/>
        </w:pBdr>
        <w:tabs>
          <w:tab w:val="center" w:pos="4153"/>
          <w:tab w:val="right" w:pos="8306"/>
        </w:tabs>
        <w:spacing w:line="620" w:lineRule="exact"/>
        <w:ind w:firstLine="440" w:firstLineChars="100"/>
        <w:jc w:val="center"/>
        <w:rPr>
          <w:rFonts w:hint="eastAsia" w:ascii="Times New Roman" w:hAnsi="Times New Roman" w:eastAsia="方正小标宋_GBK"/>
          <w:vanish/>
          <w:sz w:val="32"/>
          <w:szCs w:val="32"/>
          <w:lang w:eastAsia="zh-CN"/>
        </w:rPr>
      </w:pPr>
      <w:r>
        <w:rPr>
          <w:rFonts w:hint="eastAsia" w:ascii="方正小标宋_GBK" w:hAnsi="方正小标宋简体" w:eastAsia="方正小标宋_GBK" w:cs="方正小标宋简体"/>
          <w:color w:val="000000"/>
          <w:kern w:val="0"/>
          <w:sz w:val="44"/>
          <w:szCs w:val="44"/>
          <w:lang w:val="en-US" w:eastAsia="zh-CN" w:bidi="ar"/>
        </w:rPr>
        <w:t>盈江县市场监管领域部门联合抽查事项清单（第一版）</w:t>
      </w:r>
    </w:p>
    <w:tbl>
      <w:tblPr>
        <w:tblStyle w:val="5"/>
        <w:tblW w:w="137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74"/>
        <w:gridCol w:w="1605"/>
        <w:gridCol w:w="4095"/>
        <w:gridCol w:w="2235"/>
        <w:gridCol w:w="1806"/>
        <w:gridCol w:w="1860"/>
        <w:gridCol w:w="13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8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序号</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抽查领域</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抽查事项</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检查对象</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0"/>
                <w:sz w:val="24"/>
                <w:szCs w:val="24"/>
              </w:rPr>
            </w:pPr>
            <w:r>
              <w:rPr>
                <w:rFonts w:hint="eastAsia" w:ascii="仿宋_GB2312" w:hAnsi="宋体" w:eastAsia="仿宋_GB2312" w:cs="仿宋_GB2312"/>
                <w:b/>
                <w:color w:val="auto"/>
                <w:kern w:val="0"/>
                <w:sz w:val="24"/>
                <w:szCs w:val="24"/>
                <w:lang w:val="en-US" w:eastAsia="zh-CN" w:bidi="ar"/>
              </w:rPr>
              <w:t>发起（牵头）</w:t>
            </w:r>
          </w:p>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部门</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配合部门</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宋体" w:eastAsia="仿宋_GB2312" w:cs="仿宋_GB2312"/>
                <w:b/>
                <w:color w:val="auto"/>
                <w:kern w:val="2"/>
                <w:sz w:val="24"/>
                <w:szCs w:val="24"/>
              </w:rPr>
            </w:pPr>
            <w:r>
              <w:rPr>
                <w:rFonts w:hint="eastAsia" w:ascii="仿宋_GB2312" w:hAnsi="宋体" w:eastAsia="仿宋_GB2312" w:cs="仿宋_GB2312"/>
                <w:b/>
                <w:color w:val="auto"/>
                <w:kern w:val="0"/>
                <w:sz w:val="24"/>
                <w:szCs w:val="2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学校办学情况抽查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中小学教育装备产品（含文体教育用品、教学仪器、校服等）检查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各类学校</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教育体育局</w:t>
            </w:r>
          </w:p>
        </w:tc>
        <w:tc>
          <w:tcPr>
            <w:tcW w:w="1860" w:type="dxa"/>
            <w:vMerge w:val="restart"/>
            <w:tcBorders>
              <w:top w:val="nil"/>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民办学校招生、办学情况的检查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民办学校</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nil"/>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学校食堂食品安全情况的检查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各类学校</w:t>
            </w:r>
          </w:p>
        </w:tc>
        <w:tc>
          <w:tcPr>
            <w:tcW w:w="1806" w:type="dxa"/>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tcBorders>
              <w:top w:val="single" w:color="000000" w:sz="4" w:space="0"/>
              <w:lef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教育体育局</w:t>
            </w:r>
          </w:p>
        </w:tc>
        <w:tc>
          <w:tcPr>
            <w:tcW w:w="1380"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宾馆、旅店监督抽查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宾馆、旅店取得许可证情况的检查</w:t>
            </w:r>
            <w:r>
              <w:rPr>
                <w:rFonts w:hint="eastAsia" w:ascii="宋体" w:hAnsi="宋体" w:cs="宋体"/>
                <w:color w:val="auto"/>
                <w:kern w:val="0"/>
                <w:sz w:val="22"/>
                <w:szCs w:val="22"/>
                <w:lang w:val="en-US" w:eastAsia="zh-CN" w:bidi="ar"/>
              </w:rPr>
              <w:t>、年检情况检查</w:t>
            </w:r>
          </w:p>
        </w:tc>
        <w:tc>
          <w:tcPr>
            <w:tcW w:w="2235"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各类宾馆、旅店</w:t>
            </w:r>
          </w:p>
        </w:tc>
        <w:tc>
          <w:tcPr>
            <w:tcW w:w="1806" w:type="dxa"/>
            <w:vMerge w:val="restart"/>
            <w:tcBorders>
              <w:top w:val="single" w:color="000000" w:sz="4" w:space="0"/>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卫生健康</w:t>
            </w:r>
            <w:r>
              <w:rPr>
                <w:rFonts w:hint="eastAsia" w:ascii="宋体" w:hAnsi="宋体" w:cs="宋体"/>
                <w:color w:val="auto"/>
                <w:kern w:val="0"/>
                <w:sz w:val="22"/>
                <w:szCs w:val="22"/>
                <w:lang w:val="en-US" w:eastAsia="zh-CN" w:bidi="ar"/>
              </w:rPr>
              <w:t>局</w:t>
            </w:r>
            <w:r>
              <w:rPr>
                <w:rFonts w:hint="eastAsia" w:ascii="宋体" w:hAnsi="宋体" w:eastAsia="宋体" w:cs="宋体"/>
                <w:color w:val="auto"/>
                <w:kern w:val="0"/>
                <w:sz w:val="22"/>
                <w:szCs w:val="22"/>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消防救援</w:t>
            </w:r>
            <w:r>
              <w:rPr>
                <w:rFonts w:hint="eastAsia" w:ascii="宋体" w:hAnsi="宋体" w:cs="宋体"/>
                <w:color w:val="auto"/>
                <w:kern w:val="0"/>
                <w:sz w:val="22"/>
                <w:szCs w:val="22"/>
                <w:lang w:val="en-US" w:eastAsia="zh-CN" w:bidi="ar"/>
              </w:rPr>
              <w:t>大</w:t>
            </w:r>
            <w:r>
              <w:rPr>
                <w:rFonts w:hint="eastAsia" w:ascii="宋体" w:hAnsi="宋体" w:eastAsia="宋体" w:cs="宋体"/>
                <w:color w:val="auto"/>
                <w:kern w:val="0"/>
                <w:sz w:val="22"/>
                <w:szCs w:val="22"/>
                <w:lang w:val="en-US" w:eastAsia="zh-CN" w:bidi="ar"/>
              </w:rPr>
              <w:t>队</w:t>
            </w:r>
          </w:p>
        </w:tc>
        <w:tc>
          <w:tcPr>
            <w:tcW w:w="138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宾馆、旅店卫生情况的检查</w:t>
            </w:r>
          </w:p>
        </w:tc>
        <w:tc>
          <w:tcPr>
            <w:tcW w:w="223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single" w:color="000000" w:sz="4" w:space="0"/>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宾馆、旅店治安安全情况的检查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各类宾馆、旅店</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消防救援</w:t>
            </w:r>
            <w:r>
              <w:rPr>
                <w:rFonts w:hint="eastAsia" w:ascii="宋体" w:hAnsi="宋体" w:cs="宋体"/>
                <w:color w:val="auto"/>
                <w:kern w:val="0"/>
                <w:sz w:val="22"/>
                <w:szCs w:val="22"/>
                <w:lang w:val="en-US" w:eastAsia="zh-CN" w:bidi="ar"/>
              </w:rPr>
              <w:t>大</w:t>
            </w:r>
            <w:r>
              <w:rPr>
                <w:rFonts w:hint="eastAsia" w:ascii="宋体" w:hAnsi="宋体" w:eastAsia="宋体" w:cs="宋体"/>
                <w:color w:val="auto"/>
                <w:kern w:val="0"/>
                <w:sz w:val="22"/>
                <w:szCs w:val="22"/>
                <w:lang w:val="en-US" w:eastAsia="zh-CN" w:bidi="ar"/>
              </w:rPr>
              <w:t>队</w:t>
            </w:r>
          </w:p>
        </w:tc>
        <w:tc>
          <w:tcPr>
            <w:tcW w:w="1380"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宾馆、旅店消防情况的检查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各类宾馆、旅店</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消防救援</w:t>
            </w:r>
            <w:r>
              <w:rPr>
                <w:rFonts w:hint="eastAsia" w:ascii="宋体" w:hAnsi="宋体" w:cs="宋体"/>
                <w:color w:val="auto"/>
                <w:kern w:val="0"/>
                <w:sz w:val="22"/>
                <w:szCs w:val="22"/>
                <w:lang w:val="en-US" w:eastAsia="zh-CN" w:bidi="ar"/>
              </w:rPr>
              <w:t>大</w:t>
            </w:r>
            <w:r>
              <w:rPr>
                <w:rFonts w:hint="eastAsia" w:ascii="宋体" w:hAnsi="宋体" w:eastAsia="宋体" w:cs="宋体"/>
                <w:color w:val="auto"/>
                <w:kern w:val="0"/>
                <w:sz w:val="22"/>
                <w:szCs w:val="22"/>
                <w:lang w:val="en-US" w:eastAsia="zh-CN" w:bidi="ar"/>
              </w:rPr>
              <w:t>队</w:t>
            </w:r>
          </w:p>
        </w:tc>
        <w:tc>
          <w:tcPr>
            <w:tcW w:w="186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民用枪支经营使用单位抽查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民用枪支制造企业经营情况的检查</w:t>
            </w:r>
          </w:p>
        </w:tc>
        <w:tc>
          <w:tcPr>
            <w:tcW w:w="2235"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民用枪支经营使用单位</w:t>
            </w:r>
          </w:p>
        </w:tc>
        <w:tc>
          <w:tcPr>
            <w:tcW w:w="1806"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2"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民用枪支配售企业经营情况的检查</w:t>
            </w:r>
          </w:p>
        </w:tc>
        <w:tc>
          <w:tcPr>
            <w:tcW w:w="223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民用枪支配置使用单位使用枪支情况的检</w:t>
            </w:r>
            <w:bookmarkStart w:id="0" w:name="_GoBack"/>
            <w:bookmarkEnd w:id="0"/>
            <w:r>
              <w:rPr>
                <w:rFonts w:hint="eastAsia" w:ascii="宋体" w:hAnsi="宋体" w:eastAsia="宋体" w:cs="宋体"/>
                <w:color w:val="auto"/>
                <w:kern w:val="0"/>
                <w:sz w:val="22"/>
                <w:szCs w:val="22"/>
                <w:lang w:val="en-US" w:eastAsia="zh-CN" w:bidi="ar"/>
              </w:rPr>
              <w:t>查</w:t>
            </w:r>
          </w:p>
        </w:tc>
        <w:tc>
          <w:tcPr>
            <w:tcW w:w="2235"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4</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保安行业相关单位抽查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保安从业单位及其保安服务活动情况的检查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保安行业相关单位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消防救援</w:t>
            </w:r>
            <w:r>
              <w:rPr>
                <w:rFonts w:hint="eastAsia" w:ascii="宋体" w:hAnsi="宋体" w:cs="宋体"/>
                <w:color w:val="auto"/>
                <w:kern w:val="0"/>
                <w:sz w:val="22"/>
                <w:szCs w:val="22"/>
                <w:lang w:val="en-US" w:eastAsia="zh-CN" w:bidi="ar"/>
              </w:rPr>
              <w:t>大</w:t>
            </w:r>
            <w:r>
              <w:rPr>
                <w:rFonts w:hint="eastAsia" w:ascii="宋体" w:hAnsi="宋体" w:eastAsia="宋体" w:cs="宋体"/>
                <w:color w:val="auto"/>
                <w:kern w:val="0"/>
                <w:sz w:val="22"/>
                <w:szCs w:val="22"/>
                <w:lang w:val="en-US" w:eastAsia="zh-CN" w:bidi="ar"/>
              </w:rPr>
              <w:t>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保安培训单位及其培训活动情况的检查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5</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爆破作业单位抽查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民用爆破物仓储情况的检查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爆破作业单位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爆破作业单位有关制度情况的检查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爆破作业单位作业情况的检查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5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6</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律师事务所及其律师的监督检查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对律师事务所及其律师执业经营活动（含纳税情况）的监督检查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在全</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依法设立的律师事务所及其执业律师</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司法局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7</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代理记账机构监督检查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代理记账机构及其从事代理记账业务情况监督检查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从事代理记账业务的</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机构</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财政局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因行政审批权限下放，由县级财政部门联合县级市场监管、税务等部门进行监管。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8</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劳动用工监管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各类用人单位（与劳动者建立劳动关系）工资支付情况检查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各类用人单位（与劳动者建立劳动关系）</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人力资源社会</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保障局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p>
            <w:pPr>
              <w:keepNext w:val="0"/>
              <w:keepLines w:val="0"/>
              <w:widowControl/>
              <w:suppressLineNumbers w:val="0"/>
              <w:spacing w:before="0" w:beforeAutospacing="0" w:after="0" w:afterAutospacing="0"/>
              <w:ind w:left="0" w:right="0"/>
              <w:jc w:val="both"/>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水利局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因行政审批权限下放，劳务派遣用工检查事项由</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级人力资源社会保障部门组织实施，并根据机构设置及工作实际，在市场监管领域相关部门中确定配合部门。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劳务派遣用工检查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劳务派遣相关单位</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9</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涉消耗臭氧层物质（ODS）的生产、使用、销售、维修、回收、销毁及原料用途等企业和单位的监管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消耗臭氧层物质含氢氯氟烃（HCFCs）年度生产配额、使用配额（100吨及以上）和使用备案（100吨以下）情况的检查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HCFCs的生产企业和使用企业</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对销售ODS企业和单位备案情况的检查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销售ODS企业和单位</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77"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对含ODS的制冷设备、制冷系统或者灭火系统的维修、报废处理，ODS回收、再生利用或者销毁等经营活动的单位备案情况的检查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含消耗臭氧层物质的制冷设备、制冷系统或者灭火系统的维修、报废处理，消耗臭氧层物质回收、再生利用或者销毁等经营活动的单位</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1"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副产四氯化碳（CTC）的甲烷氯化物企业合法销售和处置CTC情况的检查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副产四氯化碳（CTC）的甲烷氯化物企业</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使用ODS作为化工原料用途的企业的ODS采购和使用情况的检查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使用ODS作为化工原料用途的企业</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10</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生态环境监测机构监督检查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生态环境监测机构开展监测情况的检查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生态环境监测机构</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9"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11</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车用油品质量监管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车用油品质量抽查监测</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车用油品生产、销售、运输、储存企业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w:t>
            </w:r>
            <w:r>
              <w:rPr>
                <w:rFonts w:hint="eastAsia" w:ascii="宋体" w:hAnsi="宋体" w:eastAsia="宋体" w:cs="宋体"/>
                <w:color w:val="auto"/>
                <w:kern w:val="0"/>
                <w:sz w:val="22"/>
                <w:szCs w:val="22"/>
                <w:lang w:val="en-US" w:eastAsia="zh-CN" w:bidi="ar"/>
              </w:rPr>
              <w:t>商务</w:t>
            </w:r>
            <w:r>
              <w:rPr>
                <w:rFonts w:hint="eastAsia" w:ascii="宋体" w:hAnsi="宋体" w:cs="宋体"/>
                <w:color w:val="auto"/>
                <w:kern w:val="0"/>
                <w:sz w:val="22"/>
                <w:szCs w:val="22"/>
                <w:lang w:val="en-US" w:eastAsia="zh-CN" w:bidi="ar"/>
              </w:rPr>
              <w:t>科技</w:t>
            </w:r>
            <w:r>
              <w:rPr>
                <w:rFonts w:hint="eastAsia" w:ascii="宋体" w:hAnsi="宋体" w:eastAsia="宋体" w:cs="宋体"/>
                <w:color w:val="auto"/>
                <w:kern w:val="0"/>
                <w:sz w:val="22"/>
                <w:szCs w:val="22"/>
                <w:lang w:val="en-US" w:eastAsia="zh-CN" w:bidi="ar"/>
              </w:rPr>
              <w:t>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5"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12</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工程咨询单位抽查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工程咨询单位备案信息一致性及其他情况抽查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工程咨询单位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县发展和改革局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4"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13</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工程造价咨询企业抽查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工程造价咨询企业执（从）业行为抽查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工程造价咨询企业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14</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房地产市场监督执法检查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房地产市场监督执法检查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房地产从业单位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房地产行业定价情况的检查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15</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建筑市场监督执法检查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建筑市场监督执法检查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建筑市场从业单位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人力资源社会</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保障局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7"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建筑市场消防情况的检查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16</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燃气经营监督执法检查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燃气经营许可证取得情况的检查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燃气经营企业</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燃气经营监督执法检查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17</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市政工程监督检查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园林绿化工程建设</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园林绿化行业相关企业和从业人员</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人力资源社会保障局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城镇污水处理设施污染防治情况的检查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城镇污水处理厂</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城市（县城）供水企业“双随机、一公开”检查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城市（县城）供水企业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水利局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1"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18</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交通运输行业监管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道路危险货物运输企业检查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道路危险货物运输企业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应急管理局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道路运输新业态企业检查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道路运输网络预约出租汽车经营企业检查</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道路运输车辆达标管理情况检查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道路运输车辆综合性能检测机构</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交通运输产品质量监督检查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交通运输产品生产企业、经销企业和工程建设单位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r>
              <w:rPr>
                <w:rFonts w:hint="eastAsia" w:ascii="宋体" w:hAnsi="Times New Roman" w:eastAsia="宋体" w:cs="宋体"/>
                <w:color w:val="auto"/>
                <w:kern w:val="2"/>
                <w:sz w:val="22"/>
                <w:szCs w:val="22"/>
                <w:lang w:val="en-US" w:eastAsia="zh-CN" w:bidi="ar"/>
              </w:rPr>
              <w:t>省级抽检项目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19</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农业生产资料监管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农药监督检查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农药生产者、经营者，农药登记试验单位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肥料监督检查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肥料生产经营者</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通过农业机械推广鉴定的产品及证书监督检查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农业机械生产经营企业</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种子监督检查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种子生产经营者</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县林业和草原局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兽药监督检查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兽药生产经营企业，兽药使用单位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饲料、饲料添加剂监督抽查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饲料和饲料添加剂生产企业和经营企业</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20</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农业转基因生物安全检查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农业转基因生物安全监督检查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在我</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境内从事农业转基因生物研究、试验、生产、加工、经营和进口、出口活动的单位和个人</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8"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21</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畜禽、水生、陆生野生动物养殖加工情况的检查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种畜禽质量监督检查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从事种畜禽生产经营的单位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水生野生动物及其制品利用活动的监督检查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利用水生野生动物及其制品的事业单位、企业、社会组织</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农业农村局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陆生野生动物及其制品利用活动的监督检查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利用陆生野生动物及其制品的事业单位、企业、社会组织</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县林业和草原局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4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22</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河道采砂检查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对河道采砂的行政检查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河道采砂市场主体</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水利局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县自然资源局</w:t>
            </w:r>
            <w:r>
              <w:rPr>
                <w:rFonts w:hint="eastAsia" w:ascii="宋体" w:hAnsi="宋体" w:eastAsia="宋体" w:cs="宋体"/>
                <w:color w:val="auto"/>
                <w:kern w:val="0"/>
                <w:sz w:val="22"/>
                <w:szCs w:val="22"/>
                <w:lang w:val="en-US" w:eastAsia="zh-CN" w:bidi="ar"/>
              </w:rPr>
              <w:t>、</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因行政审批权限下放，对河道采砂的行政检查由</w:t>
            </w: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级水利部门牵头组织实施，并根据机构设置及工作实际，在市场监管领域相关部门中确定配合部门。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7"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23</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汽车市场监管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新车销售市场监管</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新车销售市场经营主体</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县工业和商务科技局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二手车市场监管</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二手车交易市场和二手车经营主体</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县工业和商务科技局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报废机动车回收拆解活动监管</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报废机动车回收拆解企业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县工业和商务科技局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科技局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州生态环境局盈江分局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7"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机动车环保信息公开检查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机动车销售企业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县工业和商务科技局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7"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24</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单用途商业预付卡监督检查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单用途商业预付卡业务检查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零售、住宿和餐饮以及居民服务业的发卡企业</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县工业和商务科技局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8"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25</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影剧院、录像厅（室）、游艺厅（室）、舞厅、音乐厅经营卫生情况抽查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影剧院、录像厅（室）、游艺厅（室）、舞厅、音乐厅取得、公示相关许可证及其他情况的检查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各类影剧院、录像厅（室）、游艺厅（室）、舞厅、音乐厅</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卫生健康</w:t>
            </w:r>
            <w:r>
              <w:rPr>
                <w:rFonts w:hint="eastAsia" w:ascii="宋体" w:hAnsi="宋体" w:cs="宋体"/>
                <w:color w:val="auto"/>
                <w:kern w:val="0"/>
                <w:sz w:val="22"/>
                <w:szCs w:val="22"/>
                <w:lang w:val="en-US" w:eastAsia="zh-CN" w:bidi="ar"/>
              </w:rPr>
              <w:t>局</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r>
              <w:rPr>
                <w:rFonts w:hint="eastAsia" w:ascii="宋体" w:hAnsi="Times New Roman" w:eastAsia="宋体" w:cs="宋体"/>
                <w:color w:val="auto"/>
                <w:kern w:val="2"/>
                <w:sz w:val="22"/>
                <w:szCs w:val="22"/>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6"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影剧院、录像厅（室）、游艺厅（室）、舞厅、音乐厅卫生状况及卫生制度的检查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81"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26</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经营性互联网文化单位的检查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经营性互联网文化单位经营情况的检查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经营性互联网文化单位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left"/>
              <w:rPr>
                <w:rFonts w:hint="eastAsia" w:ascii="宋体" w:hAnsi="Times New Roman" w:eastAsia="宋体" w:cs="宋体"/>
                <w:color w:val="auto"/>
                <w:kern w:val="2"/>
                <w:sz w:val="22"/>
                <w:szCs w:val="22"/>
              </w:rPr>
            </w:pPr>
            <w:r>
              <w:rPr>
                <w:rFonts w:hint="eastAsia" w:ascii="宋体" w:hAnsi="Times New Roman" w:eastAsia="宋体" w:cs="宋体"/>
                <w:color w:val="auto"/>
                <w:kern w:val="2"/>
                <w:sz w:val="22"/>
                <w:szCs w:val="22"/>
                <w:lang w:val="en-US" w:eastAsia="zh-CN" w:bidi="ar"/>
              </w:rPr>
              <w:t>根据《云南省人民政府关于简政放权取消和调整部分省级行政审批项目的决定》（云政发[2013]44号）该行政权力已于2013年下放至县（市），</w:t>
            </w:r>
            <w:r>
              <w:rPr>
                <w:rFonts w:hint="eastAsia" w:ascii="宋体" w:hAnsi="Times New Roman" w:cs="宋体"/>
                <w:color w:val="auto"/>
                <w:kern w:val="2"/>
                <w:sz w:val="22"/>
                <w:szCs w:val="22"/>
                <w:lang w:val="en-US" w:eastAsia="zh-CN" w:bidi="ar"/>
              </w:rPr>
              <w:t>州</w:t>
            </w:r>
            <w:r>
              <w:rPr>
                <w:rFonts w:hint="eastAsia" w:ascii="宋体" w:hAnsi="Times New Roman" w:eastAsia="宋体" w:cs="宋体"/>
                <w:color w:val="auto"/>
                <w:kern w:val="2"/>
                <w:sz w:val="22"/>
                <w:szCs w:val="22"/>
                <w:lang w:val="en-US" w:eastAsia="zh-CN" w:bidi="ar"/>
              </w:rPr>
              <w:t>级部门指导县（市）开展抽查工作。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3"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27</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营业性演出经营活动从业单位的检查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营业性演出经营活动从业单位取得许可证情况的检查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营业性演出从业单位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营业性演出经营活动从业单位经营情况的检查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28</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艺术品经营单位的检查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艺术品经营单位从事艺术品经营活动的检查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艺术品经营单位</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2"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艺术品经营单位备案情况的检查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29</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旅行社行业监管</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旅行社取得许可证情况的检查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旅行社</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4"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旅行社经营情况的检查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30</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通过网络经营旅行业务抽查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通过网络经营旅行社业务抽查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通过网络经营旅行社业务的企业及平台</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文化和旅游局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9"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发布旅游经营信息网站抽查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发布旅游经营信息的网站</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4"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31</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工业企业安全生产情况的检查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工业企业取得安全生产许可证情况的检查</w:t>
            </w:r>
          </w:p>
        </w:tc>
        <w:tc>
          <w:tcPr>
            <w:tcW w:w="22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各类工业企业</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应急管理局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5"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工业企业安全生产有关制度设置、落实等情况的检查</w:t>
            </w:r>
          </w:p>
        </w:tc>
        <w:tc>
          <w:tcPr>
            <w:tcW w:w="22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32</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企业年度报告抽查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年度报告公示信息的检查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各类企业年报信息</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人力资源社会保障局、</w:t>
            </w:r>
            <w:r>
              <w:rPr>
                <w:rFonts w:hint="eastAsia" w:ascii="宋体" w:hAnsi="宋体" w:cs="宋体"/>
                <w:color w:val="auto"/>
                <w:kern w:val="0"/>
                <w:sz w:val="22"/>
                <w:szCs w:val="22"/>
                <w:lang w:val="en-US" w:eastAsia="zh-CN" w:bidi="ar"/>
              </w:rPr>
              <w:t>县工业和商务科技局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6"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33</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机动车排放检验机构检测情况抽查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机动车排放检验情况和设备使用情况检查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机动车排放检验单位</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州生态环境局盈江分局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34</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国家常规统计调查、部门统计调查、地方统计调查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调查对象依法设置原始记录、统计台账情况检查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统计调查对象</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统计局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7" w:hRule="atLeast"/>
        </w:trPr>
        <w:tc>
          <w:tcPr>
            <w:tcW w:w="77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35</w:t>
            </w:r>
          </w:p>
        </w:tc>
        <w:tc>
          <w:tcPr>
            <w:tcW w:w="160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常压液体危险货物从业单位监督检查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常压液体危险货物罐车生产企业检查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常压液体危险货物罐车生产企业</w:t>
            </w:r>
          </w:p>
        </w:tc>
        <w:tc>
          <w:tcPr>
            <w:tcW w:w="180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8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交通运输局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应急管理局</w:t>
            </w:r>
          </w:p>
        </w:tc>
        <w:tc>
          <w:tcPr>
            <w:tcW w:w="138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4" w:hRule="atLeast"/>
        </w:trPr>
        <w:tc>
          <w:tcPr>
            <w:tcW w:w="774"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常压液体危险货物罐体检验机构检查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常压液体危险货物罐体检验机构</w:t>
            </w:r>
          </w:p>
        </w:tc>
        <w:tc>
          <w:tcPr>
            <w:tcW w:w="180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36</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涉嫌税收违法当事人的抽查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涉嫌税收违法的纳税人、扣缴义务人、和其他涉税当事人的检查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涉嫌税收违法当事人</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税务局</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公安局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trPr>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Times New Roman" w:eastAsia="宋体" w:cs="宋体"/>
                <w:color w:val="auto"/>
                <w:kern w:val="2"/>
                <w:sz w:val="22"/>
                <w:szCs w:val="22"/>
                <w:lang w:val="en-US"/>
              </w:rPr>
            </w:pPr>
            <w:r>
              <w:rPr>
                <w:rFonts w:hint="eastAsia" w:ascii="宋体" w:hAnsi="宋体" w:cs="宋体"/>
                <w:color w:val="auto"/>
                <w:kern w:val="0"/>
                <w:sz w:val="22"/>
                <w:szCs w:val="22"/>
                <w:lang w:val="en-US" w:eastAsia="zh-CN" w:bidi="ar"/>
              </w:rPr>
              <w:t>37</w:t>
            </w:r>
          </w:p>
        </w:tc>
        <w:tc>
          <w:tcPr>
            <w:tcW w:w="16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消防安全检查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使用领域消防产品质量监督检查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eastAsia="宋体" w:cs="宋体"/>
                <w:color w:val="auto"/>
                <w:kern w:val="0"/>
                <w:sz w:val="22"/>
                <w:szCs w:val="22"/>
                <w:lang w:val="en-US" w:eastAsia="zh-CN" w:bidi="ar"/>
              </w:rPr>
              <w:t>使用领域消防产品</w:t>
            </w:r>
          </w:p>
        </w:tc>
        <w:tc>
          <w:tcPr>
            <w:tcW w:w="180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县消防救援大队</w:t>
            </w:r>
          </w:p>
        </w:tc>
        <w:tc>
          <w:tcPr>
            <w:tcW w:w="186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4" w:hRule="atLeast"/>
        </w:trPr>
        <w:tc>
          <w:tcPr>
            <w:tcW w:w="774"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0"/>
                <w:sz w:val="22"/>
                <w:szCs w:val="22"/>
                <w:lang w:val="en-US"/>
              </w:rPr>
            </w:pPr>
            <w:r>
              <w:rPr>
                <w:rFonts w:hint="eastAsia" w:ascii="宋体" w:hAnsi="宋体" w:cs="宋体"/>
                <w:color w:val="auto"/>
                <w:kern w:val="0"/>
                <w:sz w:val="22"/>
                <w:szCs w:val="22"/>
                <w:lang w:val="en-US" w:eastAsia="zh-CN" w:bidi="ar"/>
              </w:rPr>
              <w:t>38</w:t>
            </w:r>
          </w:p>
        </w:tc>
        <w:tc>
          <w:tcPr>
            <w:tcW w:w="1605" w:type="dxa"/>
            <w:vMerge w:val="restart"/>
            <w:tcBorders>
              <w:top w:val="nil"/>
              <w:left w:val="nil"/>
              <w:bottom w:val="nil"/>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Times New Roman" w:eastAsia="宋体" w:cs="宋体"/>
                <w:color w:val="auto"/>
                <w:kern w:val="2"/>
                <w:sz w:val="22"/>
                <w:szCs w:val="22"/>
                <w:lang w:val="en-US" w:eastAsia="zh-CN" w:bidi="ar"/>
              </w:rPr>
              <w:t>建设工程质量安全监督检查</w:t>
            </w:r>
          </w:p>
        </w:tc>
        <w:tc>
          <w:tcPr>
            <w:tcW w:w="409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建设工程质量监督检查</w:t>
            </w:r>
          </w:p>
        </w:tc>
        <w:tc>
          <w:tcPr>
            <w:tcW w:w="2235"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建筑企业</w:t>
            </w:r>
          </w:p>
        </w:tc>
        <w:tc>
          <w:tcPr>
            <w:tcW w:w="180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4" w:hRule="atLeast"/>
        </w:trPr>
        <w:tc>
          <w:tcPr>
            <w:tcW w:w="774"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建筑工程类施工企业安全生产许可证</w:t>
            </w:r>
          </w:p>
        </w:tc>
        <w:tc>
          <w:tcPr>
            <w:tcW w:w="223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建筑企业</w:t>
            </w:r>
          </w:p>
        </w:tc>
        <w:tc>
          <w:tcPr>
            <w:tcW w:w="1806"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trPr>
        <w:tc>
          <w:tcPr>
            <w:tcW w:w="774" w:type="dxa"/>
            <w:vMerge w:val="continue"/>
            <w:tcBorders>
              <w:top w:val="nil"/>
              <w:left w:val="single" w:color="000000"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建筑工程施工安全监督管理</w:t>
            </w:r>
          </w:p>
        </w:tc>
        <w:tc>
          <w:tcPr>
            <w:tcW w:w="2235" w:type="dxa"/>
            <w:tcBorders>
              <w:top w:val="single" w:color="auto" w:sz="4" w:space="0"/>
              <w:left w:val="nil"/>
              <w:bottom w:val="single" w:color="auto"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建筑企业</w:t>
            </w:r>
          </w:p>
        </w:tc>
        <w:tc>
          <w:tcPr>
            <w:tcW w:w="1806"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住房和城乡建设局</w:t>
            </w:r>
          </w:p>
        </w:tc>
        <w:tc>
          <w:tcPr>
            <w:tcW w:w="1860"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2"/>
                <w:szCs w:val="22"/>
              </w:rPr>
            </w:pPr>
            <w:r>
              <w:rPr>
                <w:rFonts w:hint="eastAsia" w:ascii="宋体" w:hAnsi="宋体" w:cs="宋体"/>
                <w:color w:val="auto"/>
                <w:kern w:val="0"/>
                <w:sz w:val="22"/>
                <w:szCs w:val="22"/>
                <w:lang w:val="en-US" w:eastAsia="zh-CN" w:bidi="ar"/>
              </w:rPr>
              <w:t>县</w:t>
            </w:r>
            <w:r>
              <w:rPr>
                <w:rFonts w:hint="eastAsia" w:ascii="宋体" w:hAnsi="宋体" w:eastAsia="宋体" w:cs="宋体"/>
                <w:color w:val="auto"/>
                <w:kern w:val="0"/>
                <w:sz w:val="22"/>
                <w:szCs w:val="22"/>
                <w:lang w:val="en-US" w:eastAsia="zh-CN" w:bidi="ar"/>
              </w:rPr>
              <w:t>市场监管局</w:t>
            </w:r>
          </w:p>
        </w:tc>
        <w:tc>
          <w:tcPr>
            <w:tcW w:w="1380" w:type="dxa"/>
            <w:vMerge w:val="continue"/>
            <w:tcBorders>
              <w:top w:val="nil"/>
              <w:left w:val="nil"/>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7" w:hRule="atLeast"/>
        </w:trPr>
        <w:tc>
          <w:tcPr>
            <w:tcW w:w="774" w:type="dxa"/>
            <w:vMerge w:val="continue"/>
            <w:tcBorders>
              <w:top w:val="nil"/>
              <w:left w:val="single" w:color="000000" w:sz="4" w:space="0"/>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605" w:type="dxa"/>
            <w:vMerge w:val="continue"/>
            <w:tcBorders>
              <w:top w:val="nil"/>
              <w:left w:val="nil"/>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409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建设工程质量检测活动的监督检查</w:t>
            </w:r>
          </w:p>
        </w:tc>
        <w:tc>
          <w:tcPr>
            <w:tcW w:w="223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lang w:val="en-US" w:eastAsia="zh-CN" w:bidi="ar"/>
              </w:rPr>
              <w:t>检测机构</w:t>
            </w:r>
          </w:p>
        </w:tc>
        <w:tc>
          <w:tcPr>
            <w:tcW w:w="1806" w:type="dxa"/>
            <w:vMerge w:val="continue"/>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860" w:type="dxa"/>
            <w:vMerge w:val="continue"/>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c>
          <w:tcPr>
            <w:tcW w:w="1380" w:type="dxa"/>
            <w:vMerge w:val="continue"/>
            <w:tcBorders>
              <w:top w:val="nil"/>
              <w:left w:val="nil"/>
              <w:bottom w:val="single" w:color="auto"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cs="Times New Roman"/>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trPr>
        <w:tc>
          <w:tcPr>
            <w:tcW w:w="77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Times New Roman" w:eastAsia="宋体" w:cs="宋体"/>
                <w:color w:val="auto"/>
                <w:kern w:val="2"/>
                <w:sz w:val="22"/>
                <w:szCs w:val="22"/>
                <w:lang w:val="en-US"/>
              </w:rPr>
            </w:pPr>
            <w:r>
              <w:rPr>
                <w:rFonts w:hint="eastAsia" w:ascii="宋体" w:hAnsi="宋体" w:cs="宋体"/>
                <w:color w:val="auto"/>
                <w:kern w:val="0"/>
                <w:sz w:val="22"/>
                <w:szCs w:val="22"/>
                <w:lang w:val="en-US" w:eastAsia="zh-CN" w:bidi="ar"/>
              </w:rPr>
              <w:t>39</w:t>
            </w:r>
          </w:p>
        </w:tc>
        <w:tc>
          <w:tcPr>
            <w:tcW w:w="160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道路运输企业安全生产</w:t>
            </w:r>
            <w:r>
              <w:rPr>
                <w:rFonts w:hint="eastAsia" w:ascii="宋体" w:hAnsi="宋体" w:eastAsia="宋体" w:cs="宋体"/>
                <w:color w:val="auto"/>
                <w:kern w:val="0"/>
                <w:sz w:val="22"/>
                <w:szCs w:val="22"/>
                <w:lang w:val="en-US" w:eastAsia="zh-CN" w:bidi="ar"/>
              </w:rPr>
              <w:t>情况抽查</w:t>
            </w:r>
          </w:p>
        </w:tc>
        <w:tc>
          <w:tcPr>
            <w:tcW w:w="40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suppressLineNumbers w:val="0"/>
              <w:bidi w:val="0"/>
              <w:spacing w:before="0" w:beforeAutospacing="0" w:after="0" w:afterAutospacing="0"/>
              <w:ind w:left="0" w:right="0"/>
              <w:rPr>
                <w:rFonts w:hint="default"/>
                <w:color w:val="auto"/>
                <w:lang w:val="en-US" w:eastAsia="zh-CN"/>
              </w:rPr>
            </w:pPr>
            <w:r>
              <w:rPr>
                <w:rFonts w:hint="eastAsia"/>
                <w:color w:val="auto"/>
                <w:lang w:val="en-US" w:eastAsia="zh-CN"/>
              </w:rPr>
              <w:t>道路运输企业安全生产工作落实情况检查</w:t>
            </w:r>
          </w:p>
        </w:tc>
        <w:tc>
          <w:tcPr>
            <w:tcW w:w="22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各道路运输企业</w:t>
            </w:r>
          </w:p>
        </w:tc>
        <w:tc>
          <w:tcPr>
            <w:tcW w:w="1806"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县道路运输管理局</w:t>
            </w:r>
          </w:p>
        </w:tc>
        <w:tc>
          <w:tcPr>
            <w:tcW w:w="1860" w:type="dxa"/>
            <w:tcBorders>
              <w:top w:val="single" w:color="auto" w:sz="4" w:space="0"/>
              <w:left w:val="nil"/>
              <w:bottom w:val="single" w:color="000000" w:sz="4" w:space="0"/>
              <w:right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Times New Roman" w:eastAsia="宋体" w:cs="宋体"/>
                <w:color w:val="auto"/>
                <w:kern w:val="2"/>
                <w:sz w:val="22"/>
                <w:szCs w:val="22"/>
              </w:rPr>
            </w:pPr>
            <w:r>
              <w:rPr>
                <w:rFonts w:hint="eastAsia" w:ascii="宋体" w:hAnsi="宋体" w:cs="宋体"/>
                <w:color w:val="auto"/>
                <w:kern w:val="0"/>
                <w:sz w:val="22"/>
                <w:szCs w:val="22"/>
                <w:lang w:val="en-US" w:eastAsia="zh-CN" w:bidi="ar"/>
              </w:rPr>
              <w:t>县交通运输局、县</w:t>
            </w:r>
            <w:r>
              <w:rPr>
                <w:rFonts w:hint="eastAsia" w:ascii="宋体" w:hAnsi="宋体" w:eastAsia="宋体" w:cs="宋体"/>
                <w:color w:val="auto"/>
                <w:kern w:val="0"/>
                <w:sz w:val="22"/>
                <w:szCs w:val="22"/>
                <w:lang w:val="en-US" w:eastAsia="zh-CN" w:bidi="ar"/>
              </w:rPr>
              <w:t>市场监管局</w:t>
            </w:r>
          </w:p>
        </w:tc>
        <w:tc>
          <w:tcPr>
            <w:tcW w:w="138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Times New Roman" w:eastAsia="宋体" w:cs="宋体"/>
                <w:color w:val="auto"/>
                <w:kern w:val="2"/>
                <w:sz w:val="22"/>
                <w:szCs w:val="22"/>
                <w:lang w:eastAsia="zh-CN"/>
              </w:rPr>
            </w:pPr>
            <w:r>
              <w:rPr>
                <w:rFonts w:hint="eastAsia" w:ascii="宋体" w:hAnsi="Times New Roman" w:cs="宋体"/>
                <w:color w:val="auto"/>
                <w:kern w:val="2"/>
                <w:sz w:val="22"/>
                <w:szCs w:val="22"/>
                <w:lang w:eastAsia="zh-CN"/>
              </w:rPr>
              <w:t>新增事项</w:t>
            </w:r>
          </w:p>
        </w:tc>
      </w:tr>
    </w:tbl>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ˎ̥">
    <w:altName w:val="Segoe Print"/>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C3604"/>
    <w:rsid w:val="4FFB6AFE"/>
    <w:rsid w:val="7A1C360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keepNext w:val="0"/>
      <w:keepLines w:val="0"/>
      <w:widowControl w:val="0"/>
      <w:suppressLineNumbers w:val="0"/>
      <w:pBdr>
        <w:top w:val="none" w:color="auto" w:sz="0" w:space="0"/>
        <w:left w:val="none" w:color="auto" w:sz="0" w:space="0"/>
        <w:bottom w:val="single" w:color="auto" w:sz="6" w:space="1"/>
        <w:right w:val="none" w:color="auto" w:sz="0" w:space="0"/>
      </w:pBdr>
      <w:snapToGrid w:val="0"/>
      <w:spacing w:before="0" w:beforeAutospacing="0" w:after="0" w:afterAutospacing="0"/>
      <w:ind w:left="0" w:right="0"/>
      <w:jc w:val="center"/>
    </w:pPr>
    <w:rPr>
      <w:rFonts w:hint="default" w:ascii="Times New Roman" w:hAnsi="Times New Roman" w:eastAsia="宋体" w:cs="Times New Roman"/>
      <w:kern w:val="2"/>
      <w:sz w:val="18"/>
      <w:szCs w:val="18"/>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2020-10-23T02:36:00Z</dcterms:created>
  <dc:creator>Administrator</dc:creator>
  <cp:lastModifiedBy>Administrator</cp:lastModifiedBy>
  <dcterms:modified xsi:type="dcterms:W3CDTF">2020-10-23T02:43:16Z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