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suppressLineNumbers w:val="0"/>
        <w:spacing w:beforeLines="0" w:beforeAutospacing="0" w:afterLines="0" w:afterAutospacing="0" w:line="560" w:lineRule="exact"/>
        <w:ind w:left="0" w:right="0" w:rightChars="0" w:firstLine="640" w:firstLineChars="200"/>
        <w:jc w:val="left"/>
        <w:rPr>
          <w:rFonts w:hint="eastAsia" w:ascii="方正小标宋_GBK" w:hAnsi="方正小标宋_GBK" w:eastAsia="方正小标宋_GBK" w:cs="方正小标宋_GBK"/>
          <w:b w:val="0"/>
          <w:kern w:val="2"/>
          <w:sz w:val="44"/>
          <w:szCs w:val="44"/>
          <w:lang w:val="en-US" w:eastAsia="zh-CN"/>
        </w:rPr>
      </w:pPr>
      <w:r>
        <w:rPr>
          <w:rFonts w:hint="eastAsia" w:ascii="方正小标宋_GBK" w:hAnsi="方正小标宋_GBK" w:eastAsia="方正小标宋_GBK" w:cs="方正小标宋_GBK"/>
          <w:b w:val="0"/>
          <w:kern w:val="2"/>
          <w:sz w:val="44"/>
          <w:szCs w:val="44"/>
          <w:lang w:val="en-US" w:eastAsia="zh-CN"/>
        </w:rPr>
        <w:t>附件：</w:t>
      </w:r>
      <w:bookmarkStart w:id="0" w:name="_GoBack"/>
      <w:bookmarkEnd w:id="0"/>
    </w:p>
    <w:p>
      <w:pPr>
        <w:rPr>
          <w:rFonts w:hint="eastAsia" w:ascii="方正小标宋_GBK" w:hAnsi="方正小标宋_GBK" w:eastAsia="方正小标宋_GBK" w:cs="方正小标宋_GBK"/>
          <w:b w:val="0"/>
          <w:kern w:val="2"/>
          <w:sz w:val="40"/>
          <w:szCs w:val="40"/>
          <w:lang w:val="en-US" w:eastAsia="zh-CN" w:bidi="ar"/>
        </w:rPr>
      </w:pPr>
      <w:r>
        <w:rPr>
          <w:rFonts w:hint="eastAsia" w:ascii="宋体" w:hAnsi="宋体" w:eastAsia="宋体" w:cs="宋体"/>
          <w:b/>
          <w:kern w:val="2"/>
          <w:sz w:val="40"/>
          <w:szCs w:val="40"/>
          <w:lang w:val="en-US" w:eastAsia="zh-CN" w:bidi="ar"/>
        </w:rPr>
        <w:t xml:space="preserve">        </w:t>
      </w:r>
      <w:r>
        <w:rPr>
          <w:rFonts w:hint="eastAsia" w:ascii="方正小标宋_GBK" w:hAnsi="方正小标宋_GBK" w:eastAsia="方正小标宋_GBK" w:cs="方正小标宋_GBK"/>
          <w:b w:val="0"/>
          <w:kern w:val="2"/>
          <w:sz w:val="40"/>
          <w:szCs w:val="40"/>
          <w:lang w:val="en-US" w:eastAsia="zh-CN" w:bidi="ar"/>
        </w:rPr>
        <w:t>2020年度盈江县市场监管领域部门联合双随机抽查工作计划</w:t>
      </w:r>
    </w:p>
    <w:p>
      <w:pPr>
        <w:keepNext w:val="0"/>
        <w:keepLines w:val="0"/>
        <w:widowControl/>
        <w:suppressLineNumbers w:val="0"/>
        <w:spacing w:before="0" w:beforeAutospacing="0" w:after="0" w:afterAutospacing="0" w:line="700" w:lineRule="exact"/>
        <w:ind w:left="0" w:leftChars="0" w:right="0" w:rightChars="0" w:firstLine="320" w:firstLineChars="100"/>
        <w:jc w:val="both"/>
        <w:textAlignment w:val="center"/>
      </w:pPr>
      <w:r>
        <w:rPr>
          <w:rFonts w:hint="eastAsia" w:ascii="方正黑体_GBK" w:hAnsi="方正黑体_GBK" w:eastAsia="方正黑体_GBK" w:cs="方正黑体_GBK"/>
          <w:b w:val="0"/>
          <w:kern w:val="2"/>
          <w:sz w:val="32"/>
          <w:szCs w:val="32"/>
          <w:lang w:val="en-US" w:eastAsia="zh-CN" w:bidi="ar"/>
        </w:rPr>
        <w:t>一、落实省级、州级抽查工作计划项目</w:t>
      </w:r>
    </w:p>
    <w:tbl>
      <w:tblPr>
        <w:tblStyle w:val="6"/>
        <w:tblpPr w:leftFromText="180" w:rightFromText="180" w:vertAnchor="text" w:horzAnchor="page" w:tblpX="1300" w:tblpY="149"/>
        <w:tblOverlap w:val="never"/>
        <w:tblW w:w="14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5"/>
        <w:gridCol w:w="981"/>
        <w:gridCol w:w="1072"/>
        <w:gridCol w:w="1105"/>
        <w:gridCol w:w="3840"/>
        <w:gridCol w:w="1197"/>
        <w:gridCol w:w="993"/>
        <w:gridCol w:w="1350"/>
        <w:gridCol w:w="1065"/>
        <w:gridCol w:w="1362"/>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5" w:hRule="atLeast"/>
        </w:trPr>
        <w:tc>
          <w:tcPr>
            <w:tcW w:w="745"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序号</w:t>
            </w:r>
          </w:p>
        </w:tc>
        <w:tc>
          <w:tcPr>
            <w:tcW w:w="98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发起（牵头）部门</w:t>
            </w:r>
          </w:p>
        </w:tc>
        <w:tc>
          <w:tcPr>
            <w:tcW w:w="1072"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配合部门</w:t>
            </w:r>
          </w:p>
        </w:tc>
        <w:tc>
          <w:tcPr>
            <w:tcW w:w="494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计划任务名称</w:t>
            </w:r>
          </w:p>
        </w:tc>
        <w:tc>
          <w:tcPr>
            <w:tcW w:w="1197"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i w:val="0"/>
                <w:color w:val="auto"/>
                <w:kern w:val="0"/>
                <w:sz w:val="20"/>
                <w:szCs w:val="20"/>
                <w:lang w:val="en-US" w:eastAsia="zh-CN" w:bidi="ar"/>
              </w:rPr>
              <w:t>检查对象</w:t>
            </w:r>
          </w:p>
        </w:tc>
        <w:tc>
          <w:tcPr>
            <w:tcW w:w="993"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任务时间</w:t>
            </w:r>
          </w:p>
        </w:tc>
        <w:tc>
          <w:tcPr>
            <w:tcW w:w="1350"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i w:val="0"/>
                <w:color w:val="auto"/>
                <w:kern w:val="2"/>
                <w:sz w:val="20"/>
                <w:szCs w:val="20"/>
                <w:lang w:val="en-US" w:eastAsia="zh-CN" w:bidi="ar"/>
              </w:rPr>
              <w:t>抽查比例/户数</w:t>
            </w:r>
          </w:p>
        </w:tc>
        <w:tc>
          <w:tcPr>
            <w:tcW w:w="1065"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检查方式</w:t>
            </w:r>
          </w:p>
        </w:tc>
        <w:tc>
          <w:tcPr>
            <w:tcW w:w="1362"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i w:val="0"/>
                <w:color w:val="auto"/>
                <w:kern w:val="0"/>
                <w:sz w:val="20"/>
                <w:szCs w:val="20"/>
                <w:lang w:val="en-US" w:eastAsia="zh-CN" w:bidi="ar"/>
              </w:rPr>
              <w:t>实施检查层级</w:t>
            </w:r>
          </w:p>
        </w:tc>
        <w:tc>
          <w:tcPr>
            <w:tcW w:w="900"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745" w:type="dxa"/>
            <w:vMerge w:val="continue"/>
            <w:tcBorders>
              <w:top w:val="nil"/>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81"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抽查领域</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抽查事项</w:t>
            </w:r>
          </w:p>
        </w:tc>
        <w:tc>
          <w:tcPr>
            <w:tcW w:w="1197" w:type="dxa"/>
            <w:vMerge w:val="continue"/>
            <w:tcBorders>
              <w:top w:val="single" w:color="auto"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93" w:type="dxa"/>
            <w:vMerge w:val="continue"/>
            <w:tcBorders>
              <w:top w:val="single" w:color="auto"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top w:val="single" w:color="auto"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top w:val="single" w:color="auto"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top w:val="single" w:color="auto"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top w:val="single" w:color="auto"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县发展和改革局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县市场监督管理局、县住房和城乡建设局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工程咨询单位抽查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工程咨询单位备案信息一致性及其他情况</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工程咨询单位</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lang w:eastAsia="zh-CN"/>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6"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2</w:t>
            </w:r>
          </w:p>
        </w:tc>
        <w:tc>
          <w:tcPr>
            <w:tcW w:w="981" w:type="dxa"/>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县公安局</w:t>
            </w:r>
          </w:p>
        </w:tc>
        <w:tc>
          <w:tcPr>
            <w:tcW w:w="1072" w:type="dxa"/>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县市场监督管理局</w:t>
            </w:r>
          </w:p>
        </w:tc>
        <w:tc>
          <w:tcPr>
            <w:tcW w:w="11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0"/>
                <w:sz w:val="20"/>
                <w:szCs w:val="20"/>
              </w:rPr>
            </w:pPr>
            <w:r>
              <w:rPr>
                <w:rFonts w:hint="eastAsia" w:ascii="宋体" w:hAnsi="宋体" w:eastAsia="宋体" w:cs="宋体"/>
                <w:color w:val="auto"/>
                <w:kern w:val="2"/>
                <w:sz w:val="20"/>
                <w:szCs w:val="20"/>
                <w:lang w:val="en-US" w:eastAsia="zh-CN" w:bidi="ar"/>
              </w:rPr>
              <w:t>民用枪支经营使用单位抽查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1.民用枪支配售使用单位使用枪支情况检查</w:t>
            </w:r>
          </w:p>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2.营业执照（登记证）规范使用检查</w:t>
            </w:r>
          </w:p>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i w:val="0"/>
                <w:color w:val="auto"/>
                <w:kern w:val="0"/>
                <w:sz w:val="20"/>
                <w:szCs w:val="20"/>
              </w:rPr>
            </w:pPr>
            <w:r>
              <w:rPr>
                <w:rFonts w:hint="eastAsia" w:ascii="宋体" w:hAnsi="宋体" w:eastAsia="宋体" w:cs="宋体"/>
                <w:color w:val="auto"/>
                <w:kern w:val="2"/>
                <w:sz w:val="20"/>
                <w:szCs w:val="20"/>
                <w:lang w:val="en-US" w:eastAsia="zh-CN" w:bidi="ar"/>
              </w:rPr>
              <w:t>3.法定代表人，（负责人）任职情况检查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民用枪支经营使用单位</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3</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p>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r>
              <w:rPr>
                <w:rFonts w:hint="eastAsia" w:ascii="宋体" w:hAnsi="宋体" w:eastAsia="宋体" w:cs="宋体"/>
                <w:color w:val="auto"/>
                <w:kern w:val="2"/>
                <w:sz w:val="20"/>
                <w:szCs w:val="20"/>
                <w:lang w:val="en-US" w:eastAsia="zh-CN" w:bidi="ar"/>
              </w:rPr>
              <w:t>县公安局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r>
              <w:rPr>
                <w:rFonts w:hint="eastAsia" w:ascii="宋体" w:hAnsi="宋体" w:eastAsia="宋体" w:cs="宋体"/>
                <w:color w:val="auto"/>
                <w:kern w:val="2"/>
                <w:sz w:val="20"/>
                <w:szCs w:val="20"/>
                <w:lang w:val="en-US" w:eastAsia="zh-CN" w:bidi="ar"/>
              </w:rPr>
              <w:t>县市场监督管理局</w:t>
            </w:r>
          </w:p>
        </w:tc>
        <w:tc>
          <w:tcPr>
            <w:tcW w:w="110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爆破作业单位抽查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1.民爆物品储存情况检查</w:t>
            </w:r>
          </w:p>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2.爆破作业单位有关制度情况的检查</w:t>
            </w:r>
          </w:p>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3.爆破作业单位作业情况检查</w:t>
            </w:r>
          </w:p>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4.营业执照（登记证）规范使用检查</w:t>
            </w:r>
          </w:p>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5.经营（驻地）期限检查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爆破作业单位</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4</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县财政局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县市场监督管理局、县税务局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代理记账机构抽查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代理记账机构监督</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代理记账机构</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实地检查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5</w:t>
            </w:r>
          </w:p>
        </w:tc>
        <w:tc>
          <w:tcPr>
            <w:tcW w:w="981"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县工业和商务科技局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单用途商业预付卡</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单用途商业预付卡业务检查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零售业、住宿和餐饮业、居民服务业发卡企业</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4"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6</w:t>
            </w:r>
          </w:p>
        </w:tc>
        <w:tc>
          <w:tcPr>
            <w:tcW w:w="981"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县税务局、县市场监督管理局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汽车（新车）销售</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新车销售市场监管</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新车销售市场经营主体</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78"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7</w:t>
            </w:r>
          </w:p>
        </w:tc>
        <w:tc>
          <w:tcPr>
            <w:tcW w:w="981"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县教育体育局</w:t>
            </w:r>
          </w:p>
        </w:tc>
        <w:tc>
          <w:tcPr>
            <w:tcW w:w="1072"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中小学教育装备产品检查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中小学合成材料面层运动场地、校服</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各类学校</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书面检查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省级统一抽取检查对象，由省级将检查任务分配至州（市）教体局、市场监管局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6"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8</w:t>
            </w:r>
          </w:p>
        </w:tc>
        <w:tc>
          <w:tcPr>
            <w:tcW w:w="981"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校外培训机构办学情况抽查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校外培训机构招生、办学情况检查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校外培训机构</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书面检查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9</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县司法局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县律师行业</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对律师事务所及其律师执业经营活动的监督检查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全县行政区域内经许可设立的律师事务所及其执业律师</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实地检查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88"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10</w:t>
            </w:r>
          </w:p>
        </w:tc>
        <w:tc>
          <w:tcPr>
            <w:tcW w:w="981"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县人力资源和社会保障局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县住房和城乡建设局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各类用人单位</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工资支付情况</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各类用人单位</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随机抽查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州级统一抽取检查对象，将任务分配至县相关部门组织实施。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7"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11</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劳务派遣经营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许可和依法经营情况</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劳务派遣经营单位</w:t>
            </w:r>
          </w:p>
        </w:tc>
        <w:tc>
          <w:tcPr>
            <w:tcW w:w="993"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随机抽查</w:t>
            </w:r>
          </w:p>
        </w:tc>
        <w:tc>
          <w:tcPr>
            <w:tcW w:w="136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州级统一抽取检查对象，由州级将检查任务分配至县（市）相关部门组织实施。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12</w:t>
            </w:r>
          </w:p>
        </w:tc>
        <w:tc>
          <w:tcPr>
            <w:tcW w:w="981"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州生态环境局盈江分局</w:t>
            </w:r>
          </w:p>
        </w:tc>
        <w:tc>
          <w:tcPr>
            <w:tcW w:w="107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涉消耗臭氧层物质（ODS）的生产、使用、销售、维</w:t>
            </w:r>
            <w:r>
              <w:rPr>
                <w:rFonts w:hint="eastAsia" w:ascii="宋体" w:hAnsi="宋体" w:eastAsia="宋体" w:cs="宋体"/>
                <w:i w:val="0"/>
                <w:color w:val="auto"/>
                <w:kern w:val="2"/>
                <w:sz w:val="20"/>
                <w:szCs w:val="20"/>
                <w:lang w:val="en-US" w:eastAsia="zh-CN" w:bidi="ar"/>
              </w:rPr>
              <w:br w:type="textWrapping"/>
            </w:r>
            <w:r>
              <w:rPr>
                <w:rFonts w:hint="eastAsia" w:ascii="宋体" w:hAnsi="宋体" w:eastAsia="宋体" w:cs="宋体"/>
                <w:i w:val="0"/>
                <w:color w:val="auto"/>
                <w:kern w:val="2"/>
                <w:sz w:val="20"/>
                <w:szCs w:val="20"/>
                <w:lang w:val="en-US" w:eastAsia="zh-CN" w:bidi="ar"/>
              </w:rPr>
              <w:t>修、回收、销毁及原料用途等企业和单位的监管</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 xml:space="preserve">消耗臭氧层物质含氢氯氟烃（HCFCs）年度生产配额、使用配额（100 吨及以上）和使用备案（100 吨以下）情况的检查                                            </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HCFCs 的生产企业和使用企业</w:t>
            </w:r>
          </w:p>
        </w:tc>
        <w:tc>
          <w:tcPr>
            <w:tcW w:w="993"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此项工作发起部门为省级，各县市分局按省级抽查比例10%的要求对我县</w:t>
            </w:r>
            <w:r>
              <w:rPr>
                <w:rFonts w:hint="eastAsia" w:ascii="宋体" w:hAnsi="宋体" w:eastAsia="宋体" w:cs="宋体"/>
                <w:i w:val="0"/>
                <w:color w:val="auto"/>
                <w:kern w:val="2"/>
                <w:sz w:val="20"/>
                <w:szCs w:val="20"/>
                <w:lang w:val="en-US" w:eastAsia="zh-CN" w:bidi="ar"/>
              </w:rPr>
              <w:t>涉消耗臭氧层物质企业开展检查。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13</w:t>
            </w:r>
          </w:p>
        </w:tc>
        <w:tc>
          <w:tcPr>
            <w:tcW w:w="981" w:type="dxa"/>
            <w:vMerge w:val="continue"/>
            <w:tcBorders>
              <w:left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 xml:space="preserve">对销售 ODS 企业和单位备案情况的检查                 </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销售 ODS 企业和单位</w:t>
            </w:r>
          </w:p>
        </w:tc>
        <w:tc>
          <w:tcPr>
            <w:tcW w:w="993"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14</w:t>
            </w:r>
          </w:p>
        </w:tc>
        <w:tc>
          <w:tcPr>
            <w:tcW w:w="981" w:type="dxa"/>
            <w:vMerge w:val="continue"/>
            <w:tcBorders>
              <w:left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both"/>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 xml:space="preserve">对含 ODS 的制冷设备、制冷系统或者灭火系统的维修、报废处理，ODS 回收、再生利用或者销毁等经营活动的单位备案情况的检查                                                                                                     </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both"/>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含消耗臭氧层物质的制冷设备、制冷系统或者灭火系统的维修、报废处理，消耗臭氧层物质回收、再生利用或者销毁等经营活动的单位</w:t>
            </w:r>
          </w:p>
        </w:tc>
        <w:tc>
          <w:tcPr>
            <w:tcW w:w="993"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15</w:t>
            </w:r>
          </w:p>
        </w:tc>
        <w:tc>
          <w:tcPr>
            <w:tcW w:w="981" w:type="dxa"/>
            <w:vMerge w:val="continue"/>
            <w:tcBorders>
              <w:left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 xml:space="preserve">副产四氯化碳（CTC）的甲烷氯化物企业合法销售和处置 CTC 情况的检查                                                         </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副产四氯化碳（CTC）的甲烷氯化物企业</w:t>
            </w:r>
          </w:p>
        </w:tc>
        <w:tc>
          <w:tcPr>
            <w:tcW w:w="993"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6"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16</w:t>
            </w:r>
          </w:p>
        </w:tc>
        <w:tc>
          <w:tcPr>
            <w:tcW w:w="981" w:type="dxa"/>
            <w:vMerge w:val="continue"/>
            <w:tcBorders>
              <w:left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left"/>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使用 ODS 作为化工原料用途的企业的ODS采购和使用情况的检查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both"/>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使用 ODS 作为化工原料用途的企业</w:t>
            </w:r>
          </w:p>
        </w:tc>
        <w:tc>
          <w:tcPr>
            <w:tcW w:w="993"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left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8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17</w:t>
            </w:r>
          </w:p>
        </w:tc>
        <w:tc>
          <w:tcPr>
            <w:tcW w:w="98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州生态环境局盈江分局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县工业和商务科技局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汽车市场监管</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机动车环保信息公开检查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机动车销售企业</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此项工作发起部门为省级，州局及各县（市）分局配合省级开展好此项工作。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47"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18</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生态环境监测机构监督检查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生态环境监测机构开展监测情况的检查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生态环境监测机构</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此项工作发起部门为省级，州局及各县（市）分局配合省级开展好此项工作。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9"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19</w:t>
            </w:r>
          </w:p>
        </w:tc>
        <w:tc>
          <w:tcPr>
            <w:tcW w:w="981" w:type="dxa"/>
            <w:vMerge w:val="restart"/>
            <w:tcBorders>
              <w:top w:val="single" w:color="auto" w:sz="4" w:space="0"/>
              <w:left w:val="nil"/>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eastAsia" w:ascii="宋体" w:hAnsi="宋体" w:eastAsia="宋体" w:cs="宋体"/>
                <w:i w:val="0"/>
                <w:color w:val="auto"/>
                <w:kern w:val="2"/>
                <w:sz w:val="20"/>
                <w:szCs w:val="20"/>
                <w:lang w:val="en-US" w:eastAsia="zh-CN" w:bidi="ar"/>
              </w:rPr>
              <w:t>县住房和城乡建设局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房地产市场</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房地产市场监督执法检查及房地产行业定价情况检查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房地产开发企业</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20</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县人力资源和社会保障局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建筑市场</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建筑市场监督执法检查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建筑市场从业单位</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8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21</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县住房和城乡建设局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城镇燃气</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燃气经营许可证取得情况的检查及燃气经营监督执法检查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城镇燃气企业</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燃气经营许可证取得情况检查及燃气经营监督执法检查采取现场检查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3"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22</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县交通运输局</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交通运输行业监管</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0"/>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交通运输产品质量监督检查</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0"/>
                <w:sz w:val="20"/>
                <w:szCs w:val="20"/>
              </w:rPr>
            </w:pP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保泸高速、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楚大高速扩容段、</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华丽高速、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昆楚高速、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弥玉高速、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墨临高速、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香丽高速、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玉楚高速、</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昭金高速等在建国高项目</w:t>
            </w:r>
          </w:p>
        </w:tc>
        <w:tc>
          <w:tcPr>
            <w:tcW w:w="993"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实地检查</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c>
          <w:tcPr>
            <w:tcW w:w="136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该项检查权限为省级，且德宏州没有具体项目，州、县（市）配合省级开展好相关检查工作。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8"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23</w:t>
            </w:r>
          </w:p>
        </w:tc>
        <w:tc>
          <w:tcPr>
            <w:tcW w:w="98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县农业农村局</w:t>
            </w:r>
          </w:p>
        </w:tc>
        <w:tc>
          <w:tcPr>
            <w:tcW w:w="1072"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县市场监督管理局</w:t>
            </w:r>
          </w:p>
        </w:tc>
        <w:tc>
          <w:tcPr>
            <w:tcW w:w="1105"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农业生产资料监管</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农药监督检查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农药生产者、经营者，农药登记试验单位</w:t>
            </w:r>
          </w:p>
        </w:tc>
        <w:tc>
          <w:tcPr>
            <w:tcW w:w="993" w:type="dxa"/>
            <w:vMerge w:val="restar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vMerge w:val="restar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vMerge w:val="restar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vMerge w:val="restar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7"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24</w:t>
            </w:r>
          </w:p>
        </w:tc>
        <w:tc>
          <w:tcPr>
            <w:tcW w:w="981"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肥料监督检查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肥料生产经营者</w:t>
            </w:r>
          </w:p>
        </w:tc>
        <w:tc>
          <w:tcPr>
            <w:tcW w:w="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9"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25</w:t>
            </w:r>
          </w:p>
        </w:tc>
        <w:tc>
          <w:tcPr>
            <w:tcW w:w="981"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通过农业机械推广鉴定的产品及证书监督检查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农业机械生产经营企业</w:t>
            </w:r>
          </w:p>
        </w:tc>
        <w:tc>
          <w:tcPr>
            <w:tcW w:w="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6"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26</w:t>
            </w:r>
          </w:p>
        </w:tc>
        <w:tc>
          <w:tcPr>
            <w:tcW w:w="981"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兽药监督检查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兽药生产经营企业，兽医使用单位</w:t>
            </w:r>
          </w:p>
        </w:tc>
        <w:tc>
          <w:tcPr>
            <w:tcW w:w="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7"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27</w:t>
            </w:r>
          </w:p>
        </w:tc>
        <w:tc>
          <w:tcPr>
            <w:tcW w:w="981"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饲料、饲料添加剂监督检查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饲料和饲料添加剂生产企业和经营企业</w:t>
            </w:r>
          </w:p>
        </w:tc>
        <w:tc>
          <w:tcPr>
            <w:tcW w:w="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13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p>
        </w:tc>
        <w:tc>
          <w:tcPr>
            <w:tcW w:w="90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8"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28</w:t>
            </w:r>
          </w:p>
        </w:tc>
        <w:tc>
          <w:tcPr>
            <w:tcW w:w="981" w:type="dxa"/>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县农业农村局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县林业和草原局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农业生产资料监管</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种子监督检查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种子生产经营者</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3"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29</w:t>
            </w:r>
          </w:p>
        </w:tc>
        <w:tc>
          <w:tcPr>
            <w:tcW w:w="981"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县农业农村局</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lang w:val="en-US" w:eastAsia="zh-CN" w:bidi="ar"/>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lang w:val="en-US" w:eastAsia="zh-CN" w:bidi="ar"/>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lang w:val="en-US" w:eastAsia="zh-CN" w:bidi="ar"/>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县农业农村局</w:t>
            </w:r>
          </w:p>
        </w:tc>
        <w:tc>
          <w:tcPr>
            <w:tcW w:w="1072"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县市场监督管理局</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lang w:val="en-US" w:eastAsia="zh-CN" w:bidi="ar"/>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lang w:val="en-US" w:eastAsia="zh-CN" w:bidi="ar"/>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lang w:val="en-US" w:eastAsia="zh-CN" w:bidi="ar"/>
              </w:rPr>
            </w:pP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县市场监督管理局</w:t>
            </w:r>
          </w:p>
        </w:tc>
        <w:tc>
          <w:tcPr>
            <w:tcW w:w="110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农业转基因生物安全监督检查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农业转基因生物安全监督检查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在我州境内从事农业转基因生物研究、试验、生产、加工、经营和进口、出口活动的单位和个人</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6"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30</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vMerge w:val="restart"/>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畜禽、水生野生动物养殖加工情况的检查</w:t>
            </w:r>
          </w:p>
        </w:tc>
        <w:tc>
          <w:tcPr>
            <w:tcW w:w="384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种畜禽质量监督检查</w:t>
            </w:r>
          </w:p>
        </w:tc>
        <w:tc>
          <w:tcPr>
            <w:tcW w:w="1197"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从事种畜禽生产经营的单位</w:t>
            </w:r>
          </w:p>
        </w:tc>
        <w:tc>
          <w:tcPr>
            <w:tcW w:w="993"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right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全州共有19家，按属地管理实施检查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31</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p>
        </w:tc>
        <w:tc>
          <w:tcPr>
            <w:tcW w:w="1072"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p>
        </w:tc>
        <w:tc>
          <w:tcPr>
            <w:tcW w:w="1105" w:type="dxa"/>
            <w:vMerge w:val="continue"/>
            <w:tcBorders>
              <w:top w:val="nil"/>
              <w:left w:val="nil"/>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水生野生动物及其制品利用活动监督检查</w:t>
            </w:r>
          </w:p>
        </w:tc>
        <w:tc>
          <w:tcPr>
            <w:tcW w:w="11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利用水生野生动物及其制品的事业单位、企业、社会组织</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32</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县林业和草原局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县公安局</w:t>
            </w:r>
          </w:p>
        </w:tc>
        <w:tc>
          <w:tcPr>
            <w:tcW w:w="110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畜禽、水生、陆生野生动物养殖加工情况的检查</w:t>
            </w:r>
          </w:p>
        </w:tc>
        <w:tc>
          <w:tcPr>
            <w:tcW w:w="384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0"/>
                <w:sz w:val="20"/>
                <w:szCs w:val="20"/>
                <w:lang w:val="en-US" w:eastAsia="zh-CN" w:bidi="ar"/>
              </w:rPr>
              <w:t>陆生野生动物及其制品利用活动的监督检查</w:t>
            </w:r>
          </w:p>
        </w:tc>
        <w:tc>
          <w:tcPr>
            <w:tcW w:w="1197"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利用陆生野生动物及其制品的事业单位、企业、社会组织</w:t>
            </w:r>
          </w:p>
        </w:tc>
        <w:tc>
          <w:tcPr>
            <w:tcW w:w="993"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0"/>
                <w:sz w:val="20"/>
                <w:szCs w:val="20"/>
                <w:lang w:val="en-US" w:eastAsia="zh-CN" w:bidi="ar"/>
              </w:rPr>
              <w:t>2020年12月31日前</w:t>
            </w:r>
          </w:p>
        </w:tc>
        <w:tc>
          <w:tcPr>
            <w:tcW w:w="135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州级统一抽取检查对象，由州、县市组织实施检查。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33</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县水利局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县自然资源局、县交通运输局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0"/>
                <w:sz w:val="20"/>
                <w:szCs w:val="20"/>
              </w:rPr>
            </w:pPr>
            <w:r>
              <w:rPr>
                <w:rFonts w:hint="eastAsia" w:ascii="宋体" w:hAnsi="宋体" w:eastAsia="宋体" w:cs="宋体"/>
                <w:color w:val="auto"/>
                <w:kern w:val="2"/>
                <w:sz w:val="20"/>
                <w:szCs w:val="20"/>
                <w:lang w:val="en-US" w:eastAsia="zh-CN" w:bidi="ar"/>
              </w:rPr>
              <w:t>河道采砂检查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i w:val="0"/>
                <w:color w:val="auto"/>
                <w:kern w:val="0"/>
                <w:sz w:val="20"/>
                <w:szCs w:val="20"/>
              </w:rPr>
            </w:pPr>
            <w:r>
              <w:rPr>
                <w:rFonts w:hint="eastAsia" w:ascii="宋体" w:hAnsi="宋体" w:eastAsia="宋体" w:cs="宋体"/>
                <w:color w:val="auto"/>
                <w:kern w:val="2"/>
                <w:sz w:val="20"/>
                <w:szCs w:val="20"/>
                <w:lang w:val="en-US" w:eastAsia="zh-CN" w:bidi="ar"/>
              </w:rPr>
              <w:t>对河道采砂的行政检查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河道采砂市场主体</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 书面检查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州、县（市）分级随机匹配人员实施检查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2"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34</w:t>
            </w:r>
          </w:p>
        </w:tc>
        <w:tc>
          <w:tcPr>
            <w:tcW w:w="98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州生态环境局盈江分局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机动车排放检验机构检测情况检查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机动车排放检验情况和设备使用情况检查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机动车排放检验机构</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35</w:t>
            </w:r>
          </w:p>
        </w:tc>
        <w:tc>
          <w:tcPr>
            <w:tcW w:w="981"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县人力资源社会保障局、县工业和商务科技局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在德宏登记的外商投资企业</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年度报告公示信息的检查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各类企业年报信息</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网络核查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省级</w:t>
            </w:r>
            <w:r>
              <w:rPr>
                <w:rFonts w:hint="eastAsia" w:ascii="宋体" w:hAnsi="宋体" w:eastAsia="宋体" w:cs="宋体"/>
                <w:i w:val="0"/>
                <w:color w:val="auto"/>
                <w:kern w:val="2"/>
                <w:sz w:val="20"/>
                <w:szCs w:val="20"/>
                <w:lang w:val="en-US" w:eastAsia="zh-CN" w:bidi="ar"/>
              </w:rPr>
              <w:t>统一抽取名单，州、县市组织实施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36</w:t>
            </w:r>
          </w:p>
        </w:tc>
        <w:tc>
          <w:tcPr>
            <w:tcW w:w="981"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县交通运输局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常压液体危险货物从业单位监督检查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常压液体危险货物罐体检验机构检查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常压液体危险货物罐体检验机构</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37</w:t>
            </w:r>
          </w:p>
        </w:tc>
        <w:tc>
          <w:tcPr>
            <w:tcW w:w="981"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县工业和商务科技局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车用油品质量监管</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车用油品质量抽查监测</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both"/>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车用油品生产、销售、储存企业</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38</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县教育体育局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学校食堂餐饮服务食品经营环节</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学校食堂食品安全</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学校食堂</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根据省级计划，由州级统一抽取检查对象，分配至县市随机匹配检查人员组织实施检查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39</w:t>
            </w:r>
          </w:p>
        </w:tc>
        <w:tc>
          <w:tcPr>
            <w:tcW w:w="981"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县应急管理局</w:t>
            </w:r>
          </w:p>
        </w:tc>
        <w:tc>
          <w:tcPr>
            <w:tcW w:w="1072"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县市场监督管理局、县消防救援大队</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工业企业安全生产情况的检查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工业企业取得安全生产许可证情况的检查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矿山</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由州级统一抽取检查对象，分配至县市随机匹配检查人员组织实施检查。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6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40</w:t>
            </w:r>
          </w:p>
        </w:tc>
        <w:tc>
          <w:tcPr>
            <w:tcW w:w="98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工业企业安全生产情况的检查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工业企业安全生产有关制度设置、落实等情况的检查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工贸企业</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由州级统一抽取检查对象，分配至县市随机匹配检查人员组织实施检查。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41</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县统计局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国家常规统计调查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调查对象依法设置原始记录、统计台账情况</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统计调查对象</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3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42</w:t>
            </w:r>
          </w:p>
        </w:tc>
        <w:tc>
          <w:tcPr>
            <w:tcW w:w="981"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县文化和旅游局</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县卫生健康局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影剧院经营状况、卫生情况抽查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影剧院经营状况、卫生情况检查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各类影剧院</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实地检查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Times New Roman" w:hAnsi="Times New Roman" w:eastAsia="宋体" w:cs="Times New Roman"/>
                <w:i w:val="0"/>
                <w:color w:val="auto"/>
                <w:kern w:val="2"/>
                <w:sz w:val="20"/>
                <w:szCs w:val="20"/>
                <w:lang w:val="en-US" w:eastAsia="zh-CN" w:bidi="ar"/>
              </w:rPr>
              <w:t>由省级统一抽取检查对象，州、县级相关单位根据实际情况抽取检查人员实施检查。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43</w:t>
            </w:r>
          </w:p>
        </w:tc>
        <w:tc>
          <w:tcPr>
            <w:tcW w:w="981"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县消防救援大队</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经营性互联网文化单位检查</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经营性互联网文化单位经营情况检查</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经营性互联网文化单位</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实地检查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网络检查</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书面检查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目前德宏州无取得《网络</w:t>
            </w:r>
            <w:r>
              <w:rPr>
                <w:rFonts w:hint="eastAsia" w:ascii="宋体" w:hAnsi="宋体" w:eastAsia="宋体" w:cs="宋体"/>
                <w:i w:val="0"/>
                <w:color w:val="auto"/>
                <w:kern w:val="2"/>
                <w:sz w:val="20"/>
                <w:szCs w:val="20"/>
                <w:lang w:val="en-US" w:eastAsia="zh-CN" w:bidi="ar"/>
              </w:rPr>
              <w:t>文化经营许可证</w:t>
            </w:r>
            <w:r>
              <w:rPr>
                <w:rFonts w:hint="eastAsia" w:ascii="宋体" w:hAnsi="宋体" w:eastAsia="宋体" w:cs="宋体"/>
                <w:color w:val="auto"/>
                <w:kern w:val="2"/>
                <w:sz w:val="20"/>
                <w:szCs w:val="20"/>
                <w:lang w:val="en-US" w:eastAsia="zh-CN" w:bidi="ar"/>
              </w:rPr>
              <w:t>》</w:t>
            </w:r>
            <w:r>
              <w:rPr>
                <w:rFonts w:hint="eastAsia" w:ascii="宋体" w:hAnsi="宋体" w:eastAsia="宋体" w:cs="宋体"/>
                <w:i w:val="0"/>
                <w:color w:val="auto"/>
                <w:kern w:val="2"/>
                <w:sz w:val="20"/>
                <w:szCs w:val="20"/>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8"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44</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县消防救援大队</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县公安局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宾馆、旅店</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宾馆、旅店履行法定消防安全职责情况</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盈江县行政区域内依法取得《公众聚集场所投入使用、营业前消防安全检查合格证》、《特种行业许可证》的宾馆、旅店</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现场检查</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县消防救援大队完成省、州级安排的抽查任务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20"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default" w:ascii="宋体" w:hAnsi="宋体" w:eastAsia="宋体" w:cs="宋体"/>
                <w:color w:val="auto"/>
                <w:kern w:val="2"/>
                <w:sz w:val="20"/>
                <w:szCs w:val="20"/>
                <w:lang w:val="en-US"/>
              </w:rPr>
            </w:pPr>
            <w:r>
              <w:rPr>
                <w:rFonts w:hint="eastAsia" w:ascii="宋体" w:hAnsi="宋体" w:eastAsia="宋体" w:cs="宋体"/>
                <w:color w:val="auto"/>
                <w:kern w:val="2"/>
                <w:sz w:val="20"/>
                <w:szCs w:val="20"/>
                <w:lang w:val="en-US" w:eastAsia="zh-CN" w:bidi="ar"/>
              </w:rPr>
              <w:t>45</w:t>
            </w:r>
          </w:p>
        </w:tc>
        <w:tc>
          <w:tcPr>
            <w:tcW w:w="9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县消防救援大队</w:t>
            </w:r>
          </w:p>
        </w:tc>
        <w:tc>
          <w:tcPr>
            <w:tcW w:w="10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县市场监督管理局</w:t>
            </w:r>
          </w:p>
        </w:tc>
        <w:tc>
          <w:tcPr>
            <w:tcW w:w="11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消防产品使用领域</w:t>
            </w:r>
          </w:p>
        </w:tc>
        <w:tc>
          <w:tcPr>
            <w:tcW w:w="3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2"/>
                <w:sz w:val="20"/>
                <w:szCs w:val="20"/>
              </w:rPr>
            </w:pPr>
            <w:r>
              <w:rPr>
                <w:rFonts w:hint="eastAsia" w:ascii="宋体" w:hAnsi="宋体" w:eastAsia="宋体" w:cs="宋体"/>
                <w:i w:val="0"/>
                <w:color w:val="auto"/>
                <w:kern w:val="2"/>
                <w:sz w:val="20"/>
                <w:szCs w:val="20"/>
                <w:lang w:val="en-US" w:eastAsia="zh-CN" w:bidi="ar"/>
              </w:rPr>
              <w:t>消防产品质量</w:t>
            </w:r>
          </w:p>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i w:val="0"/>
                <w:color w:val="auto"/>
                <w:kern w:val="0"/>
                <w:sz w:val="20"/>
                <w:szCs w:val="20"/>
              </w:rPr>
            </w:pPr>
            <w:r>
              <w:rPr>
                <w:rFonts w:hint="eastAsia" w:ascii="宋体" w:hAnsi="宋体" w:eastAsia="宋体" w:cs="宋体"/>
                <w:i w:val="0"/>
                <w:color w:val="auto"/>
                <w:kern w:val="2"/>
                <w:sz w:val="20"/>
                <w:szCs w:val="20"/>
                <w:lang w:val="en-US" w:eastAsia="zh-CN" w:bidi="ar"/>
              </w:rPr>
              <w:t>情况（含：市场准入检查、一致性检查、现场检查判定和抽样送检等）</w:t>
            </w:r>
          </w:p>
        </w:tc>
        <w:tc>
          <w:tcPr>
            <w:tcW w:w="11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盈江县行政区域内的人员密集场所</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2020年12月31日前</w:t>
            </w: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eastAsia="zh-CN"/>
              </w:rPr>
              <w:t>按州级安排完成相关抽查任务</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日常监督检查和专项监督抽查相结合</w:t>
            </w:r>
          </w:p>
        </w:tc>
        <w:tc>
          <w:tcPr>
            <w:tcW w:w="13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color w:val="auto"/>
                <w:kern w:val="2"/>
                <w:sz w:val="20"/>
                <w:szCs w:val="20"/>
              </w:rPr>
            </w:pPr>
            <w:r>
              <w:rPr>
                <w:rFonts w:hint="eastAsia" w:ascii="宋体" w:hAnsi="宋体" w:eastAsia="宋体" w:cs="宋体"/>
                <w:color w:val="auto"/>
                <w:kern w:val="2"/>
                <w:sz w:val="20"/>
                <w:szCs w:val="20"/>
                <w:lang w:val="en-US" w:eastAsia="zh-CN" w:bidi="ar"/>
              </w:rPr>
              <w:t>县级</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
                <w:sz w:val="20"/>
                <w:szCs w:val="20"/>
              </w:rPr>
            </w:pPr>
            <w:r>
              <w:rPr>
                <w:rFonts w:hint="eastAsia" w:ascii="宋体" w:hAnsi="宋体" w:eastAsia="宋体" w:cs="宋体"/>
                <w:i w:val="0"/>
                <w:color w:val="auto"/>
                <w:kern w:val="2"/>
                <w:sz w:val="20"/>
                <w:szCs w:val="20"/>
                <w:lang w:val="en-US" w:eastAsia="zh-CN" w:bidi="ar"/>
              </w:rPr>
              <w:t>县消防救援大队完成省、州级安排的抽查任务</w:t>
            </w:r>
          </w:p>
        </w:tc>
      </w:tr>
    </w:tbl>
    <w:p/>
    <w:p/>
    <w:sectPr>
      <w:headerReference r:id="rId3" w:type="default"/>
      <w:footerReference r:id="rId4"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31D75"/>
    <w:rsid w:val="68731D75"/>
    <w:rsid w:val="76432A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
      <w:kern w:val="2"/>
      <w:sz w:val="36"/>
      <w:szCs w:val="36"/>
      <w:lang w:val="en-US" w:eastAsia="zh-CN" w:bidi="ar"/>
    </w:rPr>
  </w:style>
  <w:style w:type="paragraph" w:styleId="3">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4">
    <w:name w:val="header"/>
    <w:basedOn w:val="1"/>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2020-10-23T02:34:00Z</dcterms:created>
  <dc:creator>Administrator</dc:creator>
  <cp:lastModifiedBy>Administrator</cp:lastModifiedBy>
  <dcterms:modified xsi:type="dcterms:W3CDTF">2020-10-23T02:42:04Z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