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4"/>
          <w:szCs w:val="24"/>
        </w:rPr>
      </w:pPr>
      <w:r>
        <w:rPr>
          <w:rFonts w:hint="eastAsia" w:ascii="宋体" w:hAnsi="宋体" w:eastAsia="宋体" w:cs="宋体"/>
          <w:sz w:val="24"/>
          <w:szCs w:val="24"/>
        </w:rPr>
        <w:t>附件</w:t>
      </w:r>
      <w:bookmarkStart w:id="0" w:name="_GoBack"/>
      <w:bookmarkEnd w:id="0"/>
    </w:p>
    <w:p>
      <w:pP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德宏州市场主体培育主要目标任务分解</w:t>
      </w:r>
    </w:p>
    <w:p>
      <w:pPr>
        <w:rPr>
          <w:rFonts w:hint="eastAsia" w:ascii="宋体" w:hAnsi="宋体" w:eastAsia="宋体" w:cs="宋体"/>
          <w:sz w:val="24"/>
          <w:szCs w:val="24"/>
        </w:rPr>
      </w:pPr>
      <w:r>
        <w:rPr>
          <w:rFonts w:hint="eastAsia" w:ascii="宋体" w:hAnsi="宋体" w:eastAsia="宋体" w:cs="宋体"/>
          <w:sz w:val="24"/>
          <w:szCs w:val="24"/>
        </w:rPr>
        <w:t>单位：家</w:t>
      </w:r>
    </w:p>
    <w:tbl>
      <w:tblPr>
        <w:tblStyle w:val="3"/>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418"/>
        <w:gridCol w:w="1134"/>
        <w:gridCol w:w="2014"/>
        <w:gridCol w:w="6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市场主体类型</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2020年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2025年</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年均增速（%）</w:t>
            </w:r>
          </w:p>
        </w:tc>
        <w:tc>
          <w:tcPr>
            <w:tcW w:w="634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企业</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19700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39332</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14.9</w:t>
            </w:r>
          </w:p>
        </w:tc>
        <w:tc>
          <w:tcPr>
            <w:tcW w:w="634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376" w:type="dxa"/>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农业企业</w:t>
            </w:r>
          </w:p>
          <w:p>
            <w:pPr>
              <w:rPr>
                <w:rFonts w:hint="eastAsia" w:ascii="宋体" w:hAnsi="宋体" w:eastAsia="宋体" w:cs="宋体"/>
                <w:sz w:val="24"/>
                <w:szCs w:val="24"/>
              </w:rPr>
            </w:pPr>
            <w:r>
              <w:rPr>
                <w:rFonts w:hint="eastAsia" w:ascii="宋体" w:hAnsi="宋体" w:eastAsia="宋体" w:cs="宋体"/>
                <w:sz w:val="24"/>
                <w:szCs w:val="24"/>
              </w:rPr>
              <w:t>其中：农业龙头企业</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1181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2407</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15.3</w:t>
            </w:r>
          </w:p>
        </w:tc>
        <w:tc>
          <w:tcPr>
            <w:tcW w:w="6349" w:type="dxa"/>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牵头单位：州农业农村局；责任单位：州工信科技局、州市场监管局、州商务局、州林草局、州乡村振兴局、州投资促进局等有关部门，各县市人民政府。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149</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303</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15.2</w:t>
            </w:r>
          </w:p>
        </w:tc>
        <w:tc>
          <w:tcPr>
            <w:tcW w:w="634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76" w:type="dxa"/>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工业企业</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规模以上工业企业</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1441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2700</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14</w:t>
            </w:r>
          </w:p>
        </w:tc>
        <w:tc>
          <w:tcPr>
            <w:tcW w:w="6349" w:type="dxa"/>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牵头单位：州工信科技局；责任单位：州发展改革委、州市场监管局、州自然资源和规划局、州财政局、州投资促进局等有关部门，各县市人民政府。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151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220</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7.82</w:t>
            </w:r>
          </w:p>
        </w:tc>
        <w:tc>
          <w:tcPr>
            <w:tcW w:w="634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376" w:type="dxa"/>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建筑企业</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资质等级建筑业企业</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1715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3349</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14.3</w:t>
            </w:r>
          </w:p>
        </w:tc>
        <w:tc>
          <w:tcPr>
            <w:tcW w:w="6349" w:type="dxa"/>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牵头单位：州住房城乡建设局；责任单位：州发展改革委、州市场监管局、州交通运输局、州水利局、州财政局、州投资促进局等有关部门，各县市人民政府。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121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190</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11.0</w:t>
            </w:r>
          </w:p>
        </w:tc>
        <w:tc>
          <w:tcPr>
            <w:tcW w:w="634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批发零售业和住宿餐饮业企业限额以上批发零售业和住宿餐饮业企业</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9074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18076</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14.8</w:t>
            </w:r>
          </w:p>
        </w:tc>
        <w:tc>
          <w:tcPr>
            <w:tcW w:w="6349" w:type="dxa"/>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牵头单位：州商务局；责任单位：州发展改革委、州市场监管局、州文化和旅游局、州投资促进局等州有关部门，各县市人民政府。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347</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597</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11.5</w:t>
            </w:r>
          </w:p>
        </w:tc>
        <w:tc>
          <w:tcPr>
            <w:tcW w:w="634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376" w:type="dxa"/>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服务业企业（不含批发零售和住宿餐饮业企业）</w:t>
            </w:r>
          </w:p>
          <w:p>
            <w:pPr>
              <w:rPr>
                <w:rFonts w:hint="eastAsia" w:ascii="宋体" w:hAnsi="宋体" w:eastAsia="宋体" w:cs="宋体"/>
                <w:sz w:val="24"/>
                <w:szCs w:val="24"/>
              </w:rPr>
            </w:pPr>
            <w:r>
              <w:rPr>
                <w:rFonts w:hint="eastAsia" w:ascii="宋体" w:hAnsi="宋体" w:eastAsia="宋体" w:cs="宋体"/>
                <w:sz w:val="24"/>
                <w:szCs w:val="24"/>
              </w:rPr>
              <w:t>生产性服务</w:t>
            </w:r>
          </w:p>
          <w:p>
            <w:pPr>
              <w:rPr>
                <w:rFonts w:hint="eastAsia" w:ascii="宋体" w:hAnsi="宋体" w:eastAsia="宋体" w:cs="宋体"/>
                <w:sz w:val="24"/>
                <w:szCs w:val="24"/>
              </w:rPr>
            </w:pPr>
            <w:r>
              <w:rPr>
                <w:rFonts w:hint="eastAsia" w:ascii="宋体" w:hAnsi="宋体" w:eastAsia="宋体" w:cs="宋体"/>
                <w:sz w:val="24"/>
                <w:szCs w:val="24"/>
              </w:rPr>
              <w:t>企业规模以上服务企业</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6289</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12800</w:t>
            </w:r>
          </w:p>
          <w:p>
            <w:pPr>
              <w:rPr>
                <w:rFonts w:hint="eastAsia" w:ascii="宋体" w:hAnsi="宋体" w:eastAsia="宋体" w:cs="宋体"/>
                <w:sz w:val="24"/>
                <w:szCs w:val="24"/>
              </w:rPr>
            </w:pP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15.2</w:t>
            </w:r>
          </w:p>
        </w:tc>
        <w:tc>
          <w:tcPr>
            <w:tcW w:w="6349" w:type="dxa"/>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牵头单位：州发展改革委；责任单位：州工信科技局、州市场监管局、州民政局、州生态环境局、州住房城乡建设局、州交通运输局、州商务局、州文化和旅游局、州卫生健康委、州教育体育局、州财政局、州投资促进局、州邮政管理局、人行德宏州中心支行、德宏银监保分局等有关部门和单位，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3879</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7900</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15.2</w:t>
            </w:r>
          </w:p>
        </w:tc>
        <w:tc>
          <w:tcPr>
            <w:tcW w:w="634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44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72</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11.0</w:t>
            </w:r>
          </w:p>
        </w:tc>
        <w:tc>
          <w:tcPr>
            <w:tcW w:w="634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37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中小企业</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18115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36775</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15.2</w:t>
            </w:r>
          </w:p>
          <w:p>
            <w:pPr>
              <w:rPr>
                <w:rFonts w:hint="eastAsia" w:ascii="宋体" w:hAnsi="宋体" w:eastAsia="宋体" w:cs="宋体"/>
                <w:sz w:val="24"/>
                <w:szCs w:val="24"/>
              </w:rPr>
            </w:pPr>
          </w:p>
        </w:tc>
        <w:tc>
          <w:tcPr>
            <w:tcW w:w="634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牵头单位：州工信科技局；责任单位：州发展改革委、州市场监管局、州财政局、州人力资源社会保障局、州投资促进局、州税务局、人行德宏州中心支行等有关部门和单位，各县市人民政府。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个体工商户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104308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173600</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10.0</w:t>
            </w:r>
          </w:p>
        </w:tc>
        <w:tc>
          <w:tcPr>
            <w:tcW w:w="634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牵头部门：州市场监管局；责任单位：州发展改革委、州工信科技局、州财政局、州人力资源社会保障局、州投资促进局、州税务局、人行德宏州中心支行等部门和单位，各县市人民政府。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农民专业合作社</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1370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w:t>
            </w:r>
          </w:p>
        </w:tc>
        <w:tc>
          <w:tcPr>
            <w:tcW w:w="634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7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合计</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125378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212932</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11.0</w:t>
            </w:r>
          </w:p>
        </w:tc>
        <w:tc>
          <w:tcPr>
            <w:tcW w:w="634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w:t>
            </w:r>
          </w:p>
        </w:tc>
      </w:tr>
    </w:tbl>
    <w:p>
      <w:pPr>
        <w:rPr>
          <w:rFonts w:hint="eastAsia" w:ascii="宋体" w:hAnsi="宋体" w:eastAsia="宋体" w:cs="宋体"/>
          <w:sz w:val="24"/>
          <w:szCs w:val="2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B7F2D"/>
    <w:rsid w:val="0BEB7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2022-01-13T09:32:00Z</dcterms:created>
  <dc:creator>咖啡杯里的茶</dc:creator>
  <cp:lastModifiedBy>咖啡杯里的茶</cp:lastModifiedBy>
  <dcterms:modified xsi:type="dcterms:W3CDTF">2022-01-13T09:34:51Z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