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val="0"/>
        <w:pageBreakBefore w:val="0"/>
        <w:widowControl w:val="0"/>
        <w:kinsoku/>
        <w:wordWrap/>
        <w:overflowPunct/>
        <w:topLinePunct w:val="0"/>
        <w:autoSpaceDE/>
        <w:autoSpaceDN/>
        <w:bidi w:val="0"/>
        <w:adjustRightInd/>
        <w:snapToGrid/>
        <w:spacing w:line="550" w:lineRule="exact"/>
        <w:ind w:left="0" w:leftChars="0" w:right="0" w:rightChars="0"/>
        <w:jc w:val="both"/>
        <w:textAlignment w:val="auto"/>
        <w:outlineLvl w:val="9"/>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附件</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880" w:firstLineChars="20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盈江县迎接云南省三类城市</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880" w:firstLineChars="20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语言文字达标评估工作实施方案</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中华人民共和国国家通用语言文字法》《云南省国家通用语言文字条例》《云南省人民政府办公厅印发云南省语言文字工作委员会关于加强语言文字工作意见的通知》（云政办发〔2008〕158号）和省州关于盈江县于2018年10月完成云南省三类城市语言文字达标评估迎检工作的要求，为实现我县三类城市语言文字工作达标任务，进一步优化我县语言文字环境，提高公民文明素质，提升城市形象，发展县域经济，顺利通过省州语委评估验收，结合我县实际，特制定本方案。</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一、指导思想</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以《中华人民共和国国家通用语言文字法》《国家中长期语言文字事业改革发展规划纲要（2012—2020年）》和《云南省国家通用语言文字条例》为依据；以增强全县语言文字规范化意识，提高城市用语用字规范化水平为目标；以迎检三类城市语言文字达标评估工作为契机，通过以评促改，带动语言文字工作机构、队伍、法规、制度建设，努力在全县形成“说普通话、用规范字、做文明人”的新局面，力争通过</w:t>
      </w:r>
      <w:r>
        <w:rPr>
          <w:rFonts w:hint="eastAsia" w:ascii="方正仿宋_GBK" w:hAnsi="方正仿宋_GBK" w:eastAsia="方正仿宋_GBK" w:cs="方正仿宋_GBK"/>
          <w:sz w:val="32"/>
          <w:szCs w:val="32"/>
        </w:rPr>
        <w:t>省、州语委对我县三类城市语言文字工作的评估验收。</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二、工作目标</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（一）总体目标</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1.实现普通话初步普及。做到交际中的方言隔阂基本消除，受过中等和中等以上教育的公民具备使用普通话的能力，并在公共交际场合自觉使用普通话，使普通话成为各学校的教学语言和校园语言，成为党政机关、媒体和社会主要服务行业的工作用语和服务用语。对语言应用有特殊要求的岗位工作人员应当达到相应的普通话水平等级要求。 </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2.实现汉字的社会应用基本规范。认真执行国家现行的文字政策和文字应用管理的法律法规及规范标准，使社会相关领域的用字符合国家和主管部门规定的要求。要重点规范出版物、电视屏幕和计算机的用字。党政机关和学校要带头使用规范汉字。公共场所的标牌、广告、宣传标语，要做到文字规范、字形完整。手书的招牌凡使用了繁体字的，必须在明显的位置另配置规范字的标牌。编辑、记者、校对人员和电视中文字幕机的操作人员以及牌匾、广告制作业等与文字应用关系密切的从业人员，要把学习文字规范知识、提高文字应用规范水平作为业务进修常规内容，逐步做到持证上岗。 </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（二）具体目标</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1.国家机关工作人员的普通话水平达到三级甲等以上。</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2.教师普通话水平达到二级乙等以上，其中语文教师、幼儿园教师达到二级甲等以上；中等职业技术学校毕业生达到二级乙等以上。</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3.播音员和节目主持人达到一级水平。</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4.公共服务行业人员达到三级以上，其中广播员、解说员、话务员等特定岗位人员达到二级以上。</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5.全社会规范用字意识加强，应用水平提高。各种公文、名称牌、标志牌、指示牌、宣传广告、商品包装及说明文字等社会用字正确使用规范汉字，不出现繁体字、异体字、错别字、二简字等不规范用字。</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（三）我县迎评工作目标</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创先争优、确保达标，务实高效、突显特色。</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方正楷体_GBK" w:hAnsi="方正楷体_GBK" w:eastAsia="方正楷体_GBK" w:cs="方正楷体_GBK"/>
          <w:sz w:val="32"/>
          <w:szCs w:val="32"/>
        </w:rPr>
      </w:pPr>
      <w:r>
        <w:rPr>
          <w:rFonts w:hint="eastAsia" w:ascii="方正黑体_GBK" w:hAnsi="方正黑体_GBK" w:eastAsia="方正黑体_GBK" w:cs="方正黑体_GBK"/>
          <w:sz w:val="32"/>
          <w:szCs w:val="32"/>
        </w:rPr>
        <w:t>三、</w:t>
      </w:r>
      <w:r>
        <w:rPr>
          <w:rFonts w:hint="eastAsia" w:ascii="方正黑体_GBK" w:hAnsi="方正黑体_GBK" w:eastAsia="方正黑体_GBK" w:cs="方正黑体_GBK"/>
          <w:sz w:val="32"/>
          <w:szCs w:val="32"/>
          <w:lang w:eastAsia="zh-CN"/>
        </w:rPr>
        <w:t>领导小组</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eastAsia="方正仿宋_GBK" w:cs="Times New Roman"/>
          <w:sz w:val="32"/>
          <w:szCs w:val="32"/>
          <w:lang w:val="en-US" w:eastAsia="zh-CN"/>
        </w:rPr>
        <w:t>为实现我县三类城市语言文字工作达标任务，顺利通过省州语委评估验收，成立迎接云南省三类城市语言文字达标评估工作领导小组，领导小组成员名单如下：</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主  任：张  瑛    县人民政府副县长</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副主任：董礼明    县教育局党委书记、局长</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成  员：周德才    县委宣传部副部长</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1920" w:firstLineChars="6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线东斌    团县委书记</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1920" w:firstLineChars="6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窦文芬    县民族宗教事务局副局长</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1920" w:firstLineChars="6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刘艳芹    县人力资源和社会保障局副局长</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1920" w:firstLineChars="6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方达超    县住房和城乡规划建设局副局长  </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1920" w:firstLineChars="6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周  云    县卫生和计划生育局副局长</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1920" w:firstLineChars="6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杨玉蓉    县文体广电旅游局副局长</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1920" w:firstLineChars="600"/>
        <w:jc w:val="both"/>
        <w:textAlignment w:val="auto"/>
        <w:outlineLvl w:val="9"/>
        <w:rPr>
          <w:rFonts w:hint="default" w:ascii="Times New Roman" w:hAnsi="Times New Roman" w:eastAsia="方正仿宋_GBK" w:cs="Times New Roman"/>
          <w:spacing w:val="-26"/>
          <w:sz w:val="32"/>
          <w:szCs w:val="32"/>
        </w:rPr>
      </w:pPr>
      <w:r>
        <w:rPr>
          <w:rFonts w:hint="default" w:ascii="Times New Roman" w:hAnsi="Times New Roman" w:eastAsia="方正仿宋_GBK" w:cs="Times New Roman"/>
          <w:sz w:val="32"/>
          <w:szCs w:val="32"/>
        </w:rPr>
        <w:t xml:space="preserve">陈  洁 </w:t>
      </w:r>
      <w:r>
        <w:rPr>
          <w:rFonts w:hint="default" w:ascii="Times New Roman" w:hAnsi="Times New Roman" w:eastAsia="方正仿宋_GBK" w:cs="Times New Roman"/>
          <w:spacing w:val="-25"/>
          <w:sz w:val="32"/>
          <w:szCs w:val="32"/>
        </w:rPr>
        <w:t xml:space="preserve">  </w:t>
      </w:r>
      <w:r>
        <w:rPr>
          <w:rFonts w:hint="eastAsia" w:ascii="Times New Roman" w:hAnsi="Times New Roman" w:eastAsia="方正仿宋_GBK" w:cs="Times New Roman"/>
          <w:spacing w:val="-25"/>
          <w:sz w:val="32"/>
          <w:szCs w:val="32"/>
          <w:lang w:val="en-US" w:eastAsia="zh-CN"/>
        </w:rPr>
        <w:t xml:space="preserve">  </w:t>
      </w:r>
      <w:r>
        <w:rPr>
          <w:rFonts w:hint="default" w:ascii="Times New Roman" w:hAnsi="Times New Roman" w:eastAsia="方正仿宋_GBK" w:cs="Times New Roman"/>
          <w:spacing w:val="-26"/>
          <w:sz w:val="32"/>
          <w:szCs w:val="32"/>
        </w:rPr>
        <w:t>县市场监督和城乡管理综合执法局副局长</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1920" w:firstLineChars="6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张再波    县教育局局长助理、教科中心主任</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1920" w:firstLineChars="6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尹宇泽    县公安局政工监督室主任</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领导小组下设办公室（盈江县语言文字工作委员会办公室【简称语委办】）在教育局教科中心，具体负责日常工作事务。办公室主任由张再波兼任，副主任由孟宏春、王眺担任，</w:t>
      </w:r>
      <w:r>
        <w:rPr>
          <w:rFonts w:hint="eastAsia" w:eastAsia="方正仿宋_GBK" w:cs="Times New Roman"/>
          <w:sz w:val="32"/>
          <w:szCs w:val="32"/>
          <w:lang w:eastAsia="zh-CN"/>
        </w:rPr>
        <w:t>成员由县教育局抽调组成，</w:t>
      </w:r>
      <w:r>
        <w:rPr>
          <w:rFonts w:hint="default" w:ascii="Times New Roman" w:hAnsi="Times New Roman" w:eastAsia="方正仿宋_GBK" w:cs="Times New Roman"/>
          <w:sz w:val="32"/>
          <w:szCs w:val="32"/>
        </w:rPr>
        <w:t>负责组织、指导、协调、督促、检查全县语言文字达标和评估工作。</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四、评估重点</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语言文字工作面广、量大，涉及社会各行各业，必须统筹规划，突出重点，逐步推进。此次评估的重点是党政机关、新闻媒体、学校和主要公共服务行业四个领域。  </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（一）党政机关</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1.制度建设。机关推广普通话和用字规范化要求明确，制度健全，并有检查落实措施。</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2.普及普通话。普通话成为党政机关主要工作用语；按有关文件要求对在职公务员进行培训，使培训人员普通话水平达到规定等级；将普通话合格作为录用公务员的一项参考条件。</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3.社会用字管理。名称牌用字规范；公文、印章用字规范；标志牌、指示牌、电子屏幕、印刷体的标语（牌）等用字规范；日常公示文字用字规范；公务员胸牌、公务用名片用字规范。</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（二）新闻媒体</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制度建设。主管部门将电台、电视台、广播站的普通话纳入业务管理内容，要求明确，制度健全，检查落实到位；把电视屏幕用字规范化纳入电视管理要求，制度健全，管理严格；出版单位把出版物用字规范化纳入出版管理要求，制度健全，管理严格。</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2.普及普通话。电台、电视台自办节目（戏曲、曲艺和傣语、景颇语节目除外）均以普通话播出；播音员、节目主持人普通话水平达到规定等级，并做到持等级证书上岗；普通话成为新闻单位的工作用语。</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社会用字管理。电视制作单位名称和栏目名称、片名用字符合要求；字幕用字规范；电视广告用字符合规定；印刷体报头（名）、刊名、封皮、报刊标题、栏目用字符合要求；报刊等出版物内文字用字规范；报刊广告用字符合规定；编辑、记者、校对、计算机录入人员、影视编辑和中文字幕机操作人员具有运用规范字的能力，逐步做到持证上岗。</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（三）学校</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制度建设。县教育督导部门将语言文字工作纳入教育督导范围，作为教育督导检查评估的内容；主管部门将普及普通话和用字规范化纳入教育教学要求，措施到位，制度健全，检查落实认真；各级各类学校将普及普通话和用字规范化作为素质教育、学校培训目标及管理的内容，要求明确，制度健全，检查落实认真。</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普及普通话。普通话成为各级各类学校及幼儿园的校园语言；加强在职教师普通话培训，在职教师普通话水平达到规定等级；将普通话合格作为对教师进行业务考核和录用教师的一项条件；师范专业和其他与口语表达关系密切的专业的学生，普通话水平达到规定等级；小学、中学（含中等职业学校）学生普通话比较标准。</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社会用字管理。名称牌、标志牌、标语（牌）用字符合要求；公文、校刊（报）、讲义、试卷及其他自办印刷物用字规范；指示牌、电子屏幕等用字规范；教师板书及批改作业、书写评语用字规范；学生能认识并正确书写所学规范字。</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（四）公共服务行业</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1.制度建设。各主管部门对本行业使用普通话和用字规范化有明确要求，制度健全，措施到位。</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2.普及普通话。各行业所属单位以普通话为主要服务用语；特定岗位人员普通话水平达到规定等级。</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社会用字管理。名称牌、招牌、广告制作从业人员具有正确运用规范字的能力，逐步做到持证上岗；名称牌、招牌用字符合要求，汉语拼音、外文书写正确；街牌、巷牌、公共交通站名牌、公共设施标志牌、交通指示牌用字符合有关标准和要求；广告用字符合规定。</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五、工作步骤及具体措施</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（一）宣传动员阶段（2018年3</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5月）</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1.成立县语言文字工作委员会（以下简称县语委）和迎检领导小组，制订迎检方案，明确责任分工。</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2.召开迎检启动大会，传达学习上级有关文件精神，</w:t>
      </w:r>
      <w:r>
        <w:rPr>
          <w:rFonts w:hint="eastAsia" w:eastAsia="方正仿宋_GBK" w:cs="Times New Roman"/>
          <w:sz w:val="32"/>
          <w:szCs w:val="32"/>
          <w:lang w:val="en-US" w:eastAsia="zh-CN"/>
        </w:rPr>
        <w:t>安</w:t>
      </w:r>
      <w:bookmarkStart w:id="0" w:name="_GoBack"/>
      <w:bookmarkEnd w:id="0"/>
      <w:r>
        <w:rPr>
          <w:rFonts w:hint="default" w:ascii="Times New Roman" w:hAnsi="Times New Roman" w:eastAsia="方正仿宋_GBK" w:cs="Times New Roman"/>
          <w:sz w:val="32"/>
          <w:szCs w:val="32"/>
        </w:rPr>
        <w:t>排部署迎检工作任务，签订目标责任书。</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3.各单位成立语言文字机构和迎检领导小组</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有分管领导和联络员等</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，制订迎检工作方案。组织干部职工认真学习掌握国家、省、州、县关于城市语言文字的政策法规和评估检查的有关要求，提高认识，明确任务。</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4.广播、电视等新闻媒体开展形式多样的宣传活动，各单位制作“请讲普通话”、“请写规范字”等标语、标牌，举办以语言文字规范化为主题的墙报、专栏，有网站的单位要开辟语言文字专页，营造良好氛围。</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5.各单位摸查干部职工普通话情况，普通话等级合格者，收集普通话等级证书存档；不合格者组织参加普通话培训和测试。</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（二）培训测试阶段（2018年6</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7月）</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1.县语委组织公共服务单位大力开展普通话培训和测试，参培率达到100%，测试合格率达到80%。</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2.各单位有语言文字工作年度计划和总结；组织开展朗诵、演讲比赛、规范用字自检自查等活动，注意痕迹资料留档。</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3.各单位按照县语委的有关要求，逐项收集、整理、完善迎检备查材料。</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（三）自查整改阶段（2018年8月）</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1.各单位按照县语委要求，对照《云南省三类城市语言文字工作评估指导标准》，逐项进行自查、整改，完善迎检备查资料。</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2.县语言文字工</w:t>
      </w:r>
      <w:r>
        <w:rPr>
          <w:rFonts w:hint="default" w:ascii="Times New Roman" w:hAnsi="Times New Roman" w:eastAsia="方正仿宋_GBK" w:cs="Times New Roman"/>
          <w:sz w:val="32"/>
          <w:szCs w:val="32"/>
          <w:highlight w:val="none"/>
        </w:rPr>
        <w:t>作委员会组织</w:t>
      </w:r>
      <w:r>
        <w:rPr>
          <w:rFonts w:hint="eastAsia" w:ascii="Times New Roman" w:hAnsi="Times New Roman" w:eastAsia="方正仿宋_GBK" w:cs="Times New Roman"/>
          <w:sz w:val="32"/>
          <w:szCs w:val="32"/>
          <w:highlight w:val="none"/>
          <w:lang w:eastAsia="zh-CN"/>
        </w:rPr>
        <w:t>人员</w:t>
      </w:r>
      <w:r>
        <w:rPr>
          <w:rFonts w:hint="default" w:ascii="Times New Roman" w:hAnsi="Times New Roman" w:eastAsia="方正仿宋_GBK" w:cs="Times New Roman"/>
          <w:sz w:val="32"/>
          <w:szCs w:val="32"/>
          <w:highlight w:val="none"/>
        </w:rPr>
        <w:t>进行材料验收</w:t>
      </w:r>
      <w:r>
        <w:rPr>
          <w:rFonts w:hint="default" w:ascii="Times New Roman" w:hAnsi="Times New Roman" w:eastAsia="方正仿宋_GBK" w:cs="Times New Roman"/>
          <w:sz w:val="32"/>
          <w:szCs w:val="32"/>
        </w:rPr>
        <w:t>，不达标的单位按整改要求在整改期限内进行整改，落实整改任务。</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（四）迎检评估阶段（2018年9</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10月）</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1.迎评期间，各单位按照要求做好宣传展板、标语、宣传资料等，进一步营造良好的宣传氛围。</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2.县语言文字工作委员会组织工作专班对重点受评对象进行模拟检查。向省、州语言文字工作委员会提出评估验收申请，并接受三类城市语言文字工作评估。</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六、工作要求</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（一）加强领导，提高认识</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各单位要结合本单位实际及迎检工作要求制订实施方案，明确任务，落实责任，抽调骨干力量组成工作专班负责迎检日常工作，并指定一名熟悉业务的工作人员负责与县语言文字工作委员会办公室联系相关工作。</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（二）明确职责，加强管理</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县语委在县政府的领导下，统一组织迎检工作。负责制订盈江县迎检工作方案，对各部门、各单位迎检工作进行检查指导；组织检查、评估工作，督办整改落实；组织开展各单位普通话培训及测试；指导迎检宣传和档案整理工作，主办语言文字工作简报，通报迎检动态和信息，加强与省、州语言文字工作委员会的联系。</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2.县委组织部、县人社局要将普通话合格作为党政机关工作人员录用聘用和考核的条件之一，全面开展公务员普通话培训与测试工作。</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3.县教育局负责盈江县城区区域内的学校（含幼儿园）的迎检准备工作。</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县市场监督和城乡管理综合执法局负责对企业名称登记、广告、出版物等规范用字下发文件要求，负责对全县企业名称、商品名称及广告用语用字进行管理和监督，对现有企业和商店门面招牌、商品名称及广告等的不规范用字进行清理并督办纠正；负责对广告设计、制作人员进行规范汉字知识培训；负责建设规范用字的示范商业街，并选定一条街道组织制作宣传规范用语用字的灯箱广告。</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县文体广电旅游局、电视台要将普通话作为本系统的工作用语，严格执行播音员、主持人和记者持合格的普通话等级证书上岗制度；充分发挥广播电视等新闻媒体的作用，大力宣传推广普通话、推行规范用字，开办推普栏目和推普专题节目。</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6.县民政局、县住房和城乡建设局负责对街道路牌的审批和规范管理。</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7.县财政局负责本系统迎检准备工作和筹措县语委的迎检资金。</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8.各主管部门负责本系统（行业）的迎检准备工作。交运、邮政、电信、移动、联通、银行、旅游、医院、超市、宾馆等主要服务行业积极开展职工的普通话培训测试和规范用字工作，确保达标。</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（三）强化措施，确保实效</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广泛开展宣传、展示、竞赛活动。电视、广播等新闻媒体要加大语言文字规范化方针政策宣传力度。各部门、各单位要结合实际，开展形式多样的宣传、展示、竞赛活动，营造良好的舆论氛围，并在9月份“全国推广普通话宣传周”期间（每年9月第3周），开展语言才艺类展示活动。县语委将在四大领域内组织开展“语言文字示范单位”创建活动，尤其要在教育系统内开展国家、省级、州级“语言文字示范校”创建活动，以丰富多彩的活动带动良好氛围的形成和普通话水平的提高。</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抓好重点行业推广普通话和汉字规范化工作。党政机关领导、干部要把普通话作为会议、公务活动及机关内部工作用语；学校要把普通话作为教学用语、校园用语；新闻单位要把普通话作为会议、单位内部工作用语，播音员、节目主持人、记者必须使用普通话，并实行持证上岗制度；窗口行业要把“讲普通话、用规范字”作为开展工作的基本要求。各部门各单位要在2018年10月以前组织本单位工作人员参加普通话培训和测试，合格率应达到规定比例。</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开展分阶段督导和迎检总结工作。从相关部门抽调熟悉业务的人员组成迎检工作督导小组，分阶段对各领域、各单位的迎检工作进行检查、督导，对存在的问题及时沟通、指导，限期整改。评估工作结束后，县政府将对迎检不合格或工作质量差的单位进行通报批评。</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落实城市语言文字达标评估工作。各部门要结合自身实际及迎检工作要求制订实施方案，明确任务，落实责任，抽调骨干力量组成工作机构负责迎检日常工作；指定一名熟悉业务的工作人员负责与县语委办公室联系相关工作。</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七、四大领域责任单位分工</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（一）党政机关</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1.牵头单位：县委组织部、县人力资源和社会保障局</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2.责任单位：县委办公室、县人大常委会办公室、县政府办公室、县政协办公室，县工业园区管理委员会，县纪委、</w:t>
      </w:r>
      <w:r>
        <w:rPr>
          <w:rFonts w:hint="eastAsia" w:eastAsia="方正仿宋_GBK" w:cs="Times New Roman"/>
          <w:sz w:val="32"/>
          <w:szCs w:val="32"/>
          <w:lang w:eastAsia="zh-CN"/>
        </w:rPr>
        <w:t>监察委，</w:t>
      </w:r>
      <w:r>
        <w:rPr>
          <w:rFonts w:hint="default" w:ascii="Times New Roman" w:hAnsi="Times New Roman" w:eastAsia="方正仿宋_GBK" w:cs="Times New Roman"/>
          <w:sz w:val="32"/>
          <w:szCs w:val="32"/>
        </w:rPr>
        <w:t>县委组织部、县委老干</w:t>
      </w:r>
      <w:r>
        <w:rPr>
          <w:rFonts w:hint="eastAsia" w:eastAsia="方正仿宋_GBK" w:cs="Times New Roman"/>
          <w:sz w:val="32"/>
          <w:szCs w:val="32"/>
          <w:lang w:val="en-US" w:eastAsia="zh-CN"/>
        </w:rPr>
        <w:t>部</w:t>
      </w:r>
      <w:r>
        <w:rPr>
          <w:rFonts w:hint="default" w:ascii="Times New Roman" w:hAnsi="Times New Roman" w:eastAsia="方正仿宋_GBK" w:cs="Times New Roman"/>
          <w:sz w:val="32"/>
          <w:szCs w:val="32"/>
        </w:rPr>
        <w:t>局、县委宣传部、县委统战部（民宗局）、县委政法委、县委政研室（县新农办）、县委党校、县委编办，县外事办、县政务服务管理局，县发展和改革局、扶贫办、工业和商务局、教育局、科技局、公安局、公安交警大队、民政局、司法局、财政局、人力资源和社会保障局、国土资源局、住房和城乡规划建设局、环境保护局、交通运输局、水利局、农业局、林业局、森林公安局、卫生和计划生育局、文体广电旅游局、审计局、统计局、安全生产监督管理局、市场监督和城乡管理综合执法局、招商合作局、移民开发管理局、史志办、供销社、防震减灾局、档案局</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县人民法院、县人民检察院、县总工会、团县委、县妇联、县侨联、县工商联、县残联、县红十字会、盈江国税局、盈江地税局、盈江海关、盈江气象局、县水文站、县邮政局、盈江中波台、德宏州住房公积金管理中心盈江管理部、盈江公路管理分局、盈江公路路政管理大队、县道路运输管理局、县人民武装部、县公安边防大队、那邦边境检查站、盈江公安消防大队、县机动三中队、县中队、农场管委会、平原镇及辖区内社区居委会等党政机关单位。</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（二）学校</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1.牵头单位：县教育局</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2.责任单位：县教科中心、县第一高级中学、第一初级中学、民族初级中学、民族完全中学、职业高级中学、第一小学、民族小学、县幼儿园、青少年校外活动中心及城区内各民办幼儿园。</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（三）公共服务行业</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1.牵头单位：县政府办</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2.责任单位：县工业和商务局、市场监督和城乡管理综合执法局</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文体广电旅游局、交通运输局、</w:t>
      </w:r>
      <w:r>
        <w:rPr>
          <w:rFonts w:hint="eastAsia" w:eastAsia="方正仿宋_GBK" w:cs="Times New Roman"/>
          <w:sz w:val="32"/>
          <w:szCs w:val="32"/>
          <w:lang w:eastAsia="zh-CN"/>
        </w:rPr>
        <w:t>卫生和计划生育</w:t>
      </w:r>
      <w:r>
        <w:rPr>
          <w:rFonts w:hint="default" w:ascii="Times New Roman" w:hAnsi="Times New Roman" w:eastAsia="方正仿宋_GBK" w:cs="Times New Roman"/>
          <w:sz w:val="32"/>
          <w:szCs w:val="32"/>
        </w:rPr>
        <w:t>局、政务</w:t>
      </w:r>
      <w:r>
        <w:rPr>
          <w:rFonts w:hint="eastAsia" w:eastAsia="方正仿宋_GBK" w:cs="Times New Roman"/>
          <w:sz w:val="32"/>
          <w:szCs w:val="32"/>
          <w:lang w:eastAsia="zh-CN"/>
        </w:rPr>
        <w:t>服务</w:t>
      </w:r>
      <w:r>
        <w:rPr>
          <w:rFonts w:hint="default" w:ascii="Times New Roman" w:hAnsi="Times New Roman" w:eastAsia="方正仿宋_GBK" w:cs="Times New Roman"/>
          <w:sz w:val="32"/>
          <w:szCs w:val="32"/>
        </w:rPr>
        <w:t>管理局</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县人民医院、县中医院、县妇幼保健院、县疾控中心、现代医院、新华医院、和谐医院、人行盈江支行、建行盈江支行、农行盈江支行、县农发行、邮储银行盈江支行、盈江农村商业银行、县供电公司、县烟草公司、盈江电信公司、盈江联通公司、盈江移动公司、人保财险公司、人寿盈江支公司、德宏交通运输集团盈江分公司、边陲大酒店、玉锦大酒店、思源水业有限公司等有关服务行业部门。</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（四）媒体</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1.牵头单位：县委宣传部</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2.责任单位：县文体广电旅游局、县广电网络公司等有关单位。</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八、评估操作办法 </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（一）评估组组成。</w:t>
      </w:r>
      <w:r>
        <w:rPr>
          <w:rFonts w:hint="default" w:ascii="Times New Roman" w:hAnsi="Times New Roman" w:eastAsia="方正仿宋_GBK" w:cs="Times New Roman"/>
          <w:sz w:val="32"/>
          <w:szCs w:val="32"/>
        </w:rPr>
        <w:t xml:space="preserve">盈江县评估组由州语委负责组织，评估组成员由相关行政领导、语言文字专家、普通话水平测试员、语言文字工作干部组成。      </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（二）受评对象。</w:t>
      </w:r>
      <w:r>
        <w:rPr>
          <w:rFonts w:hint="default" w:ascii="Times New Roman" w:hAnsi="Times New Roman" w:eastAsia="方正仿宋_GBK" w:cs="Times New Roman"/>
          <w:sz w:val="32"/>
          <w:szCs w:val="32"/>
        </w:rPr>
        <w:t xml:space="preserve">采取定点和随机相结合的方式确定受评对象，具体规定如下： </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1.党政机关：定点检查政府机关，教育行政部门、广播电视主管部门、新闻出版主管部门；随机检查一个政府组成部门、一个基层政府。 </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2.学校：随机检查一所幼儿园、一所小学、一所普通中学、一所中等职业学校。 </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3.广播电视：定点检查县电视台；随机检查该电视台任一频道的一个新闻节目、一个专题节目、三条自制广告。 </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4.新闻出版：定点检查一政府出版刊物；随机检查一其他报社。抽看上述报纸当年任意一期。</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5.公共服务行业和公共设施：定点检查医院、电信部门；随机检查汽车站、一银行或邮局，一影剧院或体育场（馆）、公园，一大型商场；随机检查街名牌、公共交通站名牌、公共设施标志牌、交通指示牌各三处。 </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（三）评估程序 </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1.听取受评单位汉语言文字工作情况介绍；</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2.查阅受评单位的痕迹资料； </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3.与受评单位人员座谈并做问卷调查；  </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4.按照评估标准规定的指标要素，在规定的抽样范围内进行实地检查； </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5.汇总评分，采取定性与定量相结合的方式进行分析总结，提出认定意见，形成评估报告； </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6.将评估意见向接受评估的单位反馈，并将评估工作情况向上级语言文字工作部门汇报。</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附件：盈江县迎接云南省三类城市语言文字达标验收责任单位任务分解</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jc w:val="both"/>
        <w:textAlignment w:val="auto"/>
        <w:outlineLvl w:val="9"/>
        <w:rPr>
          <w:rFonts w:hint="default" w:ascii="Times New Roman" w:hAnsi="Times New Roman" w:eastAsia="方正仿宋_GBK" w:cs="Times New Roman"/>
          <w:sz w:val="32"/>
          <w:szCs w:val="32"/>
        </w:rPr>
      </w:pP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盈江县迎接云南省三类城市语言文字</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达标验收责任单位任务分解</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一、党政机关</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w:t>
      </w:r>
      <w:r>
        <w:rPr>
          <w:rFonts w:hint="default" w:ascii="Times New Roman" w:hAnsi="Times New Roman" w:eastAsia="方正仿宋_GBK" w:cs="Times New Roman"/>
          <w:sz w:val="32"/>
          <w:szCs w:val="32"/>
        </w:rPr>
        <w:t>牵头单位：县委组织部、县人力资源和社会保障局</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（二）</w:t>
      </w:r>
      <w:r>
        <w:rPr>
          <w:rFonts w:hint="default" w:ascii="Times New Roman" w:hAnsi="Times New Roman" w:eastAsia="方正仿宋_GBK" w:cs="Times New Roman"/>
          <w:sz w:val="32"/>
          <w:szCs w:val="32"/>
        </w:rPr>
        <w:t>责任单位：县委办公室、县人大常委会办公室、县政府办公室、县政协办公室，县工业园区管理委员会，县纪委、</w:t>
      </w:r>
      <w:r>
        <w:rPr>
          <w:rFonts w:hint="eastAsia" w:eastAsia="方正仿宋_GBK" w:cs="Times New Roman"/>
          <w:sz w:val="32"/>
          <w:szCs w:val="32"/>
          <w:lang w:eastAsia="zh-CN"/>
        </w:rPr>
        <w:t>监察委，</w:t>
      </w:r>
      <w:r>
        <w:rPr>
          <w:rFonts w:hint="default" w:ascii="Times New Roman" w:hAnsi="Times New Roman" w:eastAsia="方正仿宋_GBK" w:cs="Times New Roman"/>
          <w:sz w:val="32"/>
          <w:szCs w:val="32"/>
        </w:rPr>
        <w:t>县委组织部、县委老干</w:t>
      </w:r>
      <w:r>
        <w:rPr>
          <w:rFonts w:hint="eastAsia" w:eastAsia="方正仿宋_GBK" w:cs="Times New Roman"/>
          <w:sz w:val="32"/>
          <w:szCs w:val="32"/>
          <w:lang w:val="en-US" w:eastAsia="zh-CN"/>
        </w:rPr>
        <w:t>部</w:t>
      </w:r>
      <w:r>
        <w:rPr>
          <w:rFonts w:hint="default" w:ascii="Times New Roman" w:hAnsi="Times New Roman" w:eastAsia="方正仿宋_GBK" w:cs="Times New Roman"/>
          <w:sz w:val="32"/>
          <w:szCs w:val="32"/>
        </w:rPr>
        <w:t>局、县委宣传部、县委统战部（民宗局）、县委政法委、县委政研室（县新农办）、县委党校、县委编办，县外事办、县政务服务管理局，县发展和改革局、扶贫办、工业和商务局、教育局、科技局、公安局、公安交警大队、民政局、司法局、财政局、人力资源和社会保障局、国土资源局、住房和城乡规划建设局、环境保护局、交通运输局、水利局、农业局、林业局、森林公安局、卫生和计划生育局、文体广电旅游局、审计局、统计局、安全生产监督管理局、市场监督和城乡管理综合执法局、招商合作局、移民开发管理局、史志办、供销社、防震减灾局、档案局</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县人民法院、县人民检察院、县总工会、团县委、县妇联、县侨联、县工商联、县残联、县红十字会、盈江国税局、盈江地税局、盈江海关、盈江气象局、县水文站、县邮政局、盈江中波台、德宏州住房公积金管理中心盈江管理部、盈江公路管理分局、盈江公路路政管理大队、县道路运输管理局、县人民武装部、县公安边防大队、那邦边境检查站、盈江公安消防大队、县机动三中队、县中队、农场管委会、平原镇及辖区内社区居委会等党政机关单位。</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（三）责任单位工作任务</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1.组建语言文字规范化达标创建工作机构（有领导分管，有专人负责）。</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2.组织干部职工学习《国家通用语言文字法》和语言文字规范化达标创建工作的相关文件，领会其精神实质，提高认识，增强公务员带头学习、使用普通话和规范汉字的自觉性。</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3.整理收集语言文字工作计划、总结（2018年）。</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4.对照评估标准及要素，制定机关及系统内语言文字工作的制度、措施，做到内容具体、要求明确、措施有力，并定期检查, 落实。</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5.努力使普通话成为党政机关的工作用语（会议用语、公务活动交际用语、媒体和公共场合讲话用语），充分发挥党政机关的领导和表率作用。</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6.机关办公区设置语言文字宣传栏（板报），办公室、过道设立永久性语言文字宣传标语牌（如：讲普通话，写规范字等）。</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对机关在职人员是否持有普通话等级证书进行摸底筛查，对无证书和等级不达标的人员组织参与普通话培训，使其普通话水平达到国家规定等级（会议记录、培训计划、名单、总结、相关图片资料和等级证书复印件）。</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8.机关用字必须符合汉字规范标准（有文字资料）。认真检查本机关的公文、印章、标志牌、印刷品、宣传品等用字情况，发现错字、别字、繁体字、异体字、二简字要及时更改。</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9.普通话应作为公务员考核、录用的条件之一。</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10.机关主管部门除完成自己的工作任务外，要指导督促下属单位的工作，及时发现、处理问题。</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11.各行业主管部门认真检查从事窗口工作的服务人员、从事内部处理及后勤保障工作人员的普通话使用情况，要求做到用语规范，坚持使用普通话，并有资料可查。</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（四）部分责任单位工作任务</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1.县市场监督和城乡管理综合执法局</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负责指导、督促、检查所属单位，完成达标评估指标及其要素；</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对招牌、广告牌、标识牌等用字制作的从业人员进行规范用字培训，要求其在制作过程中使用规范字，从源头上杜绝不规范字的产生。</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2.县卫生和计划生育局</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负责指导、督促、检查所属单位，完成达标评估指标及其要素；</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各医院认真检查医生处方、诊断书、病历的书写及汉字、外文规范情况，若有不规范、不正确的用字情况，要及时纠正；</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医院做好院内外宣传橱窗用字规范的检查，发现不规范、不正确的用字情况，要及时纠正；</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 xml:space="preserve">所属单位要求以普通话为主要服务用语，对面向大众岗位的人员进行普通话培训，使其普通话水平达到规定等级。 </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二、学校</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（一）牵头单位：</w:t>
      </w:r>
      <w:r>
        <w:rPr>
          <w:rFonts w:hint="default" w:ascii="Times New Roman" w:hAnsi="Times New Roman" w:eastAsia="方正仿宋_GBK" w:cs="Times New Roman"/>
          <w:sz w:val="32"/>
          <w:szCs w:val="32"/>
        </w:rPr>
        <w:t>县教育局</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（二）责任单位：</w:t>
      </w:r>
      <w:r>
        <w:rPr>
          <w:rFonts w:hint="default" w:ascii="Times New Roman" w:hAnsi="Times New Roman" w:eastAsia="方正仿宋_GBK" w:cs="Times New Roman"/>
          <w:sz w:val="32"/>
          <w:szCs w:val="32"/>
        </w:rPr>
        <w:t>县教科中心、县第一高级中学、第一初级中学、民族初级中学、民族完全中学、职业高级中学、第一小学、民族小学、县幼儿园、青少年校外活动中心及城区内各民办幼儿园。</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（三）责任单位工作任务</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1.组建工作机构，成立领导小组（有领导分管，有专人负责）；</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2.整理有关语言文字工作计划、总结（2018年）；</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3.组织教师学习《国家通用语言文字法》《云南省国家通用语言文字条例》和语言文字规范化达标创建工作的相关文件，统一思想，提高认识；</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学校组织开展“推普周”宣传活动。活动主题鲜明，内容生动具体，有声有色，涵盖整个中心城区；督促落实中心城区各类学校将“普通话作为校园语言”和使用规范化汉字规章制度的建立，收集文字、图片资料，并按《云南省三类城市语言文字工作评估指导标准》的每一项指标，检查各类学校的迎评工作；</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5.建立健全语言文字工作制度，把使用普通话作为教师考核、录用的必备条件之一；</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6.普通话成为各级各类学校、幼儿园的教学语言和校园语言（普通话达标时的各种资料要按“评估指导标准”收集备查）；</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7.对在职教师做好普通话培训，使教师的普通话水平达到国家规定等级（会议记录、培训计划、名单、总结、证书复印件、相关图片资料和等级证书复印件）；</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8.教育主管部门把用字规范化纳入教育教学要求，作为教育督导、检查、评估的内容，制度健全，认真检查落实；</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9.各级各类学校将用字规范化作为素质教育、学校管理的内容，要求明确，制度健全，严格管理；</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10.各级各类学校校园用字符合规范化要求。制作永久性宣传标牌、板报，营造良好的宣传环境；</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11.认真检查本单位的公文、印章、标志牌、印刷品、宣传品等的用字情况，不出现错字、别字、繁体字、异体字、二简字等问题，及时发现，及时排除。</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三、公共服务行业</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（一）牵头单位</w:t>
      </w:r>
      <w:r>
        <w:rPr>
          <w:rFonts w:hint="default" w:ascii="Times New Roman" w:hAnsi="Times New Roman" w:eastAsia="方正仿宋_GBK" w:cs="Times New Roman"/>
          <w:sz w:val="32"/>
          <w:szCs w:val="32"/>
        </w:rPr>
        <w:t>：县政府办</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（二）责任单位</w:t>
      </w:r>
      <w:r>
        <w:rPr>
          <w:rFonts w:hint="default" w:ascii="Times New Roman" w:hAnsi="Times New Roman" w:eastAsia="方正仿宋_GBK" w:cs="Times New Roman"/>
          <w:sz w:val="32"/>
          <w:szCs w:val="32"/>
        </w:rPr>
        <w:t>：县工业和商务局、市场监督管理局、文体广电旅游局、交通运输局、卫计局、政务管理局、县人民医院、县中医院、县妇幼保健院、县疾控中心、现代医院、新华医院、和谐医院、人行盈江支行、建行盈江支行、农行盈江支行、县农发行、邮储银行盈江支行、盈江农村商业银行、县供电公司、县烟草公司、盈江电信公司、联通盈江分公司、移动盈江分公司、思源水业有限公司、人保财险公司、人寿盈江支公司、德宏交通运输集团盈江分公司、边陲大酒店、玉锦大酒店。</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（三）责任单位工作任务</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1.组建工作机构，成立领导小组（组长、组员，指定专人负责）；</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各行业主管部门要根据评估标准制定语言文字工作制度、措施，对本行业使用普通话提出明确具体的要求，把普通话纳入精神文明建设工作、行业工作规范和行业人员各项考核，加强检查，落实整改。做好语言文字工作计划、总结（2018年）以备检查；</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3.公共服务行业直接面向服务对象的人员，在公共场合以普通话为服务用语，从业人员须达到与工作相应的普通话等级要求；</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4.坚持以普通话为服务用语，做好普通话培训、使用记录（会议记录、培训计划、名单、总结、证书复印件、相关图片资料和等级证书复印件等）的收集、整理工作以备检查；</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5.对照“评估指导标准”，组织关于语言文字政策及规范用字的培训，使其能够区分规范字和不规范字，并自觉使用规范字，达到堵源截流的目的，实行持培训合格证上岗制度；</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6.认真检查名称牌、招牌、广告用字是否符合规范要求，汉语拼音、外文书写是否符合规范要求，如有不规范情况，要及时改正；</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7.街牌、巷牌、公共交通站牌、交通指示牌、印刷体公共设施标志牌用字必须规范，发现问题要限期整改；</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8.充分挖掘本单位资源，制作个性鲜明的宣传标牌；公交车要营造良好的语言文字环境；</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9.认真检查本单位的公文、印章、标志牌、印刷品、宣传品等用字情况，发现错字、别字、繁体字、异体字、二简字要及时更改。</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（四）部分责任单位工作任务</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1.县工业和商务局</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负责指导、督促、检查所属单位，完成达标评估指标及其要素；</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检查各商业网点服务用字的规范情况；</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所属单位要求以普通话为主要服务用语，对面向大众岗位的人员要进行普通话培训，使其普通话水平达到规定等级。</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2.县道路运输管理局</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负责指导、督促、检查所属单位，完成达标评估指标及其要素；</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组织出租车、公交车司机及售票员进行普通话培训，规范服务用语，定期抽查其普通话使用情况；</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检查公共交通站名牌、交通指示牌的用字规范情况，对不规范用字及时更正；</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迎评期间出租车、公交车张贴“说普通话用规范字”的宣传标语，营造良好的普通话氛围，充分辐射社会。</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3.县文体广电旅游局</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负责指导、督促、检查所属单位，完成达标评估指标及其要素；</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检查城区娱乐场所、KTV、网吧等用字、用语规范情况，发现不规范内容要限期及时整改；</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检查文物古迹的原文字是否保持完好，并检查说明性文字是否使用规范字，若有不规范现象，要及时更正；</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对酒店、宾馆、饭店、景点的用字规范情况进行检查并做好横幅、广告宣传；</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负责指导、督促、检查所属单位，完成达标评估指标及其要素；</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所属单位要求以普通话为主要服务用语，对面向大众岗位的人员进行普通话培训，使其普通话水平达到规定等级；</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7</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所属单位的宣传专栏（板报）、宣传标语牌，不能出现错字、别字、繁体字、异体字、二简字。</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4.邮电、通讯、保险等行业</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组建语言文字工作机构，成立领导小组（有领导分管，有专人负责）；</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收集整理语言文字工作计划、总结，对照评估标准及要素制定语言文字工作制度措施；</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督促在职人员正确使用普通话，对面向大众岗位的人员进行普通话培训，使其普通话水平达到规定等级，提高服务质量。</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  四、媒体</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（一）牵头单位</w:t>
      </w:r>
      <w:r>
        <w:rPr>
          <w:rFonts w:hint="default" w:ascii="Times New Roman" w:hAnsi="Times New Roman" w:eastAsia="方正仿宋_GBK" w:cs="Times New Roman"/>
          <w:sz w:val="32"/>
          <w:szCs w:val="32"/>
        </w:rPr>
        <w:t>：县委宣传部</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（二）责任单位</w:t>
      </w:r>
      <w:r>
        <w:rPr>
          <w:rFonts w:hint="default" w:ascii="Times New Roman" w:hAnsi="Times New Roman" w:eastAsia="方正仿宋_GBK" w:cs="Times New Roman"/>
          <w:sz w:val="32"/>
          <w:szCs w:val="32"/>
        </w:rPr>
        <w:t>：县文体广电旅游局（电视台）、县广电网络公司等有关单位。</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（三）责任单位工作任务</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1.组建工作机构，成立领导小组（有领导分管，有专人负责）；</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2.整理语言文字工作计划、总结（2018年）；</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3.对照评估指标及要素制定语言文字工作制度、措施，做到内容具体、要求明确、措施得力，并定期检查落实；</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4.单位显眼的地方设置语言文字宣传专栏（板报），办公室、过道设立永久性语言文字宣传标语牌；</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5.报刊、出版物、影视屏幕用字要符合规范要求，不能出现错字、别字、繁体字、异体字、二简字（有特殊规定除外）；</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6.认真检查本单位的公文、印章、标志牌、印刷品等用字情况，发现不符合规范要求的，要及时整改；</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7.负责《国家通用语言文字法》《云南省国家通用语言文字条例》的宣传，要求做到家喻户晓，配合县语委办做好迎评阶段和“普通话宣传周”的宣传工作。</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（四）部分责任单位工作任务</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1.县委宣传部</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营造语言文字宣传环境，组织“推普宣传周”专题宣传报导；</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组织电视台定期播放语言文字宣传公益广告，电视台播放语言文字规范化的节目和文稿不少于二次（不含推普周专题宣传）；</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2.县文体广电旅游局</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负责指导、督促、检查所属单位，完成达标评估指标及其要素；</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电视台按评估指标负责营造语言文字规范化宣传环境，电视台定期播放语言文字公益广告，播放语言文字规范化的节目和文稿不少于二次（不含推普周专题宣传）；</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电视台必须用普通话作为播音用语，主持和采访时必须使用普通话；</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要求播音员、节目主持人普通话水平达到国家规定等级，并实行持证上岗制度；</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对编辑、记者、校对、计算机录入、中文字幕操作人员进行汉字规范化知识培训（收集文字、图片资料和证书复印件），实行持证上岗制度；</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负责《国家通用语言文字法》《云南省国家通用语言文字条例》的宣传，要求做到家喻户晓，配合县语委办做好迎评阶段和“普通话宣传周”的宣传工作；</w:t>
      </w:r>
    </w:p>
    <w:p>
      <w:pPr>
        <w:keepNext/>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7</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所属单位要求以普通话为主要服务用语，对面向大众岗位的人员进行普通话培训，使其普通话水平达到规定等级。</w:t>
      </w:r>
    </w:p>
    <w:p>
      <w:pPr>
        <w:keepNext w:val="0"/>
        <w:keepLines w:val="0"/>
        <w:pageBreakBefore w:val="0"/>
        <w:widowControl w:val="0"/>
        <w:kinsoku/>
        <w:wordWrap/>
        <w:overflowPunct/>
        <w:topLinePunct w:val="0"/>
        <w:autoSpaceDE/>
        <w:autoSpaceDN/>
        <w:bidi w:val="0"/>
        <w:adjustRightInd/>
        <w:snapToGrid/>
        <w:spacing w:line="552" w:lineRule="exact"/>
        <w:ind w:left="0" w:leftChars="0" w:right="0" w:rightChars="0"/>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方正仿宋_GBK" w:eastAsia="方正仿宋_GBK"/>
          <w:sz w:val="32"/>
          <w:szCs w:val="32"/>
        </w:rPr>
      </w:pPr>
    </w:p>
    <w:p>
      <w:pPr>
        <w:keepNext w:val="0"/>
        <w:keepLines w:val="0"/>
        <w:pageBreakBefore w:val="0"/>
        <w:widowControl w:val="0"/>
        <w:tabs>
          <w:tab w:val="left" w:pos="50"/>
        </w:tabs>
        <w:kinsoku/>
        <w:wordWrap/>
        <w:overflowPunct/>
        <w:topLinePunct w:val="0"/>
        <w:autoSpaceDE/>
        <w:autoSpaceDN/>
        <w:bidi w:val="0"/>
        <w:adjustRightInd/>
        <w:snapToGrid/>
        <w:spacing w:line="560" w:lineRule="exact"/>
        <w:ind w:right="0" w:rightChars="0"/>
        <w:textAlignment w:val="auto"/>
        <w:rPr>
          <w:rFonts w:hint="eastAsia" w:ascii="方正仿宋_GBK" w:eastAsia="方正仿宋_GBK"/>
          <w:sz w:val="32"/>
          <w:szCs w:val="32"/>
        </w:rPr>
      </w:pPr>
    </w:p>
    <w:p>
      <w:pPr>
        <w:keepNext w:val="0"/>
        <w:keepLines w:val="0"/>
        <w:pageBreakBefore w:val="0"/>
        <w:widowControl w:val="0"/>
        <w:tabs>
          <w:tab w:val="left" w:pos="50"/>
        </w:tabs>
        <w:kinsoku/>
        <w:wordWrap/>
        <w:overflowPunct/>
        <w:topLinePunct w:val="0"/>
        <w:autoSpaceDE/>
        <w:autoSpaceDN/>
        <w:bidi w:val="0"/>
        <w:adjustRightInd/>
        <w:snapToGrid/>
        <w:spacing w:line="560" w:lineRule="exact"/>
        <w:ind w:right="0" w:rightChars="0"/>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方正仿宋_GBK" w:eastAsia="方正仿宋_GBK"/>
          <w:sz w:val="32"/>
          <w:szCs w:val="32"/>
        </w:rPr>
      </w:pPr>
    </w:p>
    <w:p>
      <w:pPr>
        <w:spacing w:line="360" w:lineRule="exact"/>
        <w:rPr>
          <w:rFonts w:hint="eastAsia" w:eastAsia="方正仿宋_GBK"/>
          <w:sz w:val="28"/>
          <w:szCs w:val="28"/>
        </w:rPr>
      </w:pPr>
    </w:p>
    <w:p>
      <w:pPr>
        <w:spacing w:line="160" w:lineRule="exact"/>
        <w:ind w:left="959" w:leftChars="152" w:hanging="640" w:hangingChars="200"/>
        <w:rPr>
          <w:rFonts w:hint="eastAsia" w:eastAsia="方正仿宋_GBK"/>
          <w:sz w:val="28"/>
          <w:szCs w:val="28"/>
        </w:rPr>
      </w:pPr>
      <w:r>
        <w:rPr>
          <w:rFonts w:hint="eastAsia" w:ascii="方正仿宋_GBK" w:eastAsia="方正仿宋_GBK"/>
          <w:sz w:val="32"/>
          <w:szCs w:val="32"/>
        </w:rPr>
        <mc:AlternateContent>
          <mc:Choice Requires="wps">
            <w:drawing>
              <wp:anchor distT="0" distB="0" distL="114300" distR="114300" simplePos="0" relativeHeight="251660288" behindDoc="0" locked="0" layoutInCell="1" allowOverlap="1">
                <wp:simplePos x="0" y="0"/>
                <wp:positionH relativeFrom="column">
                  <wp:posOffset>90170</wp:posOffset>
                </wp:positionH>
                <wp:positionV relativeFrom="paragraph">
                  <wp:posOffset>58420</wp:posOffset>
                </wp:positionV>
                <wp:extent cx="5500370" cy="0"/>
                <wp:effectExtent l="0" t="0" r="0" b="0"/>
                <wp:wrapNone/>
                <wp:docPr id="2" name="直线 54"/>
                <wp:cNvGraphicFramePr/>
                <a:graphic xmlns:a="http://schemas.openxmlformats.org/drawingml/2006/main">
                  <a:graphicData uri="http://schemas.microsoft.com/office/word/2010/wordprocessingShape">
                    <wps:wsp>
                      <wps:cNvCnPr/>
                      <wps:spPr>
                        <a:xfrm>
                          <a:off x="0" y="0"/>
                          <a:ext cx="5500370" cy="0"/>
                        </a:xfrm>
                        <a:prstGeom prst="line">
                          <a:avLst/>
                        </a:prstGeom>
                        <a:ln w="9017" cap="flat" cmpd="sng">
                          <a:solidFill>
                            <a:srgbClr val="000000"/>
                          </a:solidFill>
                          <a:prstDash val="solid"/>
                          <a:headEnd type="none" w="med" len="med"/>
                          <a:tailEnd type="none" w="med" len="med"/>
                        </a:ln>
                      </wps:spPr>
                      <wps:bodyPr upright="1"/>
                    </wps:wsp>
                  </a:graphicData>
                </a:graphic>
              </wp:anchor>
            </w:drawing>
          </mc:Choice>
          <mc:Fallback>
            <w:pict>
              <v:line id="直线 54" o:spid="_x0000_s1026" o:spt="20" style="position:absolute;left:0pt;margin-left:7.1pt;margin-top:4.6pt;height:0pt;width:433.1pt;z-index:251660288;mso-width-relative:page;mso-height-relative:page;" filled="f" stroked="t" coordsize="21600,21600" o:gfxdata="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XkQz91AAAAAYBAAAPAAAAAAAAAAEAIAAAACIAAABkcnMv&#10;ZG93bnJldi54bWxQSwECFAAUAAAACACHTuJArI24i84BAACOAwAADgAAAAAAAAABACAAAAAjAQAA&#10;ZHJzL2Uyb0RvYy54bWxQSwUGAAAAAAYABgBZAQAAYwUAAAAA&#10;">
                <v:fill on="f" focussize="0,0"/>
                <v:stroke weight="0.71pt" color="#000000" joinstyle="round"/>
                <v:imagedata o:title=""/>
                <o:lock v:ext="edit" aspectratio="f"/>
              </v:line>
            </w:pict>
          </mc:Fallback>
        </mc:AlternateContent>
      </w:r>
    </w:p>
    <w:p>
      <w:pPr>
        <w:spacing w:line="360" w:lineRule="exact"/>
        <w:ind w:firstLine="280"/>
        <w:rPr>
          <w:rFonts w:eastAsia="方正仿宋_GBK"/>
          <w:sz w:val="32"/>
          <w:szCs w:val="32"/>
        </w:rPr>
      </w:pPr>
      <w:r>
        <w:rPr>
          <w:rFonts w:eastAsia="方正仿宋_GBK"/>
          <w:sz w:val="32"/>
          <w:szCs w:val="32"/>
        </w:rPr>
        <mc:AlternateContent>
          <mc:Choice Requires="wps">
            <w:drawing>
              <wp:anchor distT="0" distB="0" distL="114300" distR="114300" simplePos="0" relativeHeight="251659264" behindDoc="0" locked="0" layoutInCell="1" allowOverlap="1">
                <wp:simplePos x="0" y="0"/>
                <wp:positionH relativeFrom="column">
                  <wp:posOffset>90170</wp:posOffset>
                </wp:positionH>
                <wp:positionV relativeFrom="paragraph">
                  <wp:posOffset>353060</wp:posOffset>
                </wp:positionV>
                <wp:extent cx="5500370" cy="0"/>
                <wp:effectExtent l="0" t="0" r="0" b="0"/>
                <wp:wrapNone/>
                <wp:docPr id="1" name="直线 48"/>
                <wp:cNvGraphicFramePr/>
                <a:graphic xmlns:a="http://schemas.openxmlformats.org/drawingml/2006/main">
                  <a:graphicData uri="http://schemas.microsoft.com/office/word/2010/wordprocessingShape">
                    <wps:wsp>
                      <wps:cNvCnPr/>
                      <wps:spPr>
                        <a:xfrm>
                          <a:off x="0" y="0"/>
                          <a:ext cx="5500370" cy="0"/>
                        </a:xfrm>
                        <a:prstGeom prst="line">
                          <a:avLst/>
                        </a:prstGeom>
                        <a:ln w="12573" cap="flat" cmpd="sng">
                          <a:solidFill>
                            <a:srgbClr val="000000"/>
                          </a:solidFill>
                          <a:prstDash val="solid"/>
                          <a:headEnd type="none" w="med" len="med"/>
                          <a:tailEnd type="none" w="med" len="med"/>
                        </a:ln>
                      </wps:spPr>
                      <wps:bodyPr upright="1"/>
                    </wps:wsp>
                  </a:graphicData>
                </a:graphic>
              </wp:anchor>
            </w:drawing>
          </mc:Choice>
          <mc:Fallback>
            <w:pict>
              <v:line id="直线 48" o:spid="_x0000_s1026" o:spt="20" style="position:absolute;left:0pt;margin-left:7.1pt;margin-top:27.8pt;height:0pt;width:433.1pt;z-index:251659264;mso-width-relative:page;mso-height-relative:page;" filled="f" stroked="t" coordsize="21600,21600" o:gfxdata="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IoCUf/SAAAACAEAAA8AAAAAAAAAAQAgAAAAIgAAAGRycy9k&#10;b3ducmV2LnhtbFBLAQIUABQAAAAIAIdO4kC7o4ANzwEAAI8DAAAOAAAAAAAAAAEAIAAAACEBAABk&#10;cnMvZTJvRG9jLnhtbFBLBQYAAAAABgAGAFkBAABiBQAAAAA=&#10;">
                <v:fill on="f" focussize="0,0"/>
                <v:stroke weight="0.99pt" color="#000000" joinstyle="round"/>
                <v:imagedata o:title=""/>
                <o:lock v:ext="edit" aspectratio="f"/>
              </v:line>
            </w:pict>
          </mc:Fallback>
        </mc:AlternateContent>
      </w:r>
      <w:r>
        <w:rPr>
          <w:rFonts w:eastAsia="方正仿宋_GBK"/>
          <w:sz w:val="28"/>
          <w:szCs w:val="28"/>
        </w:rPr>
        <w:t xml:space="preserve">盈江县人民政府办公室                  </w:t>
      </w:r>
      <w:r>
        <w:rPr>
          <w:rFonts w:hint="eastAsia" w:eastAsia="方正仿宋_GBK"/>
          <w:sz w:val="28"/>
          <w:szCs w:val="28"/>
        </w:rPr>
        <w:t xml:space="preserve">   </w:t>
      </w:r>
      <w:r>
        <w:rPr>
          <w:rFonts w:eastAsia="方正仿宋_GBK"/>
          <w:sz w:val="28"/>
          <w:szCs w:val="28"/>
        </w:rPr>
        <w:t xml:space="preserve"> 201</w:t>
      </w:r>
      <w:r>
        <w:rPr>
          <w:rFonts w:hint="eastAsia" w:eastAsia="方正仿宋_GBK"/>
          <w:sz w:val="28"/>
          <w:szCs w:val="28"/>
        </w:rPr>
        <w:t>8</w:t>
      </w:r>
      <w:r>
        <w:rPr>
          <w:rFonts w:eastAsia="方正仿宋_GBK"/>
          <w:sz w:val="28"/>
          <w:szCs w:val="28"/>
        </w:rPr>
        <w:t>年</w:t>
      </w:r>
      <w:r>
        <w:rPr>
          <w:rFonts w:hint="eastAsia" w:eastAsia="方正仿宋_GBK"/>
          <w:sz w:val="28"/>
          <w:szCs w:val="28"/>
          <w:lang w:val="en-US" w:eastAsia="zh-CN"/>
        </w:rPr>
        <w:t>5</w:t>
      </w:r>
      <w:r>
        <w:rPr>
          <w:rFonts w:eastAsia="方正仿宋_GBK"/>
          <w:sz w:val="28"/>
          <w:szCs w:val="28"/>
        </w:rPr>
        <w:t>月</w:t>
      </w:r>
      <w:r>
        <w:rPr>
          <w:rFonts w:hint="eastAsia" w:eastAsia="方正仿宋_GBK"/>
          <w:sz w:val="28"/>
          <w:szCs w:val="28"/>
          <w:lang w:val="en-US" w:eastAsia="zh-CN"/>
        </w:rPr>
        <w:t>7</w:t>
      </w:r>
      <w:r>
        <w:rPr>
          <w:rFonts w:eastAsia="方正仿宋_GBK"/>
          <w:sz w:val="28"/>
          <w:szCs w:val="28"/>
        </w:rPr>
        <w:t xml:space="preserve">日印发  </w:t>
      </w:r>
    </w:p>
    <w:sectPr>
      <w:headerReference r:id="rId3" w:type="default"/>
      <w:footerReference r:id="rId4" w:type="default"/>
      <w:footerReference r:id="rId5" w:type="even"/>
      <w:pgSz w:w="11906" w:h="16838"/>
      <w:pgMar w:top="2098" w:right="1531" w:bottom="1984" w:left="1531" w:header="851" w:footer="1559"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bordersDoNotSurroundHeader w:val="1"/>
  <w:bordersDoNotSurroundFooter w:val="1"/>
  <w:attachedTemplate r:id="rId1"/>
  <w:documentProtection w:enforcement="0"/>
  <w:defaultTabStop w:val="420"/>
  <w:hyphenationZone w:val="360"/>
  <w:drawingGridHorizontalSpacing w:val="142"/>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B11DC2"/>
    <w:rsid w:val="00011F92"/>
    <w:rsid w:val="00020D20"/>
    <w:rsid w:val="00022F71"/>
    <w:rsid w:val="000309C9"/>
    <w:rsid w:val="00042F5D"/>
    <w:rsid w:val="00043314"/>
    <w:rsid w:val="00054C5C"/>
    <w:rsid w:val="0005605A"/>
    <w:rsid w:val="00056123"/>
    <w:rsid w:val="00067BE0"/>
    <w:rsid w:val="00072EDB"/>
    <w:rsid w:val="00085FEB"/>
    <w:rsid w:val="000B6ECB"/>
    <w:rsid w:val="000C3E7B"/>
    <w:rsid w:val="000E0B7B"/>
    <w:rsid w:val="001257F0"/>
    <w:rsid w:val="0012652F"/>
    <w:rsid w:val="00174954"/>
    <w:rsid w:val="00180DDB"/>
    <w:rsid w:val="001937E8"/>
    <w:rsid w:val="001B2E12"/>
    <w:rsid w:val="001B3C90"/>
    <w:rsid w:val="001C2752"/>
    <w:rsid w:val="001C5112"/>
    <w:rsid w:val="001D758A"/>
    <w:rsid w:val="001F2AD5"/>
    <w:rsid w:val="00213256"/>
    <w:rsid w:val="002160BC"/>
    <w:rsid w:val="00226FC6"/>
    <w:rsid w:val="002529D3"/>
    <w:rsid w:val="00285694"/>
    <w:rsid w:val="002932FF"/>
    <w:rsid w:val="002962AE"/>
    <w:rsid w:val="002A28D8"/>
    <w:rsid w:val="002B4D25"/>
    <w:rsid w:val="002B4E78"/>
    <w:rsid w:val="002F0CE5"/>
    <w:rsid w:val="002F19EB"/>
    <w:rsid w:val="002F2521"/>
    <w:rsid w:val="00300C8B"/>
    <w:rsid w:val="00333EB4"/>
    <w:rsid w:val="00343127"/>
    <w:rsid w:val="00352FC3"/>
    <w:rsid w:val="003A4FF2"/>
    <w:rsid w:val="003C0F9F"/>
    <w:rsid w:val="003D4CF5"/>
    <w:rsid w:val="003E1807"/>
    <w:rsid w:val="003E6B21"/>
    <w:rsid w:val="003F60EC"/>
    <w:rsid w:val="00402552"/>
    <w:rsid w:val="00406F95"/>
    <w:rsid w:val="00407686"/>
    <w:rsid w:val="0041082B"/>
    <w:rsid w:val="00416EA9"/>
    <w:rsid w:val="004366FF"/>
    <w:rsid w:val="00437765"/>
    <w:rsid w:val="0044607F"/>
    <w:rsid w:val="0046242C"/>
    <w:rsid w:val="0049122A"/>
    <w:rsid w:val="00491AC1"/>
    <w:rsid w:val="004B1123"/>
    <w:rsid w:val="004B6B98"/>
    <w:rsid w:val="004D3998"/>
    <w:rsid w:val="004E42BC"/>
    <w:rsid w:val="004F5736"/>
    <w:rsid w:val="00541FC4"/>
    <w:rsid w:val="00543288"/>
    <w:rsid w:val="005517BB"/>
    <w:rsid w:val="00555A75"/>
    <w:rsid w:val="00562C8C"/>
    <w:rsid w:val="00565623"/>
    <w:rsid w:val="00582D85"/>
    <w:rsid w:val="00585F62"/>
    <w:rsid w:val="005A1AB3"/>
    <w:rsid w:val="005A3FA7"/>
    <w:rsid w:val="005B5DDE"/>
    <w:rsid w:val="005D080E"/>
    <w:rsid w:val="005D24A5"/>
    <w:rsid w:val="005D24B2"/>
    <w:rsid w:val="005F4842"/>
    <w:rsid w:val="00615A60"/>
    <w:rsid w:val="00635CC2"/>
    <w:rsid w:val="00644F51"/>
    <w:rsid w:val="00646CA5"/>
    <w:rsid w:val="00685655"/>
    <w:rsid w:val="00697690"/>
    <w:rsid w:val="006B09B7"/>
    <w:rsid w:val="006D77C4"/>
    <w:rsid w:val="00744F69"/>
    <w:rsid w:val="00751CB3"/>
    <w:rsid w:val="00770D8D"/>
    <w:rsid w:val="00791C3A"/>
    <w:rsid w:val="00797AE6"/>
    <w:rsid w:val="007B1743"/>
    <w:rsid w:val="007D5113"/>
    <w:rsid w:val="007F0C0E"/>
    <w:rsid w:val="00802576"/>
    <w:rsid w:val="00812125"/>
    <w:rsid w:val="00812496"/>
    <w:rsid w:val="00823D74"/>
    <w:rsid w:val="00830D97"/>
    <w:rsid w:val="00844E32"/>
    <w:rsid w:val="008450BB"/>
    <w:rsid w:val="008576FA"/>
    <w:rsid w:val="0086252D"/>
    <w:rsid w:val="00893343"/>
    <w:rsid w:val="008B1B08"/>
    <w:rsid w:val="008D4ABA"/>
    <w:rsid w:val="008D5BFC"/>
    <w:rsid w:val="008E651B"/>
    <w:rsid w:val="008F46CE"/>
    <w:rsid w:val="009013D0"/>
    <w:rsid w:val="00910735"/>
    <w:rsid w:val="009130F5"/>
    <w:rsid w:val="009403E9"/>
    <w:rsid w:val="00941013"/>
    <w:rsid w:val="00954EB5"/>
    <w:rsid w:val="00970F79"/>
    <w:rsid w:val="0098299A"/>
    <w:rsid w:val="0099745E"/>
    <w:rsid w:val="009B1087"/>
    <w:rsid w:val="009D03D3"/>
    <w:rsid w:val="009D115D"/>
    <w:rsid w:val="00A007B8"/>
    <w:rsid w:val="00A00C34"/>
    <w:rsid w:val="00A178B4"/>
    <w:rsid w:val="00A31DCE"/>
    <w:rsid w:val="00A6117A"/>
    <w:rsid w:val="00A90DD1"/>
    <w:rsid w:val="00A94BB6"/>
    <w:rsid w:val="00AA436A"/>
    <w:rsid w:val="00AD05D9"/>
    <w:rsid w:val="00AD29BF"/>
    <w:rsid w:val="00B26ACF"/>
    <w:rsid w:val="00B42994"/>
    <w:rsid w:val="00B929CB"/>
    <w:rsid w:val="00BA0544"/>
    <w:rsid w:val="00BB3CC9"/>
    <w:rsid w:val="00BB51BD"/>
    <w:rsid w:val="00BD049D"/>
    <w:rsid w:val="00BF1F89"/>
    <w:rsid w:val="00BF4877"/>
    <w:rsid w:val="00BF61AF"/>
    <w:rsid w:val="00C06F13"/>
    <w:rsid w:val="00C206F7"/>
    <w:rsid w:val="00C37CF7"/>
    <w:rsid w:val="00C550F7"/>
    <w:rsid w:val="00C67030"/>
    <w:rsid w:val="00C95507"/>
    <w:rsid w:val="00CA351E"/>
    <w:rsid w:val="00CB6242"/>
    <w:rsid w:val="00CC5689"/>
    <w:rsid w:val="00CF5A88"/>
    <w:rsid w:val="00D02736"/>
    <w:rsid w:val="00D03F5A"/>
    <w:rsid w:val="00D1112D"/>
    <w:rsid w:val="00D2420F"/>
    <w:rsid w:val="00D279E8"/>
    <w:rsid w:val="00D30AEA"/>
    <w:rsid w:val="00D40F79"/>
    <w:rsid w:val="00D41DAE"/>
    <w:rsid w:val="00D833D7"/>
    <w:rsid w:val="00D92829"/>
    <w:rsid w:val="00DB5B94"/>
    <w:rsid w:val="00DB75B6"/>
    <w:rsid w:val="00DC0CB5"/>
    <w:rsid w:val="00DE548D"/>
    <w:rsid w:val="00DE5AE3"/>
    <w:rsid w:val="00E07A28"/>
    <w:rsid w:val="00E34F5C"/>
    <w:rsid w:val="00E5227D"/>
    <w:rsid w:val="00E67DDB"/>
    <w:rsid w:val="00EA5A1E"/>
    <w:rsid w:val="00EB3899"/>
    <w:rsid w:val="00EC419A"/>
    <w:rsid w:val="00EF1307"/>
    <w:rsid w:val="00F17CFF"/>
    <w:rsid w:val="00F25784"/>
    <w:rsid w:val="00F42FAE"/>
    <w:rsid w:val="00F91A45"/>
    <w:rsid w:val="00F97C4F"/>
    <w:rsid w:val="00FB530F"/>
    <w:rsid w:val="00FE483C"/>
    <w:rsid w:val="00FE6847"/>
    <w:rsid w:val="00FE6E79"/>
    <w:rsid w:val="00FF1488"/>
    <w:rsid w:val="025E3903"/>
    <w:rsid w:val="08B11DC2"/>
    <w:rsid w:val="0A1142D3"/>
    <w:rsid w:val="14BD6F65"/>
    <w:rsid w:val="1504769C"/>
    <w:rsid w:val="15A03ADC"/>
    <w:rsid w:val="16CD49B5"/>
    <w:rsid w:val="188924A2"/>
    <w:rsid w:val="25FE5235"/>
    <w:rsid w:val="27B27081"/>
    <w:rsid w:val="27E46564"/>
    <w:rsid w:val="28F076E6"/>
    <w:rsid w:val="33426724"/>
    <w:rsid w:val="3BFB4078"/>
    <w:rsid w:val="3C69448A"/>
    <w:rsid w:val="3F3246B5"/>
    <w:rsid w:val="43EC054C"/>
    <w:rsid w:val="521322A2"/>
    <w:rsid w:val="567E20DC"/>
    <w:rsid w:val="5B590290"/>
    <w:rsid w:val="5DA33616"/>
    <w:rsid w:val="64CD3E29"/>
    <w:rsid w:val="68940FB4"/>
    <w:rsid w:val="6B024765"/>
    <w:rsid w:val="6CAD29ED"/>
    <w:rsid w:val="6ED910FB"/>
    <w:rsid w:val="7E104D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link w:val="7"/>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Char Char Char Char Char Char Char Char Char Char Char Char Char Char Char Char Char Char Char Char Char Char Char Char Char Char Char Char Char Char Char Char Char"/>
    <w:basedOn w:val="1"/>
    <w:link w:val="6"/>
    <w:qFormat/>
    <w:uiPriority w:val="0"/>
    <w:pPr>
      <w:widowControl/>
      <w:spacing w:after="160" w:line="240" w:lineRule="exact"/>
      <w:jc w:val="left"/>
    </w:pPr>
    <w:rPr>
      <w:szCs w:val="20"/>
    </w:rPr>
  </w:style>
  <w:style w:type="character" w:styleId="8">
    <w:name w:val="page number"/>
    <w:basedOn w:val="6"/>
    <w:qFormat/>
    <w:uiPriority w:val="0"/>
  </w:style>
  <w:style w:type="character" w:styleId="9">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0408;&#25919;&#21150;&#21457;(&#19979;&#34892;&#2599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盈政办发(下行文).dot</Template>
  <Company>德宏州盈江县党政机关单位</Company>
  <Pages>2</Pages>
  <Words>148</Words>
  <Characters>157</Characters>
  <Lines>2</Lines>
  <Paragraphs>1</Paragraphs>
  <TotalTime>0</TotalTime>
  <ScaleCrop>false</ScaleCrop>
  <LinksUpToDate>false</LinksUpToDate>
  <CharactersWithSpaces>244</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2018-05-06T07:14:00Z</dcterms:created>
  <dc:creator>盈江人民政府办</dc:creator>
  <cp:lastModifiedBy>小光</cp:lastModifiedBy>
  <cp:lastPrinted>2018-05-07T07:42:00Z</cp:lastPrinted>
  <dcterms:modified xsi:type="dcterms:W3CDTF">2022-07-01T08:35:28Z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