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2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移交赋权事项目录</w:t>
      </w:r>
    </w:p>
    <w:tbl>
      <w:tblPr>
        <w:tblStyle w:val="6"/>
        <w:tblW w:w="1431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5"/>
        <w:gridCol w:w="1807"/>
        <w:gridCol w:w="3910"/>
        <w:gridCol w:w="1293"/>
        <w:gridCol w:w="1660"/>
        <w:gridCol w:w="482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815" w:type="dxa"/>
            <w:vAlign w:val="top"/>
          </w:tcPr>
          <w:p>
            <w:pPr>
              <w:spacing w:before="268" w:line="340" w:lineRule="exact"/>
              <w:ind w:left="169"/>
              <w:rPr>
                <w:rFonts w:ascii="方正黑体_GBK" w:hAnsi="方正黑体_GBK" w:eastAsia="方正黑体_GBK" w:cs="方正黑体_GBK"/>
                <w:sz w:val="23"/>
                <w:szCs w:val="23"/>
              </w:rPr>
            </w:pPr>
            <w:r>
              <w:rPr>
                <w:rFonts w:ascii="方正黑体_GBK" w:hAnsi="方正黑体_GBK" w:eastAsia="方正黑体_GBK" w:cs="方正黑体_GBK"/>
                <w:spacing w:val="7"/>
                <w:position w:val="2"/>
                <w:sz w:val="23"/>
                <w:szCs w:val="23"/>
              </w:rPr>
              <w:t>序号</w:t>
            </w:r>
          </w:p>
        </w:tc>
        <w:tc>
          <w:tcPr>
            <w:tcW w:w="1807" w:type="dxa"/>
            <w:vAlign w:val="top"/>
          </w:tcPr>
          <w:p>
            <w:pPr>
              <w:spacing w:before="269" w:line="239" w:lineRule="auto"/>
              <w:ind w:left="192"/>
              <w:rPr>
                <w:rFonts w:ascii="方正黑体_GBK" w:hAnsi="方正黑体_GBK" w:eastAsia="方正黑体_GBK" w:cs="方正黑体_GBK"/>
                <w:sz w:val="23"/>
                <w:szCs w:val="23"/>
              </w:rPr>
            </w:pPr>
            <w:r>
              <w:rPr>
                <w:rFonts w:ascii="方正黑体_GBK" w:hAnsi="方正黑体_GBK" w:eastAsia="方正黑体_GBK" w:cs="方正黑体_GBK"/>
                <w:spacing w:val="7"/>
                <w:sz w:val="23"/>
                <w:szCs w:val="23"/>
              </w:rPr>
              <w:t>县级主管部门</w:t>
            </w:r>
          </w:p>
        </w:tc>
        <w:tc>
          <w:tcPr>
            <w:tcW w:w="3910" w:type="dxa"/>
            <w:vAlign w:val="top"/>
          </w:tcPr>
          <w:p>
            <w:pPr>
              <w:spacing w:before="269" w:line="239" w:lineRule="auto"/>
              <w:ind w:left="1484"/>
              <w:rPr>
                <w:rFonts w:ascii="方正黑体_GBK" w:hAnsi="方正黑体_GBK" w:eastAsia="方正黑体_GBK" w:cs="方正黑体_GBK"/>
                <w:sz w:val="23"/>
                <w:szCs w:val="23"/>
              </w:rPr>
            </w:pPr>
            <w:r>
              <w:rPr>
                <w:rFonts w:ascii="方正黑体_GBK" w:hAnsi="方正黑体_GBK" w:eastAsia="方正黑体_GBK" w:cs="方正黑体_GBK"/>
                <w:spacing w:val="6"/>
                <w:sz w:val="23"/>
                <w:szCs w:val="23"/>
              </w:rPr>
              <w:t>事项名称</w:t>
            </w:r>
          </w:p>
        </w:tc>
        <w:tc>
          <w:tcPr>
            <w:tcW w:w="1293" w:type="dxa"/>
            <w:vAlign w:val="top"/>
          </w:tcPr>
          <w:p>
            <w:pPr>
              <w:spacing w:before="269" w:line="239" w:lineRule="auto"/>
              <w:ind w:left="175"/>
              <w:rPr>
                <w:rFonts w:ascii="方正黑体_GBK" w:hAnsi="方正黑体_GBK" w:eastAsia="方正黑体_GBK" w:cs="方正黑体_GBK"/>
                <w:sz w:val="23"/>
                <w:szCs w:val="23"/>
              </w:rPr>
            </w:pPr>
            <w:r>
              <w:rPr>
                <w:rFonts w:ascii="方正黑体_GBK" w:hAnsi="方正黑体_GBK" w:eastAsia="方正黑体_GBK" w:cs="方正黑体_GBK"/>
                <w:spacing w:val="6"/>
                <w:sz w:val="23"/>
                <w:szCs w:val="23"/>
              </w:rPr>
              <w:t>事项类型</w:t>
            </w:r>
          </w:p>
        </w:tc>
        <w:tc>
          <w:tcPr>
            <w:tcW w:w="1660" w:type="dxa"/>
            <w:vAlign w:val="top"/>
          </w:tcPr>
          <w:p>
            <w:pPr>
              <w:spacing w:before="268" w:line="242" w:lineRule="auto"/>
              <w:ind w:left="364"/>
              <w:rPr>
                <w:rFonts w:ascii="方正黑体_GBK" w:hAnsi="方正黑体_GBK" w:eastAsia="方正黑体_GBK" w:cs="方正黑体_GBK"/>
                <w:sz w:val="23"/>
                <w:szCs w:val="23"/>
              </w:rPr>
            </w:pPr>
            <w:r>
              <w:rPr>
                <w:rFonts w:ascii="方正黑体_GBK" w:hAnsi="方正黑体_GBK" w:eastAsia="方正黑体_GBK" w:cs="方正黑体_GBK"/>
                <w:spacing w:val="5"/>
                <w:sz w:val="23"/>
                <w:szCs w:val="23"/>
              </w:rPr>
              <w:t>实施机关</w:t>
            </w:r>
          </w:p>
        </w:tc>
        <w:tc>
          <w:tcPr>
            <w:tcW w:w="4827" w:type="dxa"/>
            <w:vAlign w:val="top"/>
          </w:tcPr>
          <w:p>
            <w:pPr>
              <w:spacing w:before="268" w:line="242" w:lineRule="auto"/>
              <w:ind w:left="1581"/>
              <w:rPr>
                <w:rFonts w:ascii="方正黑体_GBK" w:hAnsi="方正黑体_GBK" w:eastAsia="方正黑体_GBK" w:cs="方正黑体_GBK"/>
                <w:sz w:val="23"/>
                <w:szCs w:val="23"/>
              </w:rPr>
            </w:pPr>
            <w:r>
              <w:rPr>
                <w:rFonts w:ascii="方正黑体_GBK" w:hAnsi="方正黑体_GBK" w:eastAsia="方正黑体_GBK" w:cs="方正黑体_GBK"/>
                <w:spacing w:val="8"/>
                <w:sz w:val="23"/>
                <w:szCs w:val="23"/>
              </w:rPr>
              <w:t>设定和实施依据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815" w:type="dxa"/>
            <w:vAlign w:val="center"/>
          </w:tcPr>
          <w:p>
            <w:pPr>
              <w:spacing w:line="337" w:lineRule="auto"/>
              <w:jc w:val="both"/>
              <w:rPr>
                <w:rFonts w:ascii="Arial"/>
                <w:sz w:val="21"/>
              </w:rPr>
            </w:pPr>
          </w:p>
          <w:p>
            <w:pPr>
              <w:spacing w:before="66" w:line="192" w:lineRule="auto"/>
              <w:ind w:left="290"/>
              <w:jc w:val="both"/>
              <w:rPr>
                <w:rFonts w:hint="eastAsia" w:ascii="Times New Roman" w:hAnsi="Times New Roman" w:eastAsia="宋体" w:cs="Times New Roman"/>
                <w:sz w:val="23"/>
                <w:szCs w:val="2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3"/>
                <w:szCs w:val="23"/>
                <w:lang w:val="en-US" w:eastAsia="zh-CN"/>
              </w:rPr>
              <w:t>1</w:t>
            </w:r>
          </w:p>
        </w:tc>
        <w:tc>
          <w:tcPr>
            <w:tcW w:w="1807" w:type="dxa"/>
            <w:vAlign w:val="top"/>
          </w:tcPr>
          <w:p>
            <w:pPr>
              <w:pStyle w:val="7"/>
              <w:spacing w:before="184" w:line="202" w:lineRule="auto"/>
              <w:ind w:left="672" w:right="181" w:hanging="474"/>
            </w:pPr>
            <w:r>
              <w:rPr>
                <w:spacing w:val="7"/>
              </w:rPr>
              <w:t>县级消防救援</w:t>
            </w:r>
            <w:r>
              <w:t xml:space="preserve"> </w:t>
            </w:r>
            <w:r>
              <w:rPr>
                <w:spacing w:val="3"/>
              </w:rPr>
              <w:t>机构</w:t>
            </w:r>
          </w:p>
        </w:tc>
        <w:tc>
          <w:tcPr>
            <w:tcW w:w="3910" w:type="dxa"/>
            <w:vAlign w:val="top"/>
          </w:tcPr>
          <w:p>
            <w:pPr>
              <w:pStyle w:val="7"/>
              <w:spacing w:before="26" w:line="188" w:lineRule="auto"/>
              <w:ind w:left="117" w:right="105" w:firstLine="3"/>
              <w:jc w:val="both"/>
            </w:pPr>
            <w:r>
              <w:rPr>
                <w:spacing w:val="15"/>
              </w:rPr>
              <w:t>对在住宅楼楼梯间、楼道等疏散通</w:t>
            </w:r>
            <w:r>
              <w:rPr>
                <w:spacing w:val="3"/>
              </w:rPr>
              <w:t xml:space="preserve"> </w:t>
            </w:r>
            <w:r>
              <w:rPr>
                <w:spacing w:val="15"/>
              </w:rPr>
              <w:t>道、安全出口停放电动自行车行为</w:t>
            </w:r>
            <w:r>
              <w:rPr>
                <w:spacing w:val="6"/>
              </w:rPr>
              <w:t xml:space="preserve"> </w:t>
            </w:r>
            <w:r>
              <w:rPr>
                <w:spacing w:val="5"/>
              </w:rPr>
              <w:t>的处罚</w:t>
            </w:r>
          </w:p>
        </w:tc>
        <w:tc>
          <w:tcPr>
            <w:tcW w:w="1293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9" w:line="209" w:lineRule="auto"/>
              <w:ind w:left="177"/>
            </w:pPr>
            <w:r>
              <w:rPr>
                <w:spacing w:val="6"/>
              </w:rPr>
              <w:t>行政处罚</w:t>
            </w:r>
          </w:p>
        </w:tc>
        <w:tc>
          <w:tcPr>
            <w:tcW w:w="1660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9" w:line="209" w:lineRule="auto"/>
              <w:ind w:left="151"/>
            </w:pPr>
            <w:r>
              <w:rPr>
                <w:spacing w:val="2"/>
              </w:rPr>
              <w:t>乡镇人民政府</w:t>
            </w:r>
          </w:p>
        </w:tc>
        <w:tc>
          <w:tcPr>
            <w:tcW w:w="4827" w:type="dxa"/>
            <w:vAlign w:val="top"/>
          </w:tcPr>
          <w:p>
            <w:pPr>
              <w:pStyle w:val="7"/>
              <w:spacing w:before="185" w:line="194" w:lineRule="auto"/>
              <w:ind w:left="93"/>
              <w:rPr>
                <w:rFonts w:hint="eastAsia" w:eastAsia="微软雅黑"/>
                <w:lang w:eastAsia="zh-CN"/>
              </w:rPr>
            </w:pPr>
            <w:r>
              <w:rPr>
                <w:spacing w:val="9"/>
              </w:rPr>
              <w:t>《中华人民共和国消防法</w:t>
            </w:r>
            <w:r>
              <w:rPr>
                <w:rFonts w:hint="eastAsia"/>
                <w:spacing w:val="9"/>
                <w:lang w:eastAsia="zh-CN"/>
              </w:rPr>
              <w:t>》</w:t>
            </w:r>
            <w:bookmarkStart w:id="0" w:name="_GoBack"/>
            <w:bookmarkEnd w:id="0"/>
          </w:p>
          <w:p>
            <w:pPr>
              <w:pStyle w:val="7"/>
              <w:spacing w:line="209" w:lineRule="auto"/>
              <w:ind w:left="93"/>
            </w:pPr>
            <w:r>
              <w:rPr>
                <w:spacing w:val="13"/>
              </w:rPr>
              <w:t>《云南省消防条例》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15" w:type="dxa"/>
            <w:vAlign w:val="center"/>
          </w:tcPr>
          <w:p>
            <w:pPr>
              <w:spacing w:before="245" w:line="192" w:lineRule="auto"/>
              <w:ind w:left="295"/>
              <w:jc w:val="both"/>
              <w:rPr>
                <w:rFonts w:hint="eastAsia" w:ascii="Times New Roman" w:hAnsi="Times New Roman" w:eastAsia="宋体" w:cs="Times New Roman"/>
                <w:sz w:val="23"/>
                <w:szCs w:val="23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2"/>
                <w:sz w:val="23"/>
                <w:szCs w:val="23"/>
                <w:lang w:val="en-US" w:eastAsia="zh-CN"/>
              </w:rPr>
              <w:t>2</w:t>
            </w:r>
          </w:p>
        </w:tc>
        <w:tc>
          <w:tcPr>
            <w:tcW w:w="1807" w:type="dxa"/>
            <w:vAlign w:val="top"/>
          </w:tcPr>
          <w:p>
            <w:pPr>
              <w:pStyle w:val="7"/>
              <w:spacing w:before="26" w:line="185" w:lineRule="auto"/>
              <w:ind w:left="672" w:right="181" w:hanging="474"/>
            </w:pPr>
            <w:r>
              <w:rPr>
                <w:spacing w:val="7"/>
              </w:rPr>
              <w:t>县级消防救援</w:t>
            </w:r>
            <w:r>
              <w:t xml:space="preserve"> </w:t>
            </w:r>
            <w:r>
              <w:rPr>
                <w:spacing w:val="3"/>
              </w:rPr>
              <w:t>机构</w:t>
            </w:r>
          </w:p>
        </w:tc>
        <w:tc>
          <w:tcPr>
            <w:tcW w:w="3910" w:type="dxa"/>
            <w:vAlign w:val="top"/>
          </w:tcPr>
          <w:p>
            <w:pPr>
              <w:pStyle w:val="7"/>
              <w:spacing w:before="185" w:line="209" w:lineRule="auto"/>
              <w:ind w:left="120"/>
            </w:pPr>
            <w:r>
              <w:rPr>
                <w:spacing w:val="8"/>
              </w:rPr>
              <w:t>对埋压、圈占、遮挡消火栓的处罚</w:t>
            </w:r>
          </w:p>
        </w:tc>
        <w:tc>
          <w:tcPr>
            <w:tcW w:w="1293" w:type="dxa"/>
            <w:vAlign w:val="top"/>
          </w:tcPr>
          <w:p>
            <w:pPr>
              <w:pStyle w:val="7"/>
              <w:spacing w:before="185" w:line="209" w:lineRule="auto"/>
              <w:ind w:left="177"/>
            </w:pPr>
            <w:r>
              <w:rPr>
                <w:spacing w:val="6"/>
              </w:rPr>
              <w:t>行政处罚</w:t>
            </w:r>
          </w:p>
        </w:tc>
        <w:tc>
          <w:tcPr>
            <w:tcW w:w="1660" w:type="dxa"/>
            <w:vAlign w:val="top"/>
          </w:tcPr>
          <w:p>
            <w:pPr>
              <w:pStyle w:val="7"/>
              <w:spacing w:before="186" w:line="209" w:lineRule="auto"/>
              <w:ind w:left="151"/>
            </w:pPr>
            <w:r>
              <w:rPr>
                <w:spacing w:val="2"/>
              </w:rPr>
              <w:t>乡镇人民政府</w:t>
            </w:r>
          </w:p>
        </w:tc>
        <w:tc>
          <w:tcPr>
            <w:tcW w:w="4827" w:type="dxa"/>
            <w:vAlign w:val="top"/>
          </w:tcPr>
          <w:p>
            <w:pPr>
              <w:pStyle w:val="7"/>
              <w:spacing w:before="186" w:line="209" w:lineRule="auto"/>
              <w:ind w:left="93"/>
            </w:pPr>
            <w:r>
              <w:rPr>
                <w:spacing w:val="12"/>
              </w:rPr>
              <w:t>《中华人民共和国消防法》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815" w:type="dxa"/>
            <w:vAlign w:val="center"/>
          </w:tcPr>
          <w:p>
            <w:pPr>
              <w:spacing w:before="286" w:line="192" w:lineRule="auto"/>
              <w:ind w:left="295"/>
              <w:jc w:val="both"/>
              <w:rPr>
                <w:rFonts w:hint="eastAsia" w:ascii="Times New Roman" w:hAnsi="Times New Roman" w:eastAsia="宋体" w:cs="Times New Roman"/>
                <w:sz w:val="23"/>
                <w:szCs w:val="2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3"/>
                <w:szCs w:val="23"/>
                <w:lang w:val="en-US" w:eastAsia="zh-CN"/>
              </w:rPr>
              <w:t>3</w:t>
            </w:r>
          </w:p>
        </w:tc>
        <w:tc>
          <w:tcPr>
            <w:tcW w:w="1807" w:type="dxa"/>
            <w:vAlign w:val="top"/>
          </w:tcPr>
          <w:p>
            <w:pPr>
              <w:pStyle w:val="7"/>
              <w:spacing w:before="66" w:line="198" w:lineRule="auto"/>
              <w:ind w:left="672" w:right="181" w:hanging="474"/>
            </w:pPr>
            <w:r>
              <w:rPr>
                <w:spacing w:val="7"/>
              </w:rPr>
              <w:t>县级消防救援</w:t>
            </w:r>
            <w:r>
              <w:t xml:space="preserve"> </w:t>
            </w:r>
            <w:r>
              <w:rPr>
                <w:spacing w:val="3"/>
              </w:rPr>
              <w:t>机构</w:t>
            </w:r>
          </w:p>
        </w:tc>
        <w:tc>
          <w:tcPr>
            <w:tcW w:w="3910" w:type="dxa"/>
            <w:vAlign w:val="top"/>
          </w:tcPr>
          <w:p>
            <w:pPr>
              <w:pStyle w:val="7"/>
              <w:spacing w:before="66" w:line="198" w:lineRule="auto"/>
              <w:ind w:left="124" w:right="105" w:hanging="4"/>
            </w:pPr>
            <w:r>
              <w:rPr>
                <w:spacing w:val="15"/>
              </w:rPr>
              <w:t>对占用、堵塞、封闭消防车通道行</w:t>
            </w:r>
            <w:r>
              <w:rPr>
                <w:spacing w:val="3"/>
              </w:rPr>
              <w:t xml:space="preserve"> </w:t>
            </w:r>
            <w:r>
              <w:rPr>
                <w:spacing w:val="4"/>
              </w:rPr>
              <w:t>为的处罚</w:t>
            </w:r>
          </w:p>
        </w:tc>
        <w:tc>
          <w:tcPr>
            <w:tcW w:w="1293" w:type="dxa"/>
            <w:vAlign w:val="top"/>
          </w:tcPr>
          <w:p>
            <w:pPr>
              <w:pStyle w:val="7"/>
              <w:spacing w:before="226" w:line="209" w:lineRule="auto"/>
              <w:ind w:left="177"/>
            </w:pPr>
            <w:r>
              <w:rPr>
                <w:spacing w:val="6"/>
              </w:rPr>
              <w:t>行政处罚</w:t>
            </w:r>
          </w:p>
        </w:tc>
        <w:tc>
          <w:tcPr>
            <w:tcW w:w="1660" w:type="dxa"/>
            <w:vAlign w:val="top"/>
          </w:tcPr>
          <w:p>
            <w:pPr>
              <w:pStyle w:val="7"/>
              <w:spacing w:before="227" w:line="209" w:lineRule="auto"/>
              <w:ind w:left="151"/>
            </w:pPr>
            <w:r>
              <w:rPr>
                <w:spacing w:val="2"/>
              </w:rPr>
              <w:t>乡镇人民政府</w:t>
            </w:r>
          </w:p>
        </w:tc>
        <w:tc>
          <w:tcPr>
            <w:tcW w:w="4827" w:type="dxa"/>
            <w:vAlign w:val="top"/>
          </w:tcPr>
          <w:p>
            <w:pPr>
              <w:pStyle w:val="7"/>
              <w:spacing w:before="227" w:line="209" w:lineRule="auto"/>
              <w:ind w:left="93"/>
            </w:pPr>
            <w:r>
              <w:rPr>
                <w:spacing w:val="12"/>
              </w:rPr>
              <w:t>《中华人民共和国消防法》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3" w:hRule="atLeast"/>
        </w:trPr>
        <w:tc>
          <w:tcPr>
            <w:tcW w:w="815" w:type="dxa"/>
            <w:vAlign w:val="center"/>
          </w:tcPr>
          <w:p>
            <w:pPr>
              <w:spacing w:before="66" w:line="192" w:lineRule="auto"/>
              <w:ind w:left="295"/>
              <w:jc w:val="both"/>
              <w:rPr>
                <w:rFonts w:hint="eastAsia" w:ascii="Times New Roman" w:hAnsi="Times New Roman" w:eastAsia="宋体" w:cs="Times New Roman"/>
                <w:sz w:val="23"/>
                <w:szCs w:val="2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3"/>
                <w:szCs w:val="23"/>
                <w:lang w:val="en-US" w:eastAsia="zh-CN"/>
              </w:rPr>
              <w:t>4</w:t>
            </w:r>
          </w:p>
        </w:tc>
        <w:tc>
          <w:tcPr>
            <w:tcW w:w="1807" w:type="dxa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8" w:line="202" w:lineRule="auto"/>
              <w:ind w:left="672" w:right="181" w:hanging="474"/>
            </w:pPr>
            <w:r>
              <w:rPr>
                <w:spacing w:val="7"/>
              </w:rPr>
              <w:t>县级消防救援</w:t>
            </w:r>
            <w:r>
              <w:t xml:space="preserve"> </w:t>
            </w:r>
            <w:r>
              <w:rPr>
                <w:spacing w:val="3"/>
              </w:rPr>
              <w:t>机构</w:t>
            </w:r>
          </w:p>
        </w:tc>
        <w:tc>
          <w:tcPr>
            <w:tcW w:w="3910" w:type="dxa"/>
            <w:vAlign w:val="top"/>
          </w:tcPr>
          <w:p>
            <w:pPr>
              <w:pStyle w:val="7"/>
              <w:spacing w:before="67" w:line="197" w:lineRule="auto"/>
              <w:ind w:left="118" w:right="105" w:firstLine="2"/>
            </w:pPr>
            <w:r>
              <w:rPr>
                <w:spacing w:val="13"/>
              </w:rPr>
              <w:t>对人员密集场所或者生产、储存、</w:t>
            </w:r>
            <w:r>
              <w:rPr>
                <w:spacing w:val="4"/>
              </w:rPr>
              <w:t xml:space="preserve"> </w:t>
            </w:r>
            <w:r>
              <w:rPr>
                <w:spacing w:val="12"/>
              </w:rPr>
              <w:t>经营易燃易爆危险品场所，</w:t>
            </w:r>
            <w:r>
              <w:rPr>
                <w:spacing w:val="-18"/>
              </w:rPr>
              <w:t xml:space="preserve"> </w:t>
            </w:r>
            <w:r>
              <w:rPr>
                <w:spacing w:val="12"/>
              </w:rPr>
              <w:t>在门窗</w:t>
            </w:r>
            <w:r>
              <w:t xml:space="preserve"> </w:t>
            </w:r>
            <w:r>
              <w:rPr>
                <w:spacing w:val="15"/>
              </w:rPr>
              <w:t>上设置影响逃生和灭火救援障碍物</w:t>
            </w:r>
            <w:r>
              <w:rPr>
                <w:spacing w:val="5"/>
              </w:rPr>
              <w:t xml:space="preserve"> </w:t>
            </w:r>
            <w:r>
              <w:rPr>
                <w:spacing w:val="7"/>
              </w:rPr>
              <w:t>行为的处罚</w:t>
            </w:r>
          </w:p>
        </w:tc>
        <w:tc>
          <w:tcPr>
            <w:tcW w:w="1293" w:type="dxa"/>
            <w:vAlign w:val="top"/>
          </w:tcPr>
          <w:p>
            <w:pPr>
              <w:spacing w:line="44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8" w:line="209" w:lineRule="auto"/>
              <w:ind w:left="177"/>
            </w:pPr>
            <w:r>
              <w:rPr>
                <w:spacing w:val="6"/>
              </w:rPr>
              <w:t>行政处罚</w:t>
            </w:r>
          </w:p>
        </w:tc>
        <w:tc>
          <w:tcPr>
            <w:tcW w:w="1660" w:type="dxa"/>
            <w:vAlign w:val="top"/>
          </w:tcPr>
          <w:p>
            <w:pPr>
              <w:spacing w:line="44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8" w:line="209" w:lineRule="auto"/>
              <w:ind w:left="151"/>
            </w:pPr>
            <w:r>
              <w:rPr>
                <w:spacing w:val="2"/>
              </w:rPr>
              <w:t>乡镇人民政府</w:t>
            </w:r>
          </w:p>
        </w:tc>
        <w:tc>
          <w:tcPr>
            <w:tcW w:w="4827" w:type="dxa"/>
            <w:vAlign w:val="top"/>
          </w:tcPr>
          <w:p>
            <w:pPr>
              <w:spacing w:line="44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8" w:line="209" w:lineRule="auto"/>
              <w:ind w:left="93"/>
            </w:pPr>
            <w:r>
              <w:rPr>
                <w:spacing w:val="13"/>
              </w:rPr>
              <w:t>《云南省消防条例》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7" w:hRule="atLeast"/>
        </w:trPr>
        <w:tc>
          <w:tcPr>
            <w:tcW w:w="815" w:type="dxa"/>
            <w:vAlign w:val="center"/>
          </w:tcPr>
          <w:p>
            <w:pPr>
              <w:spacing w:before="66" w:line="192" w:lineRule="auto"/>
              <w:ind w:left="295"/>
              <w:jc w:val="both"/>
              <w:rPr>
                <w:rFonts w:hint="eastAsia" w:ascii="Times New Roman" w:hAnsi="Times New Roman" w:eastAsia="宋体" w:cs="Times New Roman"/>
                <w:sz w:val="23"/>
                <w:szCs w:val="2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3"/>
                <w:szCs w:val="23"/>
                <w:lang w:val="en-US" w:eastAsia="zh-CN"/>
              </w:rPr>
              <w:t>5</w:t>
            </w:r>
          </w:p>
        </w:tc>
        <w:tc>
          <w:tcPr>
            <w:tcW w:w="1807" w:type="dxa"/>
            <w:vAlign w:val="top"/>
          </w:tcPr>
          <w:p>
            <w:pPr>
              <w:pStyle w:val="7"/>
              <w:spacing w:before="267" w:line="202" w:lineRule="auto"/>
              <w:ind w:left="672" w:right="181" w:hanging="474"/>
            </w:pPr>
            <w:r>
              <w:rPr>
                <w:spacing w:val="7"/>
              </w:rPr>
              <w:t>县级消防救援</w:t>
            </w:r>
            <w:r>
              <w:t xml:space="preserve"> </w:t>
            </w:r>
            <w:r>
              <w:rPr>
                <w:spacing w:val="3"/>
              </w:rPr>
              <w:t>机构</w:t>
            </w:r>
          </w:p>
        </w:tc>
        <w:tc>
          <w:tcPr>
            <w:tcW w:w="3910" w:type="dxa"/>
            <w:vAlign w:val="top"/>
          </w:tcPr>
          <w:p>
            <w:pPr>
              <w:pStyle w:val="7"/>
              <w:spacing w:before="110" w:line="199" w:lineRule="auto"/>
              <w:ind w:left="121" w:right="104" w:hanging="1"/>
            </w:pPr>
            <w:r>
              <w:rPr>
                <w:spacing w:val="13"/>
              </w:rPr>
              <w:t>对人员密集场所或者生产、储存、</w:t>
            </w:r>
            <w:r>
              <w:rPr>
                <w:spacing w:val="4"/>
              </w:rPr>
              <w:t xml:space="preserve"> </w:t>
            </w:r>
            <w:r>
              <w:rPr>
                <w:spacing w:val="32"/>
              </w:rPr>
              <w:t>经营易燃易爆危险品场所擅自拆</w:t>
            </w:r>
            <w:r>
              <w:rPr>
                <w:spacing w:val="8"/>
              </w:rPr>
              <w:t xml:space="preserve"> 除、停用消防设施的处罚</w:t>
            </w:r>
          </w:p>
        </w:tc>
        <w:tc>
          <w:tcPr>
            <w:tcW w:w="1293" w:type="dxa"/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8" w:line="209" w:lineRule="auto"/>
              <w:ind w:left="177"/>
            </w:pPr>
            <w:r>
              <w:rPr>
                <w:spacing w:val="6"/>
              </w:rPr>
              <w:t>行政处罚</w:t>
            </w:r>
          </w:p>
        </w:tc>
        <w:tc>
          <w:tcPr>
            <w:tcW w:w="1660" w:type="dxa"/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8" w:line="209" w:lineRule="auto"/>
              <w:ind w:left="151"/>
            </w:pPr>
            <w:r>
              <w:rPr>
                <w:spacing w:val="2"/>
              </w:rPr>
              <w:t>乡镇人民政府</w:t>
            </w:r>
          </w:p>
        </w:tc>
        <w:tc>
          <w:tcPr>
            <w:tcW w:w="4827" w:type="dxa"/>
            <w:vAlign w:val="top"/>
          </w:tcPr>
          <w:p>
            <w:pPr>
              <w:pStyle w:val="7"/>
              <w:spacing w:before="269" w:line="194" w:lineRule="auto"/>
              <w:ind w:left="93"/>
            </w:pPr>
            <w:r>
              <w:rPr>
                <w:spacing w:val="12"/>
              </w:rPr>
              <w:t>《中华人民共和国消防法》</w:t>
            </w:r>
          </w:p>
          <w:p>
            <w:pPr>
              <w:pStyle w:val="7"/>
              <w:spacing w:line="209" w:lineRule="auto"/>
              <w:ind w:left="93"/>
            </w:pPr>
            <w:r>
              <w:rPr>
                <w:spacing w:val="13"/>
              </w:rPr>
              <w:t>《云南省消防条例》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815" w:type="dxa"/>
            <w:vAlign w:val="center"/>
          </w:tcPr>
          <w:p>
            <w:pPr>
              <w:spacing w:before="66" w:line="192" w:lineRule="auto"/>
              <w:ind w:left="295"/>
              <w:jc w:val="both"/>
              <w:rPr>
                <w:rFonts w:hint="eastAsia" w:ascii="Times New Roman" w:hAnsi="Times New Roman" w:eastAsia="宋体" w:cs="Times New Roman"/>
                <w:sz w:val="23"/>
                <w:szCs w:val="2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3"/>
                <w:szCs w:val="23"/>
                <w:lang w:val="en-US" w:eastAsia="zh-CN"/>
              </w:rPr>
              <w:t>6</w:t>
            </w:r>
          </w:p>
        </w:tc>
        <w:tc>
          <w:tcPr>
            <w:tcW w:w="1807" w:type="dxa"/>
            <w:vAlign w:val="top"/>
          </w:tcPr>
          <w:p>
            <w:pPr>
              <w:pStyle w:val="7"/>
              <w:spacing w:before="179" w:line="202" w:lineRule="auto"/>
              <w:ind w:left="672" w:right="181" w:hanging="474"/>
            </w:pPr>
            <w:r>
              <w:rPr>
                <w:spacing w:val="7"/>
              </w:rPr>
              <w:t>县级消防救援</w:t>
            </w:r>
            <w:r>
              <w:t xml:space="preserve"> </w:t>
            </w:r>
            <w:r>
              <w:rPr>
                <w:spacing w:val="3"/>
              </w:rPr>
              <w:t>机构</w:t>
            </w:r>
          </w:p>
        </w:tc>
        <w:tc>
          <w:tcPr>
            <w:tcW w:w="3910" w:type="dxa"/>
            <w:vAlign w:val="top"/>
          </w:tcPr>
          <w:p>
            <w:pPr>
              <w:pStyle w:val="7"/>
              <w:spacing w:before="182" w:line="201" w:lineRule="auto"/>
              <w:ind w:left="141" w:right="105" w:hanging="23"/>
            </w:pPr>
            <w:r>
              <w:rPr>
                <w:spacing w:val="15"/>
              </w:rPr>
              <w:t>损坏、挪用或者擅自拆除、停用消</w:t>
            </w:r>
            <w:r>
              <w:rPr>
                <w:spacing w:val="5"/>
              </w:rPr>
              <w:t xml:space="preserve"> 防设施、器材的处罚</w:t>
            </w:r>
          </w:p>
        </w:tc>
        <w:tc>
          <w:tcPr>
            <w:tcW w:w="1293" w:type="dxa"/>
            <w:vAlign w:val="top"/>
          </w:tcPr>
          <w:p>
            <w:pPr>
              <w:pStyle w:val="7"/>
              <w:spacing w:before="338" w:line="209" w:lineRule="auto"/>
              <w:ind w:left="177"/>
            </w:pPr>
            <w:r>
              <w:rPr>
                <w:spacing w:val="6"/>
              </w:rPr>
              <w:t>行政处罚</w:t>
            </w:r>
          </w:p>
        </w:tc>
        <w:tc>
          <w:tcPr>
            <w:tcW w:w="1660" w:type="dxa"/>
            <w:vAlign w:val="top"/>
          </w:tcPr>
          <w:p>
            <w:pPr>
              <w:pStyle w:val="7"/>
              <w:spacing w:before="339" w:line="209" w:lineRule="auto"/>
              <w:ind w:left="151"/>
            </w:pPr>
            <w:r>
              <w:rPr>
                <w:spacing w:val="2"/>
              </w:rPr>
              <w:t>乡镇人民政府</w:t>
            </w:r>
          </w:p>
        </w:tc>
        <w:tc>
          <w:tcPr>
            <w:tcW w:w="4827" w:type="dxa"/>
            <w:vAlign w:val="top"/>
          </w:tcPr>
          <w:p>
            <w:pPr>
              <w:pStyle w:val="7"/>
              <w:spacing w:before="339" w:line="209" w:lineRule="auto"/>
              <w:ind w:left="93"/>
            </w:pPr>
            <w:r>
              <w:rPr>
                <w:spacing w:val="12"/>
              </w:rPr>
              <w:t>《中华人民共和国消防法》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4" w:hRule="atLeast"/>
        </w:trPr>
        <w:tc>
          <w:tcPr>
            <w:tcW w:w="815" w:type="dxa"/>
            <w:vAlign w:val="center"/>
          </w:tcPr>
          <w:p>
            <w:pPr>
              <w:spacing w:before="66" w:line="192" w:lineRule="auto"/>
              <w:ind w:left="295"/>
              <w:jc w:val="both"/>
              <w:rPr>
                <w:rFonts w:hint="eastAsia" w:ascii="Times New Roman" w:hAnsi="Times New Roman" w:eastAsia="宋体" w:cs="Times New Roman"/>
                <w:sz w:val="23"/>
                <w:szCs w:val="2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3"/>
                <w:szCs w:val="23"/>
                <w:lang w:val="en-US" w:eastAsia="zh-CN"/>
              </w:rPr>
              <w:t>7</w:t>
            </w:r>
          </w:p>
        </w:tc>
        <w:tc>
          <w:tcPr>
            <w:tcW w:w="1807" w:type="dxa"/>
            <w:vAlign w:val="top"/>
          </w:tcPr>
          <w:p>
            <w:pPr>
              <w:pStyle w:val="7"/>
              <w:spacing w:before="205" w:line="202" w:lineRule="auto"/>
              <w:ind w:left="672" w:right="181" w:hanging="474"/>
            </w:pPr>
            <w:r>
              <w:rPr>
                <w:spacing w:val="7"/>
              </w:rPr>
              <w:t>县级消防救援</w:t>
            </w:r>
            <w:r>
              <w:t xml:space="preserve"> </w:t>
            </w:r>
            <w:r>
              <w:rPr>
                <w:spacing w:val="3"/>
              </w:rPr>
              <w:t>机构</w:t>
            </w:r>
          </w:p>
        </w:tc>
        <w:tc>
          <w:tcPr>
            <w:tcW w:w="3910" w:type="dxa"/>
            <w:vAlign w:val="top"/>
          </w:tcPr>
          <w:p>
            <w:pPr>
              <w:pStyle w:val="7"/>
              <w:spacing w:before="46" w:line="192" w:lineRule="auto"/>
              <w:ind w:left="117" w:right="105" w:firstLine="3"/>
              <w:jc w:val="both"/>
            </w:pPr>
            <w:r>
              <w:rPr>
                <w:spacing w:val="15"/>
              </w:rPr>
              <w:t>对占用、堵塞、封闭疏散通道、安</w:t>
            </w:r>
            <w:r>
              <w:rPr>
                <w:spacing w:val="3"/>
              </w:rPr>
              <w:t xml:space="preserve"> </w:t>
            </w:r>
            <w:r>
              <w:rPr>
                <w:spacing w:val="15"/>
              </w:rPr>
              <w:t>全出口或者有其他妨碍安全疏散行</w:t>
            </w:r>
            <w:r>
              <w:rPr>
                <w:spacing w:val="6"/>
              </w:rPr>
              <w:t xml:space="preserve"> 为的处罚</w:t>
            </w:r>
          </w:p>
        </w:tc>
        <w:tc>
          <w:tcPr>
            <w:tcW w:w="1293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8" w:line="209" w:lineRule="auto"/>
              <w:ind w:left="177"/>
            </w:pPr>
            <w:r>
              <w:rPr>
                <w:spacing w:val="6"/>
              </w:rPr>
              <w:t>行政处罚</w:t>
            </w:r>
          </w:p>
        </w:tc>
        <w:tc>
          <w:tcPr>
            <w:tcW w:w="1660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9" w:line="209" w:lineRule="auto"/>
              <w:ind w:left="151"/>
            </w:pPr>
            <w:r>
              <w:rPr>
                <w:spacing w:val="2"/>
              </w:rPr>
              <w:t>乡镇人民政府</w:t>
            </w:r>
          </w:p>
        </w:tc>
        <w:tc>
          <w:tcPr>
            <w:tcW w:w="4827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8" w:line="209" w:lineRule="auto"/>
              <w:ind w:left="93"/>
            </w:pPr>
            <w:r>
              <w:rPr>
                <w:spacing w:val="12"/>
              </w:rPr>
              <w:t>《中华人民共和国消防法》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sectPr>
      <w:pgSz w:w="16838" w:h="11906" w:orient="landscape"/>
      <w:pgMar w:top="1417" w:right="1431" w:bottom="1360" w:left="1241" w:header="0" w:footer="964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documentProtection w:enforcement="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000000"/>
    <w:rsid w:val="001031B8"/>
    <w:rsid w:val="11411350"/>
    <w:rsid w:val="60A436A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31"/>
      <w:szCs w:val="31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微软雅黑" w:hAnsi="微软雅黑" w:eastAsia="微软雅黑" w:cs="微软雅黑"/>
      <w:sz w:val="23"/>
      <w:szCs w:val="23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Office_11.8.6.8810_F1E327BC-269C-435d-A152-05C5408002CA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2023-12-18T09:03:00Z</dcterms:created>
  <dc:creator>杨发密</dc:creator>
  <cp:lastModifiedBy>小光</cp:lastModifiedBy>
  <dcterms:modified xsi:type="dcterms:W3CDTF">2023-12-20T07:06:01Z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2023-12-18T09:03:53Z</vt:filetime>
  </property>
  <property fmtid="{D5CDD505-2E9C-101B-9397-08002B2CF9AE}" pid="4" name="KSOProductBuildVer">
    <vt:lpwstr>2052-11.8.6.8810</vt:lpwstr>
  </property>
</Properties>
</file>