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sz w:val="20"/>
        </w:rPr>
      </w:pPr>
      <w:bookmarkStart w:id="65" w:name="_GoBack"/>
      <w:bookmarkEnd w:id="65"/>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1"/>
        <w:rPr>
          <w:rFonts w:ascii="Times New Roman"/>
          <w:sz w:val="29"/>
        </w:rPr>
      </w:pPr>
    </w:p>
    <w:p>
      <w:pPr>
        <w:pStyle w:val="3"/>
        <w:ind w:left="103"/>
        <w:rPr>
          <w:rFonts w:ascii="Times New Roman"/>
          <w:sz w:val="20"/>
        </w:rPr>
      </w:pPr>
      <w:r>
        <w:rPr>
          <w:rFonts w:ascii="Times New Roman"/>
          <w:sz w:val="20"/>
        </w:rPr>
        <w:pict>
          <v:group id="_x0000_s1026" o:spid="_x0000_s1026" o:spt="203" style="height:46.8pt;width:443.8pt;" coordsize="8876,936">
            <o:lock v:ext="edit"/>
            <v:shape id="_x0000_s1027" o:spid="_x0000_s1027" o:spt="75" type="#_x0000_t75" style="position:absolute;left:0;top:0;height:936;width:2934;" filled="f" stroked="f" coordsize="21600,21600">
              <v:path/>
              <v:fill on="f" focussize="0,0"/>
              <v:stroke on="f"/>
              <v:imagedata r:id="rId11" o:title=""/>
              <o:lock v:ext="edit" aspectratio="t"/>
            </v:shape>
            <v:shape id="_x0000_s1028" o:spid="_x0000_s1028" o:spt="75" type="#_x0000_t75" style="position:absolute;left:3000;top:0;height:936;width:4371;" filled="f" stroked="f" coordsize="21600,21600">
              <v:path/>
              <v:fill on="f" focussize="0,0"/>
              <v:stroke on="f"/>
              <v:imagedata r:id="rId12" o:title=""/>
              <o:lock v:ext="edit" aspectratio="t"/>
            </v:shape>
            <v:shape id="_x0000_s1029" o:spid="_x0000_s1029" style="position:absolute;left:7411;top:0;height:936;width:706;" fillcolor="#FF0000" filled="t" stroked="f" coordorigin="7412,0" coordsize="706,936" path="m7750,209l7733,209,7728,204,7721,199,7714,190,7709,180,7707,170,7702,158,7700,144,7697,127,7697,106,7692,89,7690,72,7683,55,7678,41,7671,29,7661,17,7652,7,7649,7,7648,6,7648,5,7649,2,7654,0,7671,2,7685,7,7697,10,7712,14,7721,19,7733,26,7743,31,7762,46,7769,53,7784,72,7788,79,7793,89,7796,101,7800,110,7800,137,7798,151,7796,161,7791,173,7776,192,7767,199,7760,204,7750,209xm8115,238l7964,238,7976,214,7990,190,8004,168,8020,149,8021,148,8023,147,8026,149,8028,149,8057,175,8081,199,8100,221,8115,238xm7436,262l7416,233,7431,238,8115,238,8117,245,8117,250,8117,252,8116,254,8114,255,8112,257,7481,257,7469,259,7445,259,7436,262xm7416,936l7413,935,7412,935,7412,934,7414,931,7416,929,7440,919,7464,912,7486,902,7508,890,7529,881,7551,866,7570,854,7589,840,7608,823,7625,809,7642,790,7661,773,7676,754,7692,734,7721,691,7709,667,7697,646,7673,598,7664,571,7654,547,7647,521,7637,494,7630,466,7625,439,7620,410,7616,379,7611,350,7606,319,7604,290,7604,257,7620,257,7623,286,7628,312,7635,338,7640,365,7668,461,7697,526,7709,547,7733,586,7745,602,7760,622,7847,622,7844,629,7836,648,7817,682,7832,696,7848,708,7863,720,7880,732,7913,751,7926,756,7764,756,7748,773,7731,792,7714,809,7695,823,7676,840,7654,852,7635,866,7613,876,7592,888,7544,907,7496,922,7469,926,7445,931,7416,936xm7847,622l7760,622,7767,600,7774,581,7781,559,7788,540,7796,518,7800,497,7805,473,7810,451,7815,427,7820,406,7822,382,7827,358,7829,334,7832,307,7834,283,7834,257,7901,257,7923,271,7944,288,7947,290,7947,300,7944,302,7935,314,7925,324,7920,334,7918,360,7913,386,7908,410,7906,437,7899,461,7894,482,7889,506,7868,571,7853,610,7847,622xm8028,936l8026,936,8007,929,7990,924,7973,917,7954,910,7904,881,7887,869,7872,857,7839,833,7779,773,7764,756,7926,756,7932,758,7949,768,7968,773,7988,780,8007,785,8028,790,8048,792,8091,797,8112,797,8115,802,8115,804,8116,807,8115,809,8100,814,8096,818,8088,823,8084,828,8076,833,8057,862,8052,871,8050,881,8045,893,8043,902,8038,929,8033,931,8028,936xe">
              <v:path arrowok="t"/>
              <v:fill on="t" focussize="0,0"/>
              <v:stroke on="f"/>
              <v:imagedata o:title=""/>
              <o:lock v:ext="edit"/>
            </v:shape>
            <v:shape id="_x0000_s1030" o:spid="_x0000_s1030" style="position:absolute;left:8149;top:0;height:936;width:727;" fillcolor="#FF0000" filled="t" stroked="f" coordorigin="8149,0" coordsize="727,936" path="m8652,310l8576,310,8575,60,8572,8,8572,6,8572,4,8573,2,8576,0,8580,0,8588,2,8636,14,8674,26,8674,43,8669,50,8667,55,8660,60,8652,62,8652,310xm8156,540l8152,538,8150,536,8149,534,8151,533,8160,509,8196,430,8216,372,8244,278,8254,245,8264,209,8271,175,8280,139,8295,62,8304,24,8304,19,8308,16,8310,15,8312,14,8319,14,8328,24,8412,74,8415,79,8415,82,8415,89,8410,96,8403,96,8396,101,8386,108,8376,120,8364,154,8355,185,8343,218,8328,250,8348,266,8355,274,8355,290,8350,298,8340,305,8336,310,8336,374,8266,374,8254,394,8230,437,8216,456,8187,499,8172,518,8156,540xm8399,525l8396,523,8396,521,8393,516,8403,475,8412,432,8420,386,8427,336,8432,286,8441,175,8445,115,8446,113,8448,110,8451,108,8453,108,8499,132,8544,158,8544,175,8540,178,8532,182,8523,192,8518,202,8506,259,8494,310,8841,310,8844,314,8844,322,8845,323,8845,326,8844,327,8842,329,8842,329,8489,329,8477,360,8458,418,8446,442,8436,466,8424,487,8412,506,8403,523,8399,525xm8841,310l8703,310,8703,305,8720,276,8732,254,8744,238,8752,226,8752,225,8753,223,8758,226,8760,226,8794,254,8828,288,8835,298,8840,307,8841,310xm8652,564l8576,564,8576,329,8652,329,8652,564xm8841,329l8840,329,8842,329,8841,329xm8297,936l8283,936,8264,926,8261,922,8261,919,8259,907,8259,874,8264,833,8266,775,8266,374,8336,374,8336,838,8338,881,8338,902,8328,914,8321,924,8297,936xm8874,564l8732,564,8739,552,8751,528,8760,511,8775,487,8782,480,8784,480,8787,478,8789,480,8792,481,8793,483,8794,485,8799,490,8830,516,8861,547,8868,557,8873,562,8874,564xm8408,588l8384,588,8367,559,8374,562,8379,564,8874,564,8876,569,8876,576,8873,581,8871,583,8432,583,8408,588xm8612,936l8600,936,8590,931,8583,929,8578,926,8571,919,8571,912,8568,900,8568,854,8573,830,8573,809,8576,787,8576,583,8652,583,8652,838,8655,874,8657,898,8648,912,8633,926,8626,929,8612,936xe">
              <v:path arrowok="t"/>
              <v:fill on="t" focussize="0,0"/>
              <v:stroke on="f"/>
              <v:imagedata o:title=""/>
              <o:lock v:ext="edit"/>
            </v:shape>
            <w10:wrap type="none"/>
            <w10:anchorlock/>
          </v:group>
        </w:pict>
      </w: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10"/>
        <w:rPr>
          <w:rFonts w:ascii="Times New Roman"/>
          <w:sz w:val="28"/>
        </w:rPr>
      </w:pPr>
    </w:p>
    <w:p>
      <w:pPr>
        <w:pStyle w:val="3"/>
        <w:spacing w:before="25" w:line="478" w:lineRule="exact"/>
        <w:ind w:left="175" w:right="655"/>
        <w:jc w:val="center"/>
      </w:pPr>
      <w:r>
        <w:t>盈政办发〔</w:t>
      </w:r>
      <w:r>
        <w:rPr>
          <w:rFonts w:ascii="Times New Roman" w:eastAsia="Times New Roman"/>
        </w:rPr>
        <w:t>2022</w:t>
      </w:r>
      <w:r>
        <w:t>〕</w:t>
      </w:r>
      <w:r>
        <w:rPr>
          <w:rFonts w:ascii="Times New Roman" w:eastAsia="Times New Roman"/>
        </w:rPr>
        <w:t xml:space="preserve">32 </w:t>
      </w:r>
      <w:r>
        <w:t>号</w:t>
      </w:r>
    </w:p>
    <w:p>
      <w:pPr>
        <w:spacing w:before="0" w:line="373" w:lineRule="exact"/>
        <w:ind w:left="380" w:right="0" w:firstLine="0"/>
        <w:jc w:val="left"/>
        <w:rPr>
          <w:rFonts w:ascii="宋体" w:hAnsi="宋体"/>
          <w:b/>
          <w:sz w:val="32"/>
        </w:rPr>
      </w:pPr>
      <w:r>
        <w:rPr>
          <w:rFonts w:ascii="宋体" w:hAnsi="宋体"/>
          <w:b/>
          <w:color w:val="FF0000"/>
          <w:sz w:val="32"/>
        </w:rPr>
        <w:t>━━━━━━━━━━━━━━━━━━━━━━━━━━━━</w:t>
      </w:r>
    </w:p>
    <w:p>
      <w:pPr>
        <w:pStyle w:val="3"/>
        <w:spacing w:before="9"/>
        <w:rPr>
          <w:rFonts w:ascii="宋体"/>
          <w:b/>
          <w:sz w:val="36"/>
        </w:rPr>
      </w:pPr>
    </w:p>
    <w:p>
      <w:pPr>
        <w:pStyle w:val="2"/>
        <w:ind w:right="655"/>
      </w:pPr>
      <w:r>
        <w:t>盈江县人民政府办公室关于印发</w:t>
      </w:r>
    </w:p>
    <w:p>
      <w:pPr>
        <w:spacing w:before="0" w:line="670" w:lineRule="exact"/>
        <w:ind w:left="175" w:right="652" w:firstLine="0"/>
        <w:jc w:val="center"/>
        <w:rPr>
          <w:rFonts w:hint="eastAsia" w:ascii="方正小标宋_GBK" w:hAnsi="方正小标宋_GBK" w:eastAsia="方正小标宋_GBK"/>
          <w:sz w:val="44"/>
        </w:rPr>
      </w:pPr>
      <w:r>
        <w:rPr>
          <w:rFonts w:hint="eastAsia" w:ascii="方正小标宋_GBK" w:hAnsi="方正小标宋_GBK" w:eastAsia="方正小标宋_GBK"/>
          <w:sz w:val="44"/>
        </w:rPr>
        <w:t>盈江县“十四五”质量发展规划的通知</w:t>
      </w:r>
    </w:p>
    <w:p>
      <w:pPr>
        <w:pStyle w:val="3"/>
        <w:spacing w:before="2"/>
        <w:rPr>
          <w:rFonts w:ascii="方正小标宋_GBK"/>
          <w:sz w:val="33"/>
        </w:rPr>
      </w:pPr>
    </w:p>
    <w:p>
      <w:pPr>
        <w:pStyle w:val="3"/>
        <w:ind w:left="380"/>
      </w:pPr>
      <w:r>
        <w:t>盈江县实施品牌和质量强县战略领导小组成员单位：</w:t>
      </w:r>
    </w:p>
    <w:p>
      <w:pPr>
        <w:pStyle w:val="3"/>
        <w:spacing w:before="46" w:line="261" w:lineRule="auto"/>
        <w:ind w:left="380" w:right="860" w:firstLine="640"/>
        <w:jc w:val="both"/>
      </w:pPr>
      <w:r>
        <w:rPr>
          <w:spacing w:val="-6"/>
        </w:rPr>
        <w:t xml:space="preserve">经县第十八届人民政府第 </w:t>
      </w:r>
      <w:r>
        <w:rPr>
          <w:rFonts w:ascii="Times New Roman" w:hAnsi="Times New Roman" w:eastAsia="Times New Roman"/>
        </w:rPr>
        <w:t>6</w:t>
      </w:r>
      <w:r>
        <w:rPr>
          <w:rFonts w:ascii="Times New Roman" w:hAnsi="Times New Roman" w:eastAsia="Times New Roman"/>
          <w:spacing w:val="-5"/>
        </w:rPr>
        <w:t xml:space="preserve"> </w:t>
      </w:r>
      <w:r>
        <w:rPr>
          <w:spacing w:val="-3"/>
        </w:rPr>
        <w:t>次常务会议通过，现将《盈</w:t>
      </w:r>
      <w:r>
        <w:rPr>
          <w:spacing w:val="-1"/>
          <w:w w:val="95"/>
        </w:rPr>
        <w:t>江县“十四五”质量发展规划》</w:t>
      </w:r>
      <w:r>
        <w:rPr>
          <w:w w:val="95"/>
        </w:rPr>
        <w:t>（</w:t>
      </w:r>
      <w:r>
        <w:rPr>
          <w:spacing w:val="-1"/>
          <w:w w:val="95"/>
        </w:rPr>
        <w:t>以下简称《规划》</w:t>
      </w:r>
      <w:r>
        <w:rPr>
          <w:spacing w:val="-3"/>
          <w:w w:val="95"/>
        </w:rPr>
        <w:t>）</w:t>
      </w:r>
      <w:r>
        <w:rPr>
          <w:w w:val="95"/>
        </w:rPr>
        <w:t xml:space="preserve">印发 </w:t>
      </w:r>
      <w:r>
        <w:t>给你们，请认真贯彻执行。</w: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13"/>
        <w:rPr>
          <w:sz w:val="17"/>
        </w:rPr>
      </w:pPr>
    </w:p>
    <w:p>
      <w:pPr>
        <w:pStyle w:val="3"/>
        <w:spacing w:before="22"/>
        <w:ind w:left="1020"/>
      </w:pPr>
      <w:r>
        <w:pict>
          <v:group id="_x0000_s1031" o:spid="_x0000_s1031" o:spt="203" style="position:absolute;left:0pt;margin-left:297.6pt;margin-top:-104.4pt;height:127.6pt;width:159.95pt;mso-position-horizontal-relative:page;z-index:251660288;mso-width-relative:page;mso-height-relative:page;" coordorigin="5952,-2089" coordsize="3199,2552">
            <o:lock v:ext="edit"/>
            <v:shape id="_x0000_s1032" o:spid="_x0000_s1032" o:spt="75" type="#_x0000_t75" style="position:absolute;left:6240;top:-2089;height:2552;width:2552;" filled="f" stroked="f" coordsize="21600,21600">
              <v:path/>
              <v:fill on="f" focussize="0,0"/>
              <v:stroke on="f"/>
              <v:imagedata r:id="rId13" o:title=""/>
              <o:lock v:ext="edit" aspectratio="t"/>
            </v:shape>
            <v:shape id="_x0000_s1033" o:spid="_x0000_s1033" o:spt="202" type="#_x0000_t202" style="position:absolute;left:5952;top:-2089;height:2552;width:3199;" filled="f" stroked="f" coordsize="21600,21600">
              <v:path/>
              <v:fill on="f" focussize="0,0"/>
              <v:stroke on="f"/>
              <v:imagedata o:title=""/>
              <o:lock v:ext="edit"/>
              <v:textbox inset="0mm,0mm,0mm,0mm">
                <w:txbxContent>
                  <w:p>
                    <w:pPr>
                      <w:spacing w:before="0" w:line="240" w:lineRule="auto"/>
                      <w:rPr>
                        <w:sz w:val="36"/>
                      </w:rPr>
                    </w:pPr>
                  </w:p>
                  <w:p>
                    <w:pPr>
                      <w:spacing w:before="9" w:line="240" w:lineRule="auto"/>
                      <w:rPr>
                        <w:sz w:val="30"/>
                      </w:rPr>
                    </w:pPr>
                  </w:p>
                  <w:p>
                    <w:pPr>
                      <w:spacing w:before="0"/>
                      <w:ind w:left="0" w:right="0" w:firstLine="0"/>
                      <w:jc w:val="center"/>
                      <w:rPr>
                        <w:sz w:val="32"/>
                      </w:rPr>
                    </w:pPr>
                    <w:r>
                      <w:rPr>
                        <w:spacing w:val="-2"/>
                        <w:sz w:val="32"/>
                      </w:rPr>
                      <w:t>盈江县人民政府办公室</w:t>
                    </w:r>
                  </w:p>
                  <w:p>
                    <w:pPr>
                      <w:spacing w:before="6"/>
                      <w:ind w:left="62" w:right="0" w:firstLine="0"/>
                      <w:jc w:val="center"/>
                      <w:rPr>
                        <w:sz w:val="32"/>
                      </w:rPr>
                    </w:pPr>
                    <w:r>
                      <w:rPr>
                        <w:rFonts w:ascii="Times New Roman" w:eastAsia="Times New Roman"/>
                        <w:sz w:val="32"/>
                      </w:rPr>
                      <w:t xml:space="preserve">2022 </w:t>
                    </w:r>
                    <w:r>
                      <w:rPr>
                        <w:sz w:val="32"/>
                      </w:rPr>
                      <w:t xml:space="preserve">年 </w:t>
                    </w:r>
                    <w:r>
                      <w:rPr>
                        <w:rFonts w:ascii="Times New Roman" w:eastAsia="Times New Roman"/>
                        <w:sz w:val="32"/>
                      </w:rPr>
                      <w:t xml:space="preserve">4 </w:t>
                    </w:r>
                    <w:r>
                      <w:rPr>
                        <w:sz w:val="32"/>
                      </w:rPr>
                      <w:t xml:space="preserve">月 </w:t>
                    </w:r>
                    <w:r>
                      <w:rPr>
                        <w:rFonts w:ascii="Times New Roman" w:eastAsia="Times New Roman"/>
                        <w:sz w:val="32"/>
                      </w:rPr>
                      <w:t xml:space="preserve">20 </w:t>
                    </w:r>
                    <w:r>
                      <w:rPr>
                        <w:sz w:val="32"/>
                      </w:rPr>
                      <w:t>日</w:t>
                    </w:r>
                  </w:p>
                </w:txbxContent>
              </v:textbox>
            </v:shape>
          </v:group>
        </w:pict>
      </w:r>
      <w:r>
        <w:t>（此件公开发布）</w:t>
      </w:r>
    </w:p>
    <w:p>
      <w:pPr>
        <w:spacing w:after="0"/>
        <w:sectPr>
          <w:footerReference r:id="rId3" w:type="default"/>
          <w:footerReference r:id="rId4" w:type="even"/>
          <w:type w:val="continuous"/>
          <w:pgSz w:w="11910" w:h="16840"/>
          <w:pgMar w:top="1580" w:right="940" w:bottom="1380" w:left="1420" w:header="720" w:footer="1102" w:gutter="0"/>
          <w:pgNumType w:start="1"/>
        </w:sectPr>
      </w:pPr>
    </w:p>
    <w:p>
      <w:pPr>
        <w:pStyle w:val="3"/>
        <w:spacing w:before="4"/>
        <w:rPr>
          <w:rFonts w:ascii="Times New Roman"/>
          <w:sz w:val="17"/>
        </w:rPr>
      </w:pPr>
    </w:p>
    <w:p>
      <w:pPr>
        <w:spacing w:after="0"/>
        <w:rPr>
          <w:rFonts w:ascii="Times New Roman"/>
          <w:sz w:val="17"/>
        </w:rPr>
        <w:sectPr>
          <w:pgSz w:w="11910" w:h="16840"/>
          <w:pgMar w:top="1580" w:right="940" w:bottom="1300" w:left="1420" w:header="0" w:footer="1182" w:gutter="0"/>
        </w:sectPr>
      </w:pPr>
    </w:p>
    <w:p>
      <w:pPr>
        <w:pStyle w:val="2"/>
        <w:spacing w:line="733" w:lineRule="exact"/>
      </w:pPr>
      <w:r>
        <w:t>盈江县</w:t>
      </w:r>
      <w:r>
        <w:rPr>
          <w:rFonts w:ascii="Times New Roman" w:hAnsi="Times New Roman" w:eastAsia="Times New Roman"/>
        </w:rPr>
        <w:t>“</w:t>
      </w:r>
      <w:r>
        <w:t>十四五</w:t>
      </w:r>
      <w:r>
        <w:rPr>
          <w:rFonts w:ascii="Times New Roman" w:hAnsi="Times New Roman" w:eastAsia="Times New Roman"/>
        </w:rPr>
        <w:t>”</w:t>
      </w:r>
      <w:r>
        <w:t>质量发展规划</w:t>
      </w:r>
    </w:p>
    <w:p>
      <w:pPr>
        <w:pStyle w:val="3"/>
        <w:rPr>
          <w:rFonts w:ascii="方正小标宋_GBK"/>
          <w:sz w:val="52"/>
        </w:rPr>
      </w:pPr>
    </w:p>
    <w:p>
      <w:pPr>
        <w:pStyle w:val="3"/>
        <w:rPr>
          <w:rFonts w:ascii="方正小标宋_GBK"/>
          <w:sz w:val="52"/>
        </w:rPr>
      </w:pPr>
    </w:p>
    <w:p>
      <w:pPr>
        <w:pStyle w:val="3"/>
        <w:rPr>
          <w:rFonts w:ascii="方正小标宋_GBK"/>
          <w:sz w:val="52"/>
        </w:rPr>
      </w:pPr>
    </w:p>
    <w:p>
      <w:pPr>
        <w:pStyle w:val="3"/>
        <w:rPr>
          <w:rFonts w:ascii="方正小标宋_GBK"/>
          <w:sz w:val="52"/>
        </w:rPr>
      </w:pPr>
    </w:p>
    <w:p>
      <w:pPr>
        <w:pStyle w:val="3"/>
        <w:rPr>
          <w:rFonts w:ascii="方正小标宋_GBK"/>
          <w:sz w:val="52"/>
        </w:rPr>
      </w:pPr>
    </w:p>
    <w:p>
      <w:pPr>
        <w:pStyle w:val="3"/>
        <w:rPr>
          <w:rFonts w:ascii="方正小标宋_GBK"/>
          <w:sz w:val="52"/>
        </w:rPr>
      </w:pPr>
    </w:p>
    <w:p>
      <w:pPr>
        <w:pStyle w:val="3"/>
        <w:rPr>
          <w:rFonts w:ascii="方正小标宋_GBK"/>
          <w:sz w:val="52"/>
        </w:rPr>
      </w:pPr>
    </w:p>
    <w:p>
      <w:pPr>
        <w:pStyle w:val="3"/>
        <w:rPr>
          <w:rFonts w:ascii="方正小标宋_GBK"/>
          <w:sz w:val="52"/>
        </w:rPr>
      </w:pPr>
    </w:p>
    <w:p>
      <w:pPr>
        <w:pStyle w:val="3"/>
        <w:rPr>
          <w:rFonts w:ascii="方正小标宋_GBK"/>
          <w:sz w:val="52"/>
        </w:rPr>
      </w:pPr>
    </w:p>
    <w:p>
      <w:pPr>
        <w:pStyle w:val="3"/>
        <w:rPr>
          <w:rFonts w:ascii="方正小标宋_GBK"/>
          <w:sz w:val="52"/>
        </w:rPr>
      </w:pPr>
    </w:p>
    <w:p>
      <w:pPr>
        <w:pStyle w:val="3"/>
        <w:rPr>
          <w:rFonts w:ascii="方正小标宋_GBK"/>
          <w:sz w:val="52"/>
        </w:rPr>
      </w:pPr>
    </w:p>
    <w:p>
      <w:pPr>
        <w:pStyle w:val="3"/>
        <w:rPr>
          <w:rFonts w:ascii="方正小标宋_GBK"/>
          <w:sz w:val="52"/>
        </w:rPr>
      </w:pPr>
    </w:p>
    <w:p>
      <w:pPr>
        <w:pStyle w:val="3"/>
        <w:spacing w:before="3"/>
        <w:rPr>
          <w:rFonts w:ascii="方正小标宋_GBK"/>
          <w:sz w:val="29"/>
        </w:rPr>
      </w:pPr>
    </w:p>
    <w:p>
      <w:pPr>
        <w:pStyle w:val="3"/>
        <w:spacing w:before="1"/>
        <w:ind w:left="175" w:right="655"/>
        <w:jc w:val="center"/>
        <w:rPr>
          <w:rFonts w:hint="eastAsia" w:ascii="方正楷体_GBK" w:eastAsia="方正楷体_GBK"/>
        </w:rPr>
      </w:pPr>
      <w:r>
        <w:rPr>
          <w:rFonts w:ascii="Times New Roman" w:eastAsia="Times New Roman"/>
        </w:rPr>
        <w:t xml:space="preserve">2022 </w:t>
      </w:r>
      <w:r>
        <w:rPr>
          <w:rFonts w:hint="eastAsia" w:ascii="方正楷体_GBK" w:eastAsia="方正楷体_GBK"/>
        </w:rPr>
        <w:t xml:space="preserve">年 </w:t>
      </w:r>
      <w:r>
        <w:rPr>
          <w:rFonts w:ascii="Times New Roman" w:eastAsia="Times New Roman"/>
        </w:rPr>
        <w:t xml:space="preserve">4 </w:t>
      </w:r>
      <w:r>
        <w:rPr>
          <w:rFonts w:hint="eastAsia" w:ascii="方正楷体_GBK" w:eastAsia="方正楷体_GBK"/>
        </w:rPr>
        <w:t>月</w:t>
      </w:r>
    </w:p>
    <w:p>
      <w:pPr>
        <w:spacing w:after="0"/>
        <w:jc w:val="center"/>
        <w:rPr>
          <w:rFonts w:hint="eastAsia" w:ascii="方正楷体_GBK" w:eastAsia="方正楷体_GBK"/>
        </w:rPr>
        <w:sectPr>
          <w:pgSz w:w="11910" w:h="16840"/>
          <w:pgMar w:top="1360" w:right="940" w:bottom="1380" w:left="1420" w:header="0" w:footer="1102" w:gutter="0"/>
        </w:sectPr>
      </w:pPr>
    </w:p>
    <w:p>
      <w:pPr>
        <w:pStyle w:val="2"/>
        <w:tabs>
          <w:tab w:val="left" w:pos="1056"/>
        </w:tabs>
        <w:spacing w:line="685" w:lineRule="exact"/>
        <w:ind w:right="0"/>
      </w:pPr>
      <w:r>
        <w:t>目</w:t>
      </w:r>
      <w:r>
        <w:tab/>
      </w:r>
      <w:r>
        <w:t>录</w:t>
      </w:r>
    </w:p>
    <w:p>
      <w:pPr>
        <w:pStyle w:val="3"/>
        <w:tabs>
          <w:tab w:val="right" w:leader="dot" w:pos="9280"/>
        </w:tabs>
        <w:spacing w:line="459" w:lineRule="exact"/>
        <w:ind w:left="380"/>
        <w:rPr>
          <w:rFonts w:ascii="Times New Roman" w:eastAsia="Times New Roman"/>
        </w:rPr>
      </w:pPr>
      <w:r>
        <w:rPr>
          <w:rFonts w:hint="eastAsia" w:ascii="方正黑体_GBK" w:eastAsia="方正黑体_GBK"/>
        </w:rPr>
        <w:t>一、质量发展趋势</w:t>
      </w:r>
      <w:r>
        <w:rPr>
          <w:rFonts w:hint="eastAsia" w:ascii="方正黑体_GBK" w:eastAsia="方正黑体_GBK"/>
        </w:rPr>
        <w:tab/>
      </w:r>
      <w:r>
        <w:rPr>
          <w:rFonts w:ascii="Times New Roman" w:eastAsia="Times New Roman"/>
        </w:rPr>
        <w:t>5</w:t>
      </w:r>
    </w:p>
    <w:p>
      <w:pPr>
        <w:pStyle w:val="3"/>
        <w:tabs>
          <w:tab w:val="right" w:leader="dot" w:pos="9280"/>
        </w:tabs>
        <w:spacing w:before="28"/>
        <w:ind w:left="800"/>
        <w:rPr>
          <w:rFonts w:ascii="Times New Roman" w:eastAsia="Times New Roman"/>
        </w:rPr>
      </w:pPr>
      <w:r>
        <w:rPr>
          <w:rFonts w:hint="eastAsia" w:ascii="方正楷体_GBK" w:eastAsia="方正楷体_GBK"/>
        </w:rPr>
        <w:t>（一）质量发展状况</w:t>
      </w:r>
      <w:r>
        <w:rPr>
          <w:rFonts w:hint="eastAsia" w:ascii="方正楷体_GBK" w:eastAsia="方正楷体_GBK"/>
        </w:rPr>
        <w:tab/>
      </w:r>
      <w:r>
        <w:rPr>
          <w:rFonts w:ascii="Times New Roman" w:eastAsia="Times New Roman"/>
        </w:rPr>
        <w:t>5</w:t>
      </w:r>
    </w:p>
    <w:p>
      <w:pPr>
        <w:pStyle w:val="3"/>
        <w:tabs>
          <w:tab w:val="right" w:leader="dot" w:pos="9280"/>
        </w:tabs>
        <w:spacing w:before="28"/>
        <w:ind w:left="800"/>
        <w:rPr>
          <w:rFonts w:ascii="Times New Roman" w:eastAsia="Times New Roman"/>
        </w:rPr>
      </w:pPr>
      <w:r>
        <w:rPr>
          <w:rFonts w:hint="eastAsia" w:ascii="方正楷体_GBK" w:eastAsia="方正楷体_GBK"/>
        </w:rPr>
        <w:t>（二）质量发展面临形势</w:t>
      </w:r>
      <w:r>
        <w:rPr>
          <w:rFonts w:hint="eastAsia" w:ascii="方正楷体_GBK" w:eastAsia="方正楷体_GBK"/>
        </w:rPr>
        <w:tab/>
      </w:r>
      <w:r>
        <w:rPr>
          <w:rFonts w:ascii="Times New Roman" w:eastAsia="Times New Roman"/>
        </w:rPr>
        <w:t>8</w:t>
      </w:r>
    </w:p>
    <w:p>
      <w:pPr>
        <w:pStyle w:val="3"/>
        <w:tabs>
          <w:tab w:val="right" w:leader="dot" w:pos="9282"/>
        </w:tabs>
        <w:spacing w:before="19"/>
        <w:ind w:left="380"/>
        <w:rPr>
          <w:rFonts w:ascii="Times New Roman" w:eastAsia="Times New Roman"/>
        </w:rPr>
      </w:pPr>
      <w:r>
        <w:rPr>
          <w:rFonts w:hint="eastAsia" w:ascii="方正黑体_GBK" w:eastAsia="方正黑体_GBK"/>
        </w:rPr>
        <w:t>二、总体要求</w:t>
      </w:r>
      <w:r>
        <w:rPr>
          <w:rFonts w:hint="eastAsia" w:ascii="方正黑体_GBK" w:eastAsia="方正黑体_GBK"/>
        </w:rPr>
        <w:tab/>
      </w:r>
      <w:r>
        <w:rPr>
          <w:rFonts w:ascii="Times New Roman" w:eastAsia="Times New Roman"/>
        </w:rPr>
        <w:t>10</w:t>
      </w:r>
    </w:p>
    <w:p>
      <w:pPr>
        <w:pStyle w:val="3"/>
        <w:tabs>
          <w:tab w:val="right" w:leader="dot" w:pos="9282"/>
        </w:tabs>
        <w:spacing w:before="28"/>
        <w:ind w:left="800"/>
        <w:rPr>
          <w:rFonts w:ascii="Times New Roman" w:eastAsia="Times New Roman"/>
        </w:rPr>
      </w:pPr>
      <w:r>
        <w:rPr>
          <w:rFonts w:hint="eastAsia" w:ascii="方正楷体_GBK" w:eastAsia="方正楷体_GBK"/>
        </w:rPr>
        <w:t>（一）指导思想</w:t>
      </w:r>
      <w:r>
        <w:rPr>
          <w:rFonts w:hint="eastAsia" w:ascii="方正楷体_GBK" w:eastAsia="方正楷体_GBK"/>
        </w:rPr>
        <w:tab/>
      </w:r>
      <w:r>
        <w:rPr>
          <w:rFonts w:ascii="Times New Roman" w:eastAsia="Times New Roman"/>
        </w:rPr>
        <w:t>10</w:t>
      </w:r>
    </w:p>
    <w:p>
      <w:pPr>
        <w:pStyle w:val="3"/>
        <w:tabs>
          <w:tab w:val="right" w:leader="dot" w:pos="9284"/>
        </w:tabs>
        <w:spacing w:before="28"/>
        <w:ind w:left="800"/>
        <w:rPr>
          <w:rFonts w:ascii="Times New Roman" w:eastAsia="Times New Roman"/>
        </w:rPr>
      </w:pPr>
      <w:r>
        <w:rPr>
          <w:rFonts w:hint="eastAsia" w:ascii="方正楷体_GBK" w:eastAsia="方正楷体_GBK"/>
        </w:rPr>
        <w:t>（二）基本原则</w:t>
      </w:r>
      <w:r>
        <w:rPr>
          <w:rFonts w:hint="eastAsia" w:ascii="方正楷体_GBK" w:eastAsia="方正楷体_GBK"/>
        </w:rPr>
        <w:tab/>
      </w:r>
      <w:r>
        <w:rPr>
          <w:rFonts w:ascii="Times New Roman" w:eastAsia="Times New Roman"/>
          <w:spacing w:val="-5"/>
        </w:rPr>
        <w:t>11</w:t>
      </w:r>
    </w:p>
    <w:p>
      <w:pPr>
        <w:pStyle w:val="3"/>
        <w:tabs>
          <w:tab w:val="right" w:leader="dot" w:pos="9282"/>
        </w:tabs>
        <w:spacing w:before="31"/>
        <w:ind w:left="800"/>
        <w:rPr>
          <w:rFonts w:ascii="Times New Roman" w:eastAsia="Times New Roman"/>
        </w:rPr>
      </w:pPr>
      <w:r>
        <w:rPr>
          <w:rFonts w:hint="eastAsia" w:ascii="方正楷体_GBK" w:eastAsia="方正楷体_GBK"/>
        </w:rPr>
        <w:t>（三）发展目标</w:t>
      </w:r>
      <w:r>
        <w:rPr>
          <w:rFonts w:hint="eastAsia" w:ascii="方正楷体_GBK" w:eastAsia="方正楷体_GBK"/>
        </w:rPr>
        <w:tab/>
      </w:r>
      <w:r>
        <w:rPr>
          <w:rFonts w:ascii="Times New Roman" w:eastAsia="Times New Roman"/>
        </w:rPr>
        <w:t>12</w:t>
      </w:r>
    </w:p>
    <w:p>
      <w:pPr>
        <w:pStyle w:val="3"/>
        <w:tabs>
          <w:tab w:val="right" w:leader="dot" w:pos="9282"/>
        </w:tabs>
        <w:spacing w:before="18"/>
        <w:ind w:left="380"/>
        <w:rPr>
          <w:rFonts w:ascii="Times New Roman" w:eastAsia="Times New Roman"/>
        </w:rPr>
      </w:pPr>
      <w:r>
        <w:rPr>
          <w:rFonts w:hint="eastAsia" w:ascii="方正黑体_GBK" w:eastAsia="方正黑体_GBK"/>
        </w:rPr>
        <w:t>三、重点任务</w:t>
      </w:r>
      <w:r>
        <w:rPr>
          <w:rFonts w:hint="eastAsia" w:ascii="方正黑体_GBK" w:eastAsia="方正黑体_GBK"/>
        </w:rPr>
        <w:tab/>
      </w:r>
      <w:r>
        <w:rPr>
          <w:rFonts w:ascii="Times New Roman" w:eastAsia="Times New Roman"/>
        </w:rPr>
        <w:t>14</w:t>
      </w:r>
    </w:p>
    <w:p>
      <w:pPr>
        <w:pStyle w:val="3"/>
        <w:tabs>
          <w:tab w:val="right" w:leader="dot" w:pos="9282"/>
        </w:tabs>
        <w:spacing w:before="26"/>
        <w:ind w:left="800"/>
        <w:rPr>
          <w:rFonts w:ascii="Times New Roman" w:eastAsia="Times New Roman"/>
        </w:rPr>
      </w:pPr>
      <w:r>
        <w:fldChar w:fldCharType="begin"/>
      </w:r>
      <w:r>
        <w:instrText xml:space="preserve"> HYPERLINK \l "_bookmark0" </w:instrText>
      </w:r>
      <w:r>
        <w:fldChar w:fldCharType="separate"/>
      </w:r>
      <w:r>
        <w:rPr>
          <w:rFonts w:hint="eastAsia" w:ascii="方正楷体_GBK" w:eastAsia="方正楷体_GBK"/>
        </w:rPr>
        <w:t>（一）开展重点产业质量提升行动</w:t>
      </w:r>
      <w:r>
        <w:rPr>
          <w:rFonts w:hint="eastAsia" w:ascii="方正楷体_GBK" w:eastAsia="方正楷体_GBK"/>
        </w:rPr>
        <w:fldChar w:fldCharType="end"/>
      </w:r>
      <w:r>
        <w:rPr>
          <w:rFonts w:hint="eastAsia" w:ascii="方正楷体_GBK" w:eastAsia="方正楷体_GBK"/>
        </w:rPr>
        <w:tab/>
      </w:r>
      <w:r>
        <w:rPr>
          <w:rFonts w:ascii="Times New Roman" w:eastAsia="Times New Roman"/>
        </w:rPr>
        <w:t>14</w:t>
      </w:r>
    </w:p>
    <w:p>
      <w:pPr>
        <w:pStyle w:val="7"/>
        <w:numPr>
          <w:ilvl w:val="0"/>
          <w:numId w:val="1"/>
        </w:numPr>
        <w:tabs>
          <w:tab w:val="left" w:pos="1462"/>
          <w:tab w:val="right" w:leader="dot" w:pos="9282"/>
        </w:tabs>
        <w:spacing w:before="19" w:after="0" w:line="240" w:lineRule="auto"/>
        <w:ind w:left="1461" w:right="0" w:hanging="242"/>
        <w:jc w:val="left"/>
        <w:rPr>
          <w:rFonts w:ascii="Times New Roman" w:eastAsia="Times New Roman"/>
          <w:sz w:val="32"/>
        </w:rPr>
      </w:pPr>
      <w:r>
        <w:fldChar w:fldCharType="begin"/>
      </w:r>
      <w:r>
        <w:instrText xml:space="preserve"> HYPERLINK \l "_bookmark1" </w:instrText>
      </w:r>
      <w:r>
        <w:fldChar w:fldCharType="separate"/>
      </w:r>
      <w:r>
        <w:rPr>
          <w:sz w:val="32"/>
        </w:rPr>
        <w:t>培植支柱产业质量优势</w:t>
      </w:r>
      <w:r>
        <w:rPr>
          <w:sz w:val="32"/>
        </w:rPr>
        <w:fldChar w:fldCharType="end"/>
      </w:r>
      <w:r>
        <w:rPr>
          <w:sz w:val="32"/>
        </w:rPr>
        <w:tab/>
      </w:r>
      <w:r>
        <w:rPr>
          <w:rFonts w:ascii="Times New Roman" w:eastAsia="Times New Roman"/>
          <w:sz w:val="32"/>
        </w:rPr>
        <w:t>14</w:t>
      </w:r>
    </w:p>
    <w:p>
      <w:pPr>
        <w:pStyle w:val="7"/>
        <w:numPr>
          <w:ilvl w:val="0"/>
          <w:numId w:val="1"/>
        </w:numPr>
        <w:tabs>
          <w:tab w:val="left" w:pos="1462"/>
          <w:tab w:val="right" w:leader="dot" w:pos="9282"/>
        </w:tabs>
        <w:spacing w:before="5" w:after="0" w:line="240" w:lineRule="auto"/>
        <w:ind w:left="1461" w:right="0" w:hanging="242"/>
        <w:jc w:val="left"/>
        <w:rPr>
          <w:rFonts w:ascii="Times New Roman" w:eastAsia="Times New Roman"/>
          <w:sz w:val="32"/>
        </w:rPr>
      </w:pPr>
      <w:r>
        <w:fldChar w:fldCharType="begin"/>
      </w:r>
      <w:r>
        <w:instrText xml:space="preserve"> HYPERLINK \l "_bookmark2" </w:instrText>
      </w:r>
      <w:r>
        <w:fldChar w:fldCharType="separate"/>
      </w:r>
      <w:r>
        <w:rPr>
          <w:sz w:val="32"/>
        </w:rPr>
        <w:t>加强战略性新兴产业质量支撑</w:t>
      </w:r>
      <w:r>
        <w:rPr>
          <w:sz w:val="32"/>
        </w:rPr>
        <w:fldChar w:fldCharType="end"/>
      </w:r>
      <w:r>
        <w:rPr>
          <w:sz w:val="32"/>
        </w:rPr>
        <w:tab/>
      </w:r>
      <w:r>
        <w:rPr>
          <w:rFonts w:ascii="Times New Roman" w:eastAsia="Times New Roman"/>
          <w:sz w:val="32"/>
        </w:rPr>
        <w:t>14</w:t>
      </w:r>
    </w:p>
    <w:p>
      <w:pPr>
        <w:pStyle w:val="7"/>
        <w:numPr>
          <w:ilvl w:val="0"/>
          <w:numId w:val="1"/>
        </w:numPr>
        <w:tabs>
          <w:tab w:val="left" w:pos="1462"/>
          <w:tab w:val="right" w:leader="dot" w:pos="9282"/>
        </w:tabs>
        <w:spacing w:before="4" w:after="0" w:line="240" w:lineRule="auto"/>
        <w:ind w:left="1461" w:right="0" w:hanging="242"/>
        <w:jc w:val="left"/>
        <w:rPr>
          <w:rFonts w:ascii="Times New Roman" w:eastAsia="Times New Roman"/>
          <w:sz w:val="32"/>
        </w:rPr>
      </w:pPr>
      <w:r>
        <w:fldChar w:fldCharType="begin"/>
      </w:r>
      <w:r>
        <w:instrText xml:space="preserve"> HYPERLINK \l "_bookmark3" </w:instrText>
      </w:r>
      <w:r>
        <w:fldChar w:fldCharType="separate"/>
      </w:r>
      <w:r>
        <w:rPr>
          <w:sz w:val="32"/>
        </w:rPr>
        <w:t>提高数字经济质量水平</w:t>
      </w:r>
      <w:r>
        <w:rPr>
          <w:sz w:val="32"/>
        </w:rPr>
        <w:fldChar w:fldCharType="end"/>
      </w:r>
      <w:r>
        <w:rPr>
          <w:sz w:val="32"/>
        </w:rPr>
        <w:tab/>
      </w:r>
      <w:r>
        <w:rPr>
          <w:rFonts w:ascii="Times New Roman" w:eastAsia="Times New Roman"/>
          <w:sz w:val="32"/>
        </w:rPr>
        <w:t>15</w:t>
      </w:r>
    </w:p>
    <w:p>
      <w:pPr>
        <w:pStyle w:val="7"/>
        <w:numPr>
          <w:ilvl w:val="0"/>
          <w:numId w:val="1"/>
        </w:numPr>
        <w:tabs>
          <w:tab w:val="left" w:pos="1462"/>
          <w:tab w:val="right" w:leader="dot" w:pos="9282"/>
        </w:tabs>
        <w:spacing w:before="6" w:after="0" w:line="240" w:lineRule="auto"/>
        <w:ind w:left="1461" w:right="0" w:hanging="242"/>
        <w:jc w:val="left"/>
        <w:rPr>
          <w:rFonts w:ascii="Times New Roman" w:eastAsia="Times New Roman"/>
          <w:sz w:val="32"/>
        </w:rPr>
      </w:pPr>
      <w:r>
        <w:fldChar w:fldCharType="begin"/>
      </w:r>
      <w:r>
        <w:instrText xml:space="preserve"> HYPERLINK \l "_bookmark4" </w:instrText>
      </w:r>
      <w:r>
        <w:fldChar w:fldCharType="separate"/>
      </w:r>
      <w:r>
        <w:rPr>
          <w:sz w:val="32"/>
        </w:rPr>
        <w:t>加快对外贸易创新升级</w:t>
      </w:r>
      <w:r>
        <w:rPr>
          <w:sz w:val="32"/>
        </w:rPr>
        <w:fldChar w:fldCharType="end"/>
      </w:r>
      <w:r>
        <w:rPr>
          <w:sz w:val="32"/>
        </w:rPr>
        <w:tab/>
      </w:r>
      <w:r>
        <w:rPr>
          <w:rFonts w:ascii="Times New Roman" w:eastAsia="Times New Roman"/>
          <w:sz w:val="32"/>
        </w:rPr>
        <w:t>16</w:t>
      </w:r>
    </w:p>
    <w:p>
      <w:pPr>
        <w:pStyle w:val="3"/>
        <w:tabs>
          <w:tab w:val="right" w:leader="dot" w:pos="9282"/>
        </w:tabs>
        <w:spacing w:before="18"/>
        <w:ind w:left="800"/>
        <w:rPr>
          <w:rFonts w:ascii="Times New Roman" w:eastAsia="Times New Roman"/>
        </w:rPr>
      </w:pPr>
      <w:r>
        <w:fldChar w:fldCharType="begin"/>
      </w:r>
      <w:r>
        <w:instrText xml:space="preserve"> HYPERLINK \l "_bookmark5" </w:instrText>
      </w:r>
      <w:r>
        <w:fldChar w:fldCharType="separate"/>
      </w:r>
      <w:r>
        <w:rPr>
          <w:rFonts w:hint="eastAsia" w:ascii="方正楷体_GBK" w:eastAsia="方正楷体_GBK"/>
        </w:rPr>
        <w:t>（二）开展大众消费质量提升行动</w:t>
      </w:r>
      <w:r>
        <w:rPr>
          <w:rFonts w:hint="eastAsia" w:ascii="方正楷体_GBK" w:eastAsia="方正楷体_GBK"/>
        </w:rPr>
        <w:fldChar w:fldCharType="end"/>
      </w:r>
      <w:r>
        <w:rPr>
          <w:rFonts w:hint="eastAsia" w:ascii="方正楷体_GBK" w:eastAsia="方正楷体_GBK"/>
        </w:rPr>
        <w:tab/>
      </w:r>
      <w:r>
        <w:rPr>
          <w:rFonts w:ascii="Times New Roman" w:eastAsia="Times New Roman"/>
        </w:rPr>
        <w:t>17</w:t>
      </w:r>
    </w:p>
    <w:p>
      <w:pPr>
        <w:pStyle w:val="7"/>
        <w:numPr>
          <w:ilvl w:val="0"/>
          <w:numId w:val="2"/>
        </w:numPr>
        <w:tabs>
          <w:tab w:val="left" w:pos="1462"/>
          <w:tab w:val="right" w:leader="dot" w:pos="9282"/>
        </w:tabs>
        <w:spacing w:before="16" w:after="0" w:line="240" w:lineRule="auto"/>
        <w:ind w:left="1461" w:right="0" w:hanging="242"/>
        <w:jc w:val="left"/>
        <w:rPr>
          <w:rFonts w:ascii="Times New Roman" w:eastAsia="Times New Roman"/>
          <w:sz w:val="32"/>
        </w:rPr>
      </w:pPr>
      <w:r>
        <w:fldChar w:fldCharType="begin"/>
      </w:r>
      <w:r>
        <w:instrText xml:space="preserve"> HYPERLINK \l "_bookmark6" </w:instrText>
      </w:r>
      <w:r>
        <w:fldChar w:fldCharType="separate"/>
      </w:r>
      <w:r>
        <w:rPr>
          <w:sz w:val="32"/>
        </w:rPr>
        <w:t>促进产品供给高端化优质化</w:t>
      </w:r>
      <w:r>
        <w:rPr>
          <w:sz w:val="32"/>
        </w:rPr>
        <w:fldChar w:fldCharType="end"/>
      </w:r>
      <w:r>
        <w:rPr>
          <w:sz w:val="32"/>
        </w:rPr>
        <w:tab/>
      </w:r>
      <w:r>
        <w:rPr>
          <w:rFonts w:ascii="Times New Roman" w:eastAsia="Times New Roman"/>
          <w:sz w:val="32"/>
        </w:rPr>
        <w:t>17</w:t>
      </w:r>
    </w:p>
    <w:p>
      <w:pPr>
        <w:pStyle w:val="7"/>
        <w:numPr>
          <w:ilvl w:val="0"/>
          <w:numId w:val="2"/>
        </w:numPr>
        <w:tabs>
          <w:tab w:val="left" w:pos="1462"/>
          <w:tab w:val="right" w:leader="dot" w:pos="9282"/>
        </w:tabs>
        <w:spacing w:before="6" w:after="0" w:line="240" w:lineRule="auto"/>
        <w:ind w:left="1461" w:right="0" w:hanging="242"/>
        <w:jc w:val="left"/>
        <w:rPr>
          <w:rFonts w:ascii="Times New Roman" w:eastAsia="Times New Roman"/>
          <w:sz w:val="32"/>
        </w:rPr>
      </w:pPr>
      <w:r>
        <w:fldChar w:fldCharType="begin"/>
      </w:r>
      <w:r>
        <w:instrText xml:space="preserve"> HYPERLINK \l "_bookmark7" </w:instrText>
      </w:r>
      <w:r>
        <w:fldChar w:fldCharType="separate"/>
      </w:r>
      <w:r>
        <w:rPr>
          <w:sz w:val="32"/>
        </w:rPr>
        <w:t>促进建筑工程品质化绿色化</w:t>
      </w:r>
      <w:r>
        <w:rPr>
          <w:sz w:val="32"/>
        </w:rPr>
        <w:fldChar w:fldCharType="end"/>
      </w:r>
      <w:r>
        <w:rPr>
          <w:sz w:val="32"/>
        </w:rPr>
        <w:tab/>
      </w:r>
      <w:r>
        <w:rPr>
          <w:rFonts w:ascii="Times New Roman" w:eastAsia="Times New Roman"/>
          <w:sz w:val="32"/>
        </w:rPr>
        <w:t>17</w:t>
      </w:r>
    </w:p>
    <w:p>
      <w:pPr>
        <w:pStyle w:val="7"/>
        <w:numPr>
          <w:ilvl w:val="0"/>
          <w:numId w:val="2"/>
        </w:numPr>
        <w:tabs>
          <w:tab w:val="left" w:pos="1462"/>
          <w:tab w:val="right" w:leader="dot" w:pos="9282"/>
        </w:tabs>
        <w:spacing w:before="5" w:after="0" w:line="240" w:lineRule="auto"/>
        <w:ind w:left="1461" w:right="0" w:hanging="242"/>
        <w:jc w:val="left"/>
        <w:rPr>
          <w:rFonts w:ascii="Times New Roman" w:eastAsia="Times New Roman"/>
          <w:sz w:val="32"/>
        </w:rPr>
      </w:pPr>
      <w:r>
        <w:fldChar w:fldCharType="begin"/>
      </w:r>
      <w:r>
        <w:instrText xml:space="preserve"> HYPERLINK \l "_bookmark8" </w:instrText>
      </w:r>
      <w:r>
        <w:fldChar w:fldCharType="separate"/>
      </w:r>
      <w:r>
        <w:rPr>
          <w:sz w:val="32"/>
        </w:rPr>
        <w:t>促进民生服务多样化精细化</w:t>
      </w:r>
      <w:r>
        <w:rPr>
          <w:sz w:val="32"/>
        </w:rPr>
        <w:fldChar w:fldCharType="end"/>
      </w:r>
      <w:r>
        <w:rPr>
          <w:sz w:val="32"/>
        </w:rPr>
        <w:tab/>
      </w:r>
      <w:r>
        <w:rPr>
          <w:rFonts w:ascii="Times New Roman" w:eastAsia="Times New Roman"/>
          <w:sz w:val="32"/>
        </w:rPr>
        <w:t>18</w:t>
      </w:r>
    </w:p>
    <w:p>
      <w:pPr>
        <w:pStyle w:val="7"/>
        <w:numPr>
          <w:ilvl w:val="0"/>
          <w:numId w:val="2"/>
        </w:numPr>
        <w:tabs>
          <w:tab w:val="left" w:pos="1462"/>
          <w:tab w:val="right" w:leader="dot" w:pos="9282"/>
        </w:tabs>
        <w:spacing w:before="4" w:after="0" w:line="240" w:lineRule="auto"/>
        <w:ind w:left="1461" w:right="0" w:hanging="242"/>
        <w:jc w:val="left"/>
        <w:rPr>
          <w:rFonts w:ascii="Times New Roman" w:eastAsia="Times New Roman"/>
          <w:sz w:val="32"/>
        </w:rPr>
      </w:pPr>
      <w:r>
        <w:fldChar w:fldCharType="begin"/>
      </w:r>
      <w:r>
        <w:instrText xml:space="preserve"> HYPERLINK \l "_bookmark9" </w:instrText>
      </w:r>
      <w:r>
        <w:fldChar w:fldCharType="separate"/>
      </w:r>
      <w:r>
        <w:rPr>
          <w:sz w:val="32"/>
        </w:rPr>
        <w:t>促进旅游服务特色化智慧化</w:t>
      </w:r>
      <w:r>
        <w:rPr>
          <w:sz w:val="32"/>
        </w:rPr>
        <w:fldChar w:fldCharType="end"/>
      </w:r>
      <w:r>
        <w:rPr>
          <w:sz w:val="32"/>
        </w:rPr>
        <w:tab/>
      </w:r>
      <w:r>
        <w:rPr>
          <w:rFonts w:ascii="Times New Roman" w:eastAsia="Times New Roman"/>
          <w:sz w:val="32"/>
        </w:rPr>
        <w:t>18</w:t>
      </w:r>
    </w:p>
    <w:p>
      <w:pPr>
        <w:pStyle w:val="3"/>
        <w:tabs>
          <w:tab w:val="right" w:leader="dot" w:pos="9282"/>
        </w:tabs>
        <w:spacing w:before="18"/>
        <w:ind w:left="800"/>
        <w:rPr>
          <w:rFonts w:ascii="Times New Roman" w:eastAsia="Times New Roman"/>
        </w:rPr>
      </w:pPr>
      <w:r>
        <w:fldChar w:fldCharType="begin"/>
      </w:r>
      <w:r>
        <w:instrText xml:space="preserve"> HYPERLINK \l "_bookmark10" </w:instrText>
      </w:r>
      <w:r>
        <w:fldChar w:fldCharType="separate"/>
      </w:r>
      <w:r>
        <w:rPr>
          <w:rFonts w:hint="eastAsia" w:ascii="方正楷体_GBK" w:eastAsia="方正楷体_GBK"/>
        </w:rPr>
        <w:t>（三）实施质量管理现代化工程</w:t>
      </w:r>
      <w:r>
        <w:rPr>
          <w:rFonts w:hint="eastAsia" w:ascii="方正楷体_GBK" w:eastAsia="方正楷体_GBK"/>
        </w:rPr>
        <w:fldChar w:fldCharType="end"/>
      </w:r>
      <w:r>
        <w:rPr>
          <w:rFonts w:hint="eastAsia" w:ascii="方正楷体_GBK" w:eastAsia="方正楷体_GBK"/>
        </w:rPr>
        <w:tab/>
      </w:r>
      <w:r>
        <w:rPr>
          <w:rFonts w:ascii="Times New Roman" w:eastAsia="Times New Roman"/>
        </w:rPr>
        <w:t>20</w:t>
      </w:r>
    </w:p>
    <w:p>
      <w:pPr>
        <w:pStyle w:val="7"/>
        <w:numPr>
          <w:ilvl w:val="0"/>
          <w:numId w:val="3"/>
        </w:numPr>
        <w:tabs>
          <w:tab w:val="left" w:pos="1462"/>
          <w:tab w:val="right" w:leader="dot" w:pos="9282"/>
        </w:tabs>
        <w:spacing w:before="18" w:after="0" w:line="240" w:lineRule="auto"/>
        <w:ind w:left="1461" w:right="0" w:hanging="242"/>
        <w:jc w:val="left"/>
        <w:rPr>
          <w:rFonts w:ascii="Times New Roman" w:eastAsia="Times New Roman"/>
          <w:sz w:val="32"/>
        </w:rPr>
      </w:pPr>
      <w:r>
        <w:fldChar w:fldCharType="begin"/>
      </w:r>
      <w:r>
        <w:instrText xml:space="preserve"> HYPERLINK \l "_bookmark11" </w:instrText>
      </w:r>
      <w:r>
        <w:fldChar w:fldCharType="separate"/>
      </w:r>
      <w:r>
        <w:rPr>
          <w:sz w:val="32"/>
        </w:rPr>
        <w:t>建立新型质量管理体系</w:t>
      </w:r>
      <w:r>
        <w:rPr>
          <w:sz w:val="32"/>
        </w:rPr>
        <w:fldChar w:fldCharType="end"/>
      </w:r>
      <w:r>
        <w:rPr>
          <w:sz w:val="32"/>
        </w:rPr>
        <w:tab/>
      </w:r>
      <w:r>
        <w:rPr>
          <w:rFonts w:ascii="Times New Roman" w:eastAsia="Times New Roman"/>
          <w:sz w:val="32"/>
        </w:rPr>
        <w:t>20</w:t>
      </w:r>
    </w:p>
    <w:p>
      <w:pPr>
        <w:pStyle w:val="7"/>
        <w:numPr>
          <w:ilvl w:val="0"/>
          <w:numId w:val="3"/>
        </w:numPr>
        <w:tabs>
          <w:tab w:val="left" w:pos="1462"/>
          <w:tab w:val="right" w:leader="dot" w:pos="9282"/>
        </w:tabs>
        <w:spacing w:before="4" w:after="0" w:line="240" w:lineRule="auto"/>
        <w:ind w:left="1461" w:right="0" w:hanging="242"/>
        <w:jc w:val="left"/>
        <w:rPr>
          <w:rFonts w:ascii="Times New Roman" w:eastAsia="Times New Roman"/>
          <w:sz w:val="32"/>
        </w:rPr>
      </w:pPr>
      <w:r>
        <w:fldChar w:fldCharType="begin"/>
      </w:r>
      <w:r>
        <w:instrText xml:space="preserve"> HYPERLINK \l "_bookmark12" </w:instrText>
      </w:r>
      <w:r>
        <w:fldChar w:fldCharType="separate"/>
      </w:r>
      <w:r>
        <w:rPr>
          <w:sz w:val="32"/>
        </w:rPr>
        <w:t>增强企业质量创新能力</w:t>
      </w:r>
      <w:r>
        <w:rPr>
          <w:sz w:val="32"/>
        </w:rPr>
        <w:fldChar w:fldCharType="end"/>
      </w:r>
      <w:r>
        <w:rPr>
          <w:sz w:val="32"/>
        </w:rPr>
        <w:tab/>
      </w:r>
      <w:r>
        <w:rPr>
          <w:rFonts w:ascii="Times New Roman" w:eastAsia="Times New Roman"/>
          <w:sz w:val="32"/>
        </w:rPr>
        <w:t>20</w:t>
      </w:r>
    </w:p>
    <w:p>
      <w:pPr>
        <w:pStyle w:val="7"/>
        <w:numPr>
          <w:ilvl w:val="0"/>
          <w:numId w:val="3"/>
        </w:numPr>
        <w:tabs>
          <w:tab w:val="left" w:pos="1462"/>
          <w:tab w:val="right" w:leader="dot" w:pos="9282"/>
        </w:tabs>
        <w:spacing w:before="6" w:after="0" w:line="240" w:lineRule="auto"/>
        <w:ind w:left="1461" w:right="0" w:hanging="242"/>
        <w:jc w:val="left"/>
        <w:rPr>
          <w:rFonts w:ascii="Times New Roman" w:eastAsia="Times New Roman"/>
          <w:sz w:val="32"/>
        </w:rPr>
      </w:pPr>
      <w:r>
        <w:fldChar w:fldCharType="begin"/>
      </w:r>
      <w:r>
        <w:instrText xml:space="preserve"> HYPERLINK \l "_bookmark13" </w:instrText>
      </w:r>
      <w:r>
        <w:fldChar w:fldCharType="separate"/>
      </w:r>
      <w:r>
        <w:rPr>
          <w:sz w:val="32"/>
        </w:rPr>
        <w:t>提升企业品牌竞争能力</w:t>
      </w:r>
      <w:r>
        <w:rPr>
          <w:sz w:val="32"/>
        </w:rPr>
        <w:fldChar w:fldCharType="end"/>
      </w:r>
      <w:r>
        <w:rPr>
          <w:sz w:val="32"/>
        </w:rPr>
        <w:tab/>
      </w:r>
      <w:r>
        <w:rPr>
          <w:rFonts w:ascii="Times New Roman" w:eastAsia="Times New Roman"/>
          <w:sz w:val="32"/>
        </w:rPr>
        <w:t>20</w:t>
      </w:r>
    </w:p>
    <w:p>
      <w:pPr>
        <w:pStyle w:val="7"/>
        <w:numPr>
          <w:ilvl w:val="0"/>
          <w:numId w:val="3"/>
        </w:numPr>
        <w:tabs>
          <w:tab w:val="left" w:pos="1462"/>
          <w:tab w:val="right" w:leader="dot" w:pos="9282"/>
        </w:tabs>
        <w:spacing w:before="5" w:after="0" w:line="240" w:lineRule="auto"/>
        <w:ind w:left="1461" w:right="0" w:hanging="242"/>
        <w:jc w:val="left"/>
        <w:rPr>
          <w:rFonts w:ascii="Times New Roman" w:eastAsia="Times New Roman"/>
          <w:sz w:val="32"/>
        </w:rPr>
      </w:pPr>
      <w:r>
        <w:fldChar w:fldCharType="begin"/>
      </w:r>
      <w:r>
        <w:instrText xml:space="preserve"> HYPERLINK \l "_bookmark14" </w:instrText>
      </w:r>
      <w:r>
        <w:fldChar w:fldCharType="separate"/>
      </w:r>
      <w:r>
        <w:rPr>
          <w:sz w:val="32"/>
        </w:rPr>
        <w:t>塑造企业先进质量文化</w:t>
      </w:r>
      <w:r>
        <w:rPr>
          <w:sz w:val="32"/>
        </w:rPr>
        <w:fldChar w:fldCharType="end"/>
      </w:r>
      <w:r>
        <w:rPr>
          <w:sz w:val="32"/>
        </w:rPr>
        <w:tab/>
      </w:r>
      <w:r>
        <w:rPr>
          <w:rFonts w:ascii="Times New Roman" w:eastAsia="Times New Roman"/>
          <w:sz w:val="32"/>
        </w:rPr>
        <w:t>21</w:t>
      </w:r>
    </w:p>
    <w:p>
      <w:pPr>
        <w:pStyle w:val="7"/>
        <w:numPr>
          <w:ilvl w:val="0"/>
          <w:numId w:val="3"/>
        </w:numPr>
        <w:tabs>
          <w:tab w:val="left" w:pos="1462"/>
          <w:tab w:val="right" w:leader="dot" w:pos="9282"/>
        </w:tabs>
        <w:spacing w:before="4" w:after="0" w:line="240" w:lineRule="auto"/>
        <w:ind w:left="1461" w:right="0" w:hanging="242"/>
        <w:jc w:val="left"/>
        <w:rPr>
          <w:rFonts w:ascii="Times New Roman" w:eastAsia="Times New Roman"/>
          <w:sz w:val="32"/>
        </w:rPr>
      </w:pPr>
      <w:r>
        <w:fldChar w:fldCharType="begin"/>
      </w:r>
      <w:r>
        <w:instrText xml:space="preserve"> HYPERLINK \l "_bookmark15" </w:instrText>
      </w:r>
      <w:r>
        <w:fldChar w:fldCharType="separate"/>
      </w:r>
      <w:r>
        <w:rPr>
          <w:sz w:val="32"/>
        </w:rPr>
        <w:t>加强质量人才队伍建设</w:t>
      </w:r>
      <w:r>
        <w:rPr>
          <w:sz w:val="32"/>
        </w:rPr>
        <w:fldChar w:fldCharType="end"/>
      </w:r>
      <w:r>
        <w:rPr>
          <w:sz w:val="32"/>
        </w:rPr>
        <w:tab/>
      </w:r>
      <w:r>
        <w:rPr>
          <w:rFonts w:ascii="Times New Roman" w:eastAsia="Times New Roman"/>
          <w:sz w:val="32"/>
        </w:rPr>
        <w:t>21</w:t>
      </w:r>
    </w:p>
    <w:p>
      <w:pPr>
        <w:pStyle w:val="3"/>
        <w:tabs>
          <w:tab w:val="right" w:leader="dot" w:pos="9282"/>
        </w:tabs>
        <w:spacing w:before="18"/>
        <w:ind w:left="800"/>
        <w:rPr>
          <w:rFonts w:ascii="Times New Roman" w:eastAsia="Times New Roman"/>
        </w:rPr>
      </w:pPr>
      <w:r>
        <w:fldChar w:fldCharType="begin"/>
      </w:r>
      <w:r>
        <w:instrText xml:space="preserve"> HYPERLINK \l "_bookmark16" </w:instrText>
      </w:r>
      <w:r>
        <w:fldChar w:fldCharType="separate"/>
      </w:r>
      <w:r>
        <w:rPr>
          <w:rFonts w:hint="eastAsia" w:ascii="方正楷体_GBK" w:eastAsia="方正楷体_GBK"/>
        </w:rPr>
        <w:t>（四）实施质量治理效能提升工程</w:t>
      </w:r>
      <w:r>
        <w:rPr>
          <w:rFonts w:hint="eastAsia" w:ascii="方正楷体_GBK" w:eastAsia="方正楷体_GBK"/>
        </w:rPr>
        <w:fldChar w:fldCharType="end"/>
      </w:r>
      <w:r>
        <w:rPr>
          <w:rFonts w:hint="eastAsia" w:ascii="方正楷体_GBK" w:eastAsia="方正楷体_GBK"/>
        </w:rPr>
        <w:tab/>
      </w:r>
      <w:r>
        <w:rPr>
          <w:rFonts w:ascii="Times New Roman" w:eastAsia="Times New Roman"/>
        </w:rPr>
        <w:t>22</w:t>
      </w:r>
    </w:p>
    <w:p>
      <w:pPr>
        <w:spacing w:after="0"/>
        <w:rPr>
          <w:rFonts w:ascii="Times New Roman" w:eastAsia="Times New Roman"/>
        </w:rPr>
        <w:sectPr>
          <w:pgSz w:w="11910" w:h="16840"/>
          <w:pgMar w:top="1360" w:right="940" w:bottom="1300" w:left="1420" w:header="0" w:footer="1182" w:gutter="0"/>
        </w:sectPr>
      </w:pPr>
    </w:p>
    <w:p>
      <w:pPr>
        <w:pStyle w:val="7"/>
        <w:numPr>
          <w:ilvl w:val="0"/>
          <w:numId w:val="4"/>
        </w:numPr>
        <w:tabs>
          <w:tab w:val="left" w:pos="1462"/>
          <w:tab w:val="right" w:leader="dot" w:pos="9282"/>
        </w:tabs>
        <w:spacing w:before="0" w:after="0" w:line="513" w:lineRule="exact"/>
        <w:ind w:left="1461" w:right="0" w:hanging="242"/>
        <w:jc w:val="left"/>
        <w:rPr>
          <w:rFonts w:ascii="Times New Roman" w:eastAsia="Times New Roman"/>
          <w:sz w:val="32"/>
        </w:rPr>
      </w:pPr>
      <w:r>
        <w:fldChar w:fldCharType="begin"/>
      </w:r>
      <w:r>
        <w:instrText xml:space="preserve"> HYPERLINK \l "_bookmark17" </w:instrText>
      </w:r>
      <w:r>
        <w:fldChar w:fldCharType="separate"/>
      </w:r>
      <w:r>
        <w:rPr>
          <w:sz w:val="32"/>
        </w:rPr>
        <w:t>持续优化营商环境</w:t>
      </w:r>
      <w:r>
        <w:rPr>
          <w:sz w:val="32"/>
        </w:rPr>
        <w:fldChar w:fldCharType="end"/>
      </w:r>
      <w:r>
        <w:rPr>
          <w:sz w:val="32"/>
        </w:rPr>
        <w:tab/>
      </w:r>
      <w:r>
        <w:rPr>
          <w:rFonts w:ascii="Times New Roman" w:eastAsia="Times New Roman"/>
          <w:sz w:val="32"/>
        </w:rPr>
        <w:t>22</w:t>
      </w:r>
    </w:p>
    <w:p>
      <w:pPr>
        <w:pStyle w:val="7"/>
        <w:numPr>
          <w:ilvl w:val="0"/>
          <w:numId w:val="4"/>
        </w:numPr>
        <w:tabs>
          <w:tab w:val="left" w:pos="1462"/>
          <w:tab w:val="right" w:leader="dot" w:pos="9282"/>
        </w:tabs>
        <w:spacing w:before="6" w:after="0" w:line="240" w:lineRule="auto"/>
        <w:ind w:left="1461" w:right="0" w:hanging="242"/>
        <w:jc w:val="left"/>
        <w:rPr>
          <w:rFonts w:ascii="Times New Roman" w:eastAsia="Times New Roman"/>
          <w:sz w:val="32"/>
        </w:rPr>
      </w:pPr>
      <w:r>
        <w:fldChar w:fldCharType="begin"/>
      </w:r>
      <w:r>
        <w:instrText xml:space="preserve"> HYPERLINK \l "_bookmark18" </w:instrText>
      </w:r>
      <w:r>
        <w:fldChar w:fldCharType="separate"/>
      </w:r>
      <w:r>
        <w:rPr>
          <w:sz w:val="32"/>
        </w:rPr>
        <w:t>营造放心消费环境</w:t>
      </w:r>
      <w:r>
        <w:rPr>
          <w:sz w:val="32"/>
        </w:rPr>
        <w:fldChar w:fldCharType="end"/>
      </w:r>
      <w:r>
        <w:rPr>
          <w:sz w:val="32"/>
        </w:rPr>
        <w:tab/>
      </w:r>
      <w:r>
        <w:rPr>
          <w:rFonts w:ascii="Times New Roman" w:eastAsia="Times New Roman"/>
          <w:sz w:val="32"/>
        </w:rPr>
        <w:t>23</w:t>
      </w:r>
    </w:p>
    <w:p>
      <w:pPr>
        <w:pStyle w:val="7"/>
        <w:numPr>
          <w:ilvl w:val="0"/>
          <w:numId w:val="4"/>
        </w:numPr>
        <w:tabs>
          <w:tab w:val="left" w:pos="1462"/>
          <w:tab w:val="right" w:leader="dot" w:pos="9282"/>
        </w:tabs>
        <w:spacing w:before="5" w:after="0" w:line="240" w:lineRule="auto"/>
        <w:ind w:left="1461" w:right="0" w:hanging="242"/>
        <w:jc w:val="left"/>
        <w:rPr>
          <w:rFonts w:ascii="Times New Roman" w:eastAsia="Times New Roman"/>
          <w:sz w:val="32"/>
        </w:rPr>
      </w:pPr>
      <w:r>
        <w:fldChar w:fldCharType="begin"/>
      </w:r>
      <w:r>
        <w:instrText xml:space="preserve"> HYPERLINK \l "_bookmark19" </w:instrText>
      </w:r>
      <w:r>
        <w:fldChar w:fldCharType="separate"/>
      </w:r>
      <w:r>
        <w:rPr>
          <w:sz w:val="32"/>
        </w:rPr>
        <w:t>改进质量监管方式</w:t>
      </w:r>
      <w:r>
        <w:rPr>
          <w:sz w:val="32"/>
        </w:rPr>
        <w:fldChar w:fldCharType="end"/>
      </w:r>
      <w:r>
        <w:rPr>
          <w:sz w:val="32"/>
        </w:rPr>
        <w:tab/>
      </w:r>
      <w:r>
        <w:rPr>
          <w:rFonts w:ascii="Times New Roman" w:eastAsia="Times New Roman"/>
          <w:sz w:val="32"/>
        </w:rPr>
        <w:t>23</w:t>
      </w:r>
    </w:p>
    <w:p>
      <w:pPr>
        <w:pStyle w:val="7"/>
        <w:numPr>
          <w:ilvl w:val="0"/>
          <w:numId w:val="4"/>
        </w:numPr>
        <w:tabs>
          <w:tab w:val="left" w:pos="1462"/>
          <w:tab w:val="right" w:leader="dot" w:pos="9282"/>
        </w:tabs>
        <w:spacing w:before="4" w:after="0" w:line="240" w:lineRule="auto"/>
        <w:ind w:left="1461" w:right="0" w:hanging="242"/>
        <w:jc w:val="left"/>
        <w:rPr>
          <w:rFonts w:ascii="Times New Roman" w:eastAsia="Times New Roman"/>
          <w:sz w:val="32"/>
        </w:rPr>
      </w:pPr>
      <w:r>
        <w:fldChar w:fldCharType="begin"/>
      </w:r>
      <w:r>
        <w:instrText xml:space="preserve"> HYPERLINK \l "_bookmark20" </w:instrText>
      </w:r>
      <w:r>
        <w:fldChar w:fldCharType="separate"/>
      </w:r>
      <w:r>
        <w:rPr>
          <w:sz w:val="32"/>
        </w:rPr>
        <w:t>加强重点领域质量监管</w:t>
      </w:r>
      <w:r>
        <w:rPr>
          <w:sz w:val="32"/>
        </w:rPr>
        <w:fldChar w:fldCharType="end"/>
      </w:r>
      <w:r>
        <w:rPr>
          <w:sz w:val="32"/>
        </w:rPr>
        <w:tab/>
      </w:r>
      <w:r>
        <w:rPr>
          <w:rFonts w:ascii="Times New Roman" w:eastAsia="Times New Roman"/>
          <w:sz w:val="32"/>
        </w:rPr>
        <w:t>24</w:t>
      </w:r>
    </w:p>
    <w:p>
      <w:pPr>
        <w:pStyle w:val="7"/>
        <w:numPr>
          <w:ilvl w:val="0"/>
          <w:numId w:val="4"/>
        </w:numPr>
        <w:tabs>
          <w:tab w:val="left" w:pos="1462"/>
          <w:tab w:val="right" w:leader="dot" w:pos="9282"/>
        </w:tabs>
        <w:spacing w:before="6" w:after="0" w:line="240" w:lineRule="auto"/>
        <w:ind w:left="1461" w:right="0" w:hanging="242"/>
        <w:jc w:val="left"/>
        <w:rPr>
          <w:rFonts w:ascii="Times New Roman" w:eastAsia="Times New Roman"/>
          <w:sz w:val="32"/>
        </w:rPr>
      </w:pPr>
      <w:r>
        <w:fldChar w:fldCharType="begin"/>
      </w:r>
      <w:r>
        <w:instrText xml:space="preserve"> HYPERLINK \l "_bookmark21" </w:instrText>
      </w:r>
      <w:r>
        <w:fldChar w:fldCharType="separate"/>
      </w:r>
      <w:r>
        <w:rPr>
          <w:sz w:val="32"/>
        </w:rPr>
        <w:t>构建质量多元共治格局</w:t>
      </w:r>
      <w:r>
        <w:rPr>
          <w:sz w:val="32"/>
        </w:rPr>
        <w:fldChar w:fldCharType="end"/>
      </w:r>
      <w:r>
        <w:rPr>
          <w:sz w:val="32"/>
        </w:rPr>
        <w:tab/>
      </w:r>
      <w:r>
        <w:rPr>
          <w:rFonts w:ascii="Times New Roman" w:eastAsia="Times New Roman"/>
          <w:sz w:val="32"/>
        </w:rPr>
        <w:t>24</w:t>
      </w:r>
    </w:p>
    <w:p>
      <w:pPr>
        <w:pStyle w:val="3"/>
        <w:tabs>
          <w:tab w:val="right" w:leader="dot" w:pos="9282"/>
        </w:tabs>
        <w:spacing w:before="18"/>
        <w:ind w:left="800"/>
        <w:rPr>
          <w:rFonts w:ascii="Times New Roman" w:eastAsia="Times New Roman"/>
        </w:rPr>
      </w:pPr>
      <w:r>
        <w:fldChar w:fldCharType="begin"/>
      </w:r>
      <w:r>
        <w:instrText xml:space="preserve"> HYPERLINK \l "_bookmark22" </w:instrText>
      </w:r>
      <w:r>
        <w:fldChar w:fldCharType="separate"/>
      </w:r>
      <w:r>
        <w:rPr>
          <w:rFonts w:hint="eastAsia" w:ascii="方正楷体_GBK" w:eastAsia="方正楷体_GBK"/>
        </w:rPr>
        <w:t>（五）实施质量基础设施强化工程</w:t>
      </w:r>
      <w:r>
        <w:rPr>
          <w:rFonts w:hint="eastAsia" w:ascii="方正楷体_GBK" w:eastAsia="方正楷体_GBK"/>
        </w:rPr>
        <w:fldChar w:fldCharType="end"/>
      </w:r>
      <w:r>
        <w:rPr>
          <w:rFonts w:hint="eastAsia" w:ascii="方正楷体_GBK" w:eastAsia="方正楷体_GBK"/>
        </w:rPr>
        <w:tab/>
      </w:r>
      <w:r>
        <w:rPr>
          <w:rFonts w:ascii="Times New Roman" w:eastAsia="Times New Roman"/>
        </w:rPr>
        <w:t>25</w:t>
      </w:r>
    </w:p>
    <w:p>
      <w:pPr>
        <w:pStyle w:val="7"/>
        <w:numPr>
          <w:ilvl w:val="0"/>
          <w:numId w:val="5"/>
        </w:numPr>
        <w:tabs>
          <w:tab w:val="left" w:pos="1462"/>
          <w:tab w:val="right" w:leader="dot" w:pos="9282"/>
        </w:tabs>
        <w:spacing w:before="16" w:after="0" w:line="240" w:lineRule="auto"/>
        <w:ind w:left="1461" w:right="0" w:hanging="242"/>
        <w:jc w:val="left"/>
        <w:rPr>
          <w:rFonts w:ascii="Times New Roman" w:eastAsia="Times New Roman"/>
          <w:sz w:val="32"/>
        </w:rPr>
      </w:pPr>
      <w:r>
        <w:fldChar w:fldCharType="begin"/>
      </w:r>
      <w:r>
        <w:instrText xml:space="preserve"> HYPERLINK \l "_bookmark23" </w:instrText>
      </w:r>
      <w:r>
        <w:fldChar w:fldCharType="separate"/>
      </w:r>
      <w:r>
        <w:rPr>
          <w:sz w:val="32"/>
        </w:rPr>
        <w:t>加快质量基础设施体系建设</w:t>
      </w:r>
      <w:r>
        <w:rPr>
          <w:sz w:val="32"/>
        </w:rPr>
        <w:fldChar w:fldCharType="end"/>
      </w:r>
      <w:r>
        <w:rPr>
          <w:sz w:val="32"/>
        </w:rPr>
        <w:tab/>
      </w:r>
      <w:r>
        <w:rPr>
          <w:rFonts w:ascii="Times New Roman" w:eastAsia="Times New Roman"/>
          <w:sz w:val="32"/>
        </w:rPr>
        <w:t>25</w:t>
      </w:r>
    </w:p>
    <w:p>
      <w:pPr>
        <w:pStyle w:val="7"/>
        <w:numPr>
          <w:ilvl w:val="0"/>
          <w:numId w:val="5"/>
        </w:numPr>
        <w:tabs>
          <w:tab w:val="left" w:pos="1462"/>
          <w:tab w:val="right" w:leader="dot" w:pos="9282"/>
        </w:tabs>
        <w:spacing w:before="6" w:after="0" w:line="240" w:lineRule="auto"/>
        <w:ind w:left="1461" w:right="0" w:hanging="242"/>
        <w:jc w:val="left"/>
        <w:rPr>
          <w:rFonts w:ascii="Times New Roman" w:eastAsia="Times New Roman"/>
          <w:sz w:val="32"/>
        </w:rPr>
      </w:pPr>
      <w:r>
        <w:fldChar w:fldCharType="begin"/>
      </w:r>
      <w:r>
        <w:instrText xml:space="preserve"> HYPERLINK \l "_bookmark24" </w:instrText>
      </w:r>
      <w:r>
        <w:fldChar w:fldCharType="separate"/>
      </w:r>
      <w:r>
        <w:rPr>
          <w:sz w:val="32"/>
        </w:rPr>
        <w:t>深化质量基础设施集成应用</w:t>
      </w:r>
      <w:r>
        <w:rPr>
          <w:sz w:val="32"/>
        </w:rPr>
        <w:fldChar w:fldCharType="end"/>
      </w:r>
      <w:r>
        <w:rPr>
          <w:sz w:val="32"/>
        </w:rPr>
        <w:tab/>
      </w:r>
      <w:r>
        <w:rPr>
          <w:rFonts w:ascii="Times New Roman" w:eastAsia="Times New Roman"/>
          <w:sz w:val="32"/>
        </w:rPr>
        <w:t>26</w:t>
      </w:r>
    </w:p>
    <w:p>
      <w:pPr>
        <w:pStyle w:val="7"/>
        <w:numPr>
          <w:ilvl w:val="0"/>
          <w:numId w:val="5"/>
        </w:numPr>
        <w:tabs>
          <w:tab w:val="left" w:pos="1462"/>
          <w:tab w:val="right" w:leader="dot" w:pos="9282"/>
        </w:tabs>
        <w:spacing w:before="5" w:after="0" w:line="240" w:lineRule="auto"/>
        <w:ind w:left="1461" w:right="0" w:hanging="242"/>
        <w:jc w:val="left"/>
        <w:rPr>
          <w:rFonts w:ascii="Times New Roman" w:eastAsia="Times New Roman"/>
          <w:sz w:val="32"/>
        </w:rPr>
      </w:pPr>
      <w:r>
        <w:fldChar w:fldCharType="begin"/>
      </w:r>
      <w:r>
        <w:instrText xml:space="preserve"> HYPERLINK \l "_bookmark25" </w:instrText>
      </w:r>
      <w:r>
        <w:fldChar w:fldCharType="separate"/>
      </w:r>
      <w:r>
        <w:rPr>
          <w:sz w:val="32"/>
        </w:rPr>
        <w:t>推进质量基础设施服务平台建设</w:t>
      </w:r>
      <w:r>
        <w:rPr>
          <w:sz w:val="32"/>
        </w:rPr>
        <w:fldChar w:fldCharType="end"/>
      </w:r>
      <w:r>
        <w:rPr>
          <w:sz w:val="32"/>
        </w:rPr>
        <w:tab/>
      </w:r>
      <w:r>
        <w:rPr>
          <w:rFonts w:ascii="Times New Roman" w:eastAsia="Times New Roman"/>
          <w:sz w:val="32"/>
        </w:rPr>
        <w:t>26</w:t>
      </w:r>
    </w:p>
    <w:p>
      <w:pPr>
        <w:pStyle w:val="7"/>
        <w:numPr>
          <w:ilvl w:val="0"/>
          <w:numId w:val="5"/>
        </w:numPr>
        <w:tabs>
          <w:tab w:val="left" w:pos="1462"/>
          <w:tab w:val="right" w:leader="dot" w:pos="9282"/>
        </w:tabs>
        <w:spacing w:before="4" w:after="0" w:line="240" w:lineRule="auto"/>
        <w:ind w:left="1461" w:right="0" w:hanging="242"/>
        <w:jc w:val="left"/>
        <w:rPr>
          <w:rFonts w:ascii="Times New Roman" w:eastAsia="Times New Roman"/>
          <w:sz w:val="32"/>
        </w:rPr>
      </w:pPr>
      <w:r>
        <w:fldChar w:fldCharType="begin"/>
      </w:r>
      <w:r>
        <w:instrText xml:space="preserve"> HYPERLINK \l "_bookmark26" </w:instrText>
      </w:r>
      <w:r>
        <w:fldChar w:fldCharType="separate"/>
      </w:r>
      <w:r>
        <w:rPr>
          <w:sz w:val="32"/>
        </w:rPr>
        <w:t>加强质量基础设施国际化合作</w:t>
      </w:r>
      <w:r>
        <w:rPr>
          <w:sz w:val="32"/>
        </w:rPr>
        <w:fldChar w:fldCharType="end"/>
      </w:r>
      <w:r>
        <w:rPr>
          <w:sz w:val="32"/>
        </w:rPr>
        <w:tab/>
      </w:r>
      <w:r>
        <w:rPr>
          <w:rFonts w:ascii="Times New Roman" w:eastAsia="Times New Roman"/>
          <w:sz w:val="32"/>
        </w:rPr>
        <w:t>26</w:t>
      </w:r>
    </w:p>
    <w:p>
      <w:pPr>
        <w:pStyle w:val="3"/>
        <w:tabs>
          <w:tab w:val="right" w:leader="dot" w:pos="9282"/>
        </w:tabs>
        <w:spacing w:before="6"/>
        <w:ind w:left="380"/>
        <w:rPr>
          <w:rFonts w:ascii="Times New Roman" w:eastAsia="Times New Roman"/>
        </w:rPr>
      </w:pPr>
      <w:r>
        <w:fldChar w:fldCharType="begin"/>
      </w:r>
      <w:r>
        <w:instrText xml:space="preserve"> HYPERLINK \l "_bookmark27" </w:instrText>
      </w:r>
      <w:r>
        <w:fldChar w:fldCharType="separate"/>
      </w:r>
      <w:r>
        <w:rPr>
          <w:rFonts w:hint="eastAsia" w:ascii="方正黑体_GBK" w:eastAsia="方正黑体_GBK"/>
        </w:rPr>
        <w:t>四、保障措施</w:t>
      </w:r>
      <w:r>
        <w:rPr>
          <w:rFonts w:hint="eastAsia" w:ascii="方正黑体_GBK" w:eastAsia="方正黑体_GBK"/>
        </w:rPr>
        <w:fldChar w:fldCharType="end"/>
      </w:r>
      <w:r>
        <w:rPr>
          <w:rFonts w:hint="eastAsia" w:ascii="方正黑体_GBK" w:eastAsia="方正黑体_GBK"/>
        </w:rPr>
        <w:tab/>
      </w:r>
      <w:r>
        <w:rPr>
          <w:rFonts w:ascii="Times New Roman" w:eastAsia="Times New Roman"/>
        </w:rPr>
        <w:t>27</w:t>
      </w:r>
    </w:p>
    <w:p>
      <w:pPr>
        <w:pStyle w:val="3"/>
        <w:tabs>
          <w:tab w:val="right" w:leader="dot" w:pos="9282"/>
        </w:tabs>
        <w:spacing w:before="28"/>
        <w:ind w:left="800"/>
        <w:rPr>
          <w:rFonts w:ascii="Times New Roman" w:eastAsia="Times New Roman"/>
        </w:rPr>
      </w:pPr>
      <w:r>
        <w:fldChar w:fldCharType="begin"/>
      </w:r>
      <w:r>
        <w:instrText xml:space="preserve"> HYPERLINK \l "_bookmark28" </w:instrText>
      </w:r>
      <w:r>
        <w:fldChar w:fldCharType="separate"/>
      </w:r>
      <w:r>
        <w:rPr>
          <w:rFonts w:hint="eastAsia" w:ascii="方正楷体_GBK" w:eastAsia="方正楷体_GBK"/>
        </w:rPr>
        <w:t>（一）加强组织领导</w:t>
      </w:r>
      <w:r>
        <w:rPr>
          <w:rFonts w:hint="eastAsia" w:ascii="方正楷体_GBK" w:eastAsia="方正楷体_GBK"/>
        </w:rPr>
        <w:fldChar w:fldCharType="end"/>
      </w:r>
      <w:r>
        <w:rPr>
          <w:rFonts w:hint="eastAsia" w:ascii="方正楷体_GBK" w:eastAsia="方正楷体_GBK"/>
        </w:rPr>
        <w:tab/>
      </w:r>
      <w:r>
        <w:rPr>
          <w:rFonts w:ascii="Times New Roman" w:eastAsia="Times New Roman"/>
        </w:rPr>
        <w:t>28</w:t>
      </w:r>
    </w:p>
    <w:p>
      <w:pPr>
        <w:pStyle w:val="3"/>
        <w:tabs>
          <w:tab w:val="right" w:leader="dot" w:pos="9282"/>
        </w:tabs>
        <w:spacing w:before="28"/>
        <w:ind w:left="800"/>
        <w:rPr>
          <w:rFonts w:ascii="Times New Roman" w:eastAsia="Times New Roman"/>
        </w:rPr>
      </w:pPr>
      <w:r>
        <w:fldChar w:fldCharType="begin"/>
      </w:r>
      <w:r>
        <w:instrText xml:space="preserve"> HYPERLINK \l "_bookmark29" </w:instrText>
      </w:r>
      <w:r>
        <w:fldChar w:fldCharType="separate"/>
      </w:r>
      <w:r>
        <w:rPr>
          <w:rFonts w:hint="eastAsia" w:ascii="方正楷体_GBK" w:eastAsia="方正楷体_GBK"/>
        </w:rPr>
        <w:t>（二）完善政策措施</w:t>
      </w:r>
      <w:r>
        <w:rPr>
          <w:rFonts w:hint="eastAsia" w:ascii="方正楷体_GBK" w:eastAsia="方正楷体_GBK"/>
        </w:rPr>
        <w:fldChar w:fldCharType="end"/>
      </w:r>
      <w:r>
        <w:rPr>
          <w:rFonts w:hint="eastAsia" w:ascii="方正楷体_GBK" w:eastAsia="方正楷体_GBK"/>
        </w:rPr>
        <w:tab/>
      </w:r>
      <w:r>
        <w:rPr>
          <w:rFonts w:ascii="Times New Roman" w:eastAsia="Times New Roman"/>
        </w:rPr>
        <w:t>28</w:t>
      </w:r>
    </w:p>
    <w:p>
      <w:pPr>
        <w:pStyle w:val="3"/>
        <w:tabs>
          <w:tab w:val="right" w:leader="dot" w:pos="9282"/>
        </w:tabs>
        <w:spacing w:before="31"/>
        <w:ind w:left="800"/>
        <w:rPr>
          <w:rFonts w:ascii="Times New Roman" w:eastAsia="Times New Roman"/>
        </w:rPr>
      </w:pPr>
      <w:r>
        <w:fldChar w:fldCharType="begin"/>
      </w:r>
      <w:r>
        <w:instrText xml:space="preserve"> HYPERLINK \l "_bookmark30" </w:instrText>
      </w:r>
      <w:r>
        <w:fldChar w:fldCharType="separate"/>
      </w:r>
      <w:r>
        <w:rPr>
          <w:rFonts w:hint="eastAsia" w:ascii="方正楷体_GBK" w:eastAsia="方正楷体_GBK"/>
        </w:rPr>
        <w:t>（三）强化考核评估</w:t>
      </w:r>
      <w:r>
        <w:rPr>
          <w:rFonts w:hint="eastAsia" w:ascii="方正楷体_GBK" w:eastAsia="方正楷体_GBK"/>
        </w:rPr>
        <w:fldChar w:fldCharType="end"/>
      </w:r>
      <w:r>
        <w:rPr>
          <w:rFonts w:hint="eastAsia" w:ascii="方正楷体_GBK" w:eastAsia="方正楷体_GBK"/>
        </w:rPr>
        <w:tab/>
      </w:r>
      <w:r>
        <w:rPr>
          <w:rFonts w:ascii="Times New Roman" w:eastAsia="Times New Roman"/>
        </w:rPr>
        <w:t>28</w:t>
      </w:r>
    </w:p>
    <w:p>
      <w:pPr>
        <w:spacing w:after="0"/>
        <w:rPr>
          <w:rFonts w:ascii="Times New Roman" w:eastAsia="Times New Roman"/>
        </w:rPr>
        <w:sectPr>
          <w:pgSz w:w="11910" w:h="16840"/>
          <w:pgMar w:top="1480" w:right="940" w:bottom="1380" w:left="1420" w:header="0" w:footer="1102" w:gutter="0"/>
        </w:sectPr>
      </w:pPr>
    </w:p>
    <w:p>
      <w:pPr>
        <w:spacing w:before="254"/>
        <w:ind w:left="175" w:right="652" w:firstLine="0"/>
        <w:jc w:val="center"/>
        <w:rPr>
          <w:rFonts w:hint="eastAsia" w:ascii="方正小标宋_GBK" w:hAnsi="方正小标宋_GBK" w:eastAsia="方正小标宋_GBK"/>
          <w:sz w:val="44"/>
        </w:rPr>
      </w:pPr>
      <w:r>
        <w:rPr>
          <w:rFonts w:hint="eastAsia" w:ascii="方正小标宋_GBK" w:hAnsi="方正小标宋_GBK" w:eastAsia="方正小标宋_GBK"/>
          <w:sz w:val="44"/>
        </w:rPr>
        <w:t>盈江县</w:t>
      </w:r>
      <w:r>
        <w:rPr>
          <w:rFonts w:ascii="Times New Roman" w:hAnsi="Times New Roman" w:eastAsia="Times New Roman"/>
          <w:sz w:val="44"/>
        </w:rPr>
        <w:t>“</w:t>
      </w:r>
      <w:r>
        <w:rPr>
          <w:rFonts w:hint="eastAsia" w:ascii="方正小标宋_GBK" w:hAnsi="方正小标宋_GBK" w:eastAsia="方正小标宋_GBK"/>
          <w:sz w:val="44"/>
        </w:rPr>
        <w:t>十四五</w:t>
      </w:r>
      <w:r>
        <w:rPr>
          <w:rFonts w:ascii="Times New Roman" w:hAnsi="Times New Roman" w:eastAsia="Times New Roman"/>
          <w:sz w:val="44"/>
        </w:rPr>
        <w:t>”</w:t>
      </w:r>
      <w:r>
        <w:rPr>
          <w:rFonts w:hint="eastAsia" w:ascii="方正小标宋_GBK" w:hAnsi="方正小标宋_GBK" w:eastAsia="方正小标宋_GBK"/>
          <w:sz w:val="44"/>
        </w:rPr>
        <w:t>质量发展规划</w:t>
      </w:r>
    </w:p>
    <w:p>
      <w:pPr>
        <w:pStyle w:val="3"/>
        <w:spacing w:before="490" w:line="280" w:lineRule="auto"/>
        <w:ind w:left="380" w:right="698" w:firstLine="640"/>
      </w:pPr>
      <w:r>
        <w:rPr>
          <w:spacing w:val="-2"/>
        </w:rPr>
        <w:t>为全面贯彻落实</w:t>
      </w:r>
      <w:r>
        <w:rPr>
          <w:rFonts w:hint="eastAsia"/>
          <w:spacing w:val="-2"/>
          <w:lang w:eastAsia="zh-CN"/>
        </w:rPr>
        <w:t>党中央、国务院</w:t>
      </w:r>
      <w:r>
        <w:rPr>
          <w:spacing w:val="-2"/>
        </w:rPr>
        <w:t>，省委省政府和州委州政</w:t>
      </w:r>
      <w:r>
        <w:rPr>
          <w:spacing w:val="-3"/>
        </w:rPr>
        <w:t>府坚定不移建设质量强国</w:t>
      </w:r>
      <w:r>
        <w:t>（</w:t>
      </w:r>
      <w:r>
        <w:rPr>
          <w:spacing w:val="-2"/>
        </w:rPr>
        <w:t>省、州</w:t>
      </w:r>
      <w:r>
        <w:rPr>
          <w:spacing w:val="-3"/>
        </w:rPr>
        <w:t>）</w:t>
      </w:r>
      <w:r>
        <w:rPr>
          <w:spacing w:val="-1"/>
        </w:rPr>
        <w:t>战略部署，深入实施质</w:t>
      </w:r>
      <w:r>
        <w:rPr>
          <w:spacing w:val="-15"/>
        </w:rPr>
        <w:t>量强县、品牌强县战略，促进消费向绿色、健康、安全发展。</w:t>
      </w:r>
      <w:r>
        <w:t>根据《德宏州</w:t>
      </w:r>
      <w:r>
        <w:rPr>
          <w:rFonts w:ascii="Times New Roman" w:hAnsi="Times New Roman" w:eastAsia="Times New Roman"/>
        </w:rPr>
        <w:t>“</w:t>
      </w:r>
      <w:r>
        <w:t>十四五</w:t>
      </w:r>
      <w:r>
        <w:rPr>
          <w:rFonts w:ascii="Times New Roman" w:hAnsi="Times New Roman" w:eastAsia="Times New Roman"/>
        </w:rPr>
        <w:t>”</w:t>
      </w:r>
      <w:r>
        <w:t xml:space="preserve">质量发展规划》《盈江县国民经济和社会发展第十四个五年规划和二〇三五年远景目标纲要》， </w:t>
      </w:r>
      <w:r>
        <w:rPr>
          <w:spacing w:val="-3"/>
        </w:rPr>
        <w:t>结合新形势、新任务、新要求和盈江县发展实际，制定本规划。</w:t>
      </w:r>
    </w:p>
    <w:p>
      <w:pPr>
        <w:pStyle w:val="3"/>
        <w:spacing w:line="488" w:lineRule="exact"/>
        <w:ind w:left="1020"/>
        <w:rPr>
          <w:rFonts w:hint="eastAsia" w:ascii="方正黑体_GBK" w:eastAsia="方正黑体_GBK"/>
        </w:rPr>
      </w:pPr>
      <w:r>
        <w:rPr>
          <w:rFonts w:hint="eastAsia" w:ascii="方正黑体_GBK" w:eastAsia="方正黑体_GBK"/>
        </w:rPr>
        <w:t>一、质量发展趋势</w:t>
      </w:r>
    </w:p>
    <w:p>
      <w:pPr>
        <w:pStyle w:val="3"/>
        <w:spacing w:before="95" w:line="280" w:lineRule="auto"/>
        <w:ind w:left="380" w:right="857" w:firstLine="640"/>
        <w:jc w:val="both"/>
      </w:pPr>
      <w:r>
        <w:rPr>
          <w:rFonts w:ascii="Times New Roman" w:hAnsi="Times New Roman" w:eastAsia="Times New Roman"/>
        </w:rPr>
        <w:t>“</w:t>
      </w:r>
      <w:r>
        <w:t>十四五</w:t>
      </w:r>
      <w:r>
        <w:rPr>
          <w:rFonts w:ascii="Times New Roman" w:hAnsi="Times New Roman" w:eastAsia="Times New Roman"/>
        </w:rPr>
        <w:t>”</w:t>
      </w:r>
      <w:r>
        <w:t>期间，是盈江县同全州全省全国一道，乘势而</w:t>
      </w:r>
      <w:r>
        <w:rPr>
          <w:spacing w:val="-1"/>
        </w:rPr>
        <w:t>上开启全面建设社会主义现代化国家新征程、向第二个百年</w:t>
      </w:r>
      <w:r>
        <w:rPr>
          <w:spacing w:val="11"/>
          <w:w w:val="95"/>
        </w:rPr>
        <w:t xml:space="preserve">奋斗目标进军的第一个五年。质量是高质量发展的基础条 </w:t>
      </w:r>
      <w:r>
        <w:rPr>
          <w:spacing w:val="-2"/>
        </w:rPr>
        <w:t>件，新时代、新发展阶段，要以</w:t>
      </w:r>
      <w:r>
        <w:rPr>
          <w:rFonts w:hint="eastAsia"/>
          <w:spacing w:val="-2"/>
          <w:lang w:eastAsia="zh-CN"/>
        </w:rPr>
        <w:t>习近平新时代中国特色社会主义思想</w:t>
      </w:r>
      <w:r>
        <w:rPr>
          <w:spacing w:val="-2"/>
        </w:rPr>
        <w:t>和十九大及十</w:t>
      </w:r>
      <w:r>
        <w:rPr>
          <w:spacing w:val="-4"/>
        </w:rPr>
        <w:t>九届历次全会精神为指导，深刻把握盈江特点，全力推动我</w:t>
      </w:r>
      <w:r>
        <w:rPr>
          <w:spacing w:val="-15"/>
        </w:rPr>
        <w:t>县质量发展迈上新台阶，为把我县建设成为“</w:t>
      </w:r>
      <w:r>
        <w:rPr>
          <w:rFonts w:hint="eastAsia" w:ascii="仿宋_GB2312" w:hAnsi="仿宋_GB2312" w:eastAsia="仿宋_GB2312"/>
          <w:spacing w:val="17"/>
        </w:rPr>
        <w:t>绿色经济发展</w:t>
      </w:r>
      <w:r>
        <w:rPr>
          <w:rFonts w:hint="eastAsia" w:ascii="仿宋_GB2312" w:hAnsi="仿宋_GB2312" w:eastAsia="仿宋_GB2312"/>
          <w:spacing w:val="21"/>
        </w:rPr>
        <w:t>示范县</w:t>
      </w:r>
      <w:r>
        <w:rPr>
          <w:spacing w:val="-38"/>
        </w:rPr>
        <w:t>”“</w:t>
      </w:r>
      <w:r>
        <w:rPr>
          <w:rFonts w:hint="eastAsia" w:ascii="仿宋_GB2312" w:hAnsi="仿宋_GB2312" w:eastAsia="仿宋_GB2312"/>
          <w:spacing w:val="21"/>
        </w:rPr>
        <w:t>沿边高质量跨越发展示范县</w:t>
      </w:r>
      <w:r>
        <w:rPr>
          <w:spacing w:val="-39"/>
        </w:rPr>
        <w:t>”“</w:t>
      </w:r>
      <w:r>
        <w:rPr>
          <w:rFonts w:hint="eastAsia" w:ascii="仿宋_GB2312" w:hAnsi="仿宋_GB2312" w:eastAsia="仿宋_GB2312"/>
          <w:spacing w:val="17"/>
        </w:rPr>
        <w:t>沿边民族团结</w:t>
      </w:r>
      <w:r>
        <w:rPr>
          <w:rFonts w:hint="eastAsia" w:ascii="仿宋_GB2312" w:hAnsi="仿宋_GB2312" w:eastAsia="仿宋_GB2312"/>
          <w:spacing w:val="21"/>
          <w:w w:val="95"/>
        </w:rPr>
        <w:t>进步示范县</w:t>
      </w:r>
      <w:r>
        <w:rPr>
          <w:spacing w:val="-19"/>
          <w:w w:val="95"/>
        </w:rPr>
        <w:t>”</w:t>
      </w:r>
      <w:r>
        <w:rPr>
          <w:rFonts w:hint="eastAsia" w:ascii="仿宋_GB2312" w:hAnsi="仿宋_GB2312" w:eastAsia="仿宋_GB2312"/>
          <w:spacing w:val="15"/>
          <w:w w:val="95"/>
        </w:rPr>
        <w:t>和“滇西生态文化旅游县”</w:t>
      </w:r>
      <w:r>
        <w:rPr>
          <w:w w:val="95"/>
        </w:rPr>
        <w:t xml:space="preserve">提供质量支撑和 </w:t>
      </w:r>
      <w:r>
        <w:t>质量发展环境。</w:t>
      </w:r>
    </w:p>
    <w:p>
      <w:pPr>
        <w:pStyle w:val="3"/>
        <w:spacing w:line="480" w:lineRule="exact"/>
        <w:ind w:left="1020"/>
        <w:rPr>
          <w:rFonts w:hint="eastAsia" w:ascii="方正楷体_GBK" w:eastAsia="方正楷体_GBK"/>
        </w:rPr>
      </w:pPr>
      <w:r>
        <w:rPr>
          <w:rFonts w:hint="eastAsia" w:ascii="方正楷体_GBK" w:eastAsia="方正楷体_GBK"/>
        </w:rPr>
        <w:t>（一）质量发展状况</w:t>
      </w:r>
    </w:p>
    <w:p>
      <w:pPr>
        <w:pStyle w:val="3"/>
        <w:spacing w:before="97" w:line="280" w:lineRule="auto"/>
        <w:ind w:left="380" w:right="857" w:firstLine="640"/>
      </w:pPr>
      <w:r>
        <w:rPr>
          <w:rFonts w:ascii="Times New Roman" w:hAnsi="Times New Roman" w:eastAsia="Times New Roman"/>
        </w:rPr>
        <w:t>“</w:t>
      </w:r>
      <w:r>
        <w:t>十三五</w:t>
      </w:r>
      <w:r>
        <w:rPr>
          <w:rFonts w:ascii="Times New Roman" w:hAnsi="Times New Roman" w:eastAsia="Times New Roman"/>
        </w:rPr>
        <w:t>”</w:t>
      </w:r>
      <w:r>
        <w:t>期间，县委县政府把质量作为基础性、战略性</w:t>
      </w:r>
      <w:r>
        <w:rPr>
          <w:w w:val="95"/>
        </w:rPr>
        <w:t>工作来抓，全县各级、各部门、广大企业和社会各界积极响</w:t>
      </w:r>
    </w:p>
    <w:p>
      <w:pPr>
        <w:spacing w:after="0" w:line="280" w:lineRule="auto"/>
        <w:sectPr>
          <w:pgSz w:w="11910" w:h="16840"/>
          <w:pgMar w:top="1580" w:right="940" w:bottom="1380" w:left="1420" w:header="0" w:footer="1182" w:gutter="0"/>
        </w:sectPr>
      </w:pPr>
    </w:p>
    <w:p>
      <w:pPr>
        <w:pStyle w:val="3"/>
        <w:spacing w:before="3" w:line="280" w:lineRule="auto"/>
        <w:ind w:left="380" w:right="845"/>
        <w:jc w:val="both"/>
      </w:pPr>
      <w:r>
        <w:rPr>
          <w:spacing w:val="-3"/>
        </w:rPr>
        <w:t>应县委、县政府号召，积极行动、各司其职、扎实工作，深</w:t>
      </w:r>
      <w:r>
        <w:rPr>
          <w:spacing w:val="-5"/>
        </w:rPr>
        <w:t>入实施品牌和质量强县战略，扎实开展质量提升行动，为推动全县经济社会高质量跨越式发展、全面打赢脱贫攻坚战、</w:t>
      </w:r>
      <w:r>
        <w:rPr>
          <w:spacing w:val="14"/>
          <w:w w:val="95"/>
        </w:rPr>
        <w:t>全面建成小康社会和</w:t>
      </w:r>
      <w:r>
        <w:rPr>
          <w:rFonts w:ascii="Times New Roman" w:hAnsi="Times New Roman" w:eastAsia="Times New Roman"/>
          <w:spacing w:val="14"/>
          <w:w w:val="95"/>
        </w:rPr>
        <w:t>“</w:t>
      </w:r>
      <w:r>
        <w:rPr>
          <w:spacing w:val="14"/>
          <w:w w:val="95"/>
        </w:rPr>
        <w:t>十三五</w:t>
      </w:r>
      <w:r>
        <w:rPr>
          <w:rFonts w:ascii="Times New Roman" w:hAnsi="Times New Roman" w:eastAsia="Times New Roman"/>
          <w:spacing w:val="14"/>
          <w:w w:val="95"/>
        </w:rPr>
        <w:t>”</w:t>
      </w:r>
      <w:r>
        <w:rPr>
          <w:spacing w:val="12"/>
          <w:w w:val="95"/>
        </w:rPr>
        <w:t xml:space="preserve">规划圆满收官奠定了质量基 </w:t>
      </w:r>
      <w:r>
        <w:rPr>
          <w:spacing w:val="12"/>
        </w:rPr>
        <w:t>础。</w:t>
      </w:r>
    </w:p>
    <w:p>
      <w:pPr>
        <w:pStyle w:val="7"/>
        <w:numPr>
          <w:ilvl w:val="0"/>
          <w:numId w:val="6"/>
        </w:numPr>
        <w:tabs>
          <w:tab w:val="left" w:pos="1263"/>
        </w:tabs>
        <w:spacing w:before="0" w:after="0" w:line="502" w:lineRule="exact"/>
        <w:ind w:left="1262" w:right="0" w:hanging="243"/>
        <w:jc w:val="left"/>
        <w:rPr>
          <w:rFonts w:ascii="Times New Roman" w:eastAsia="Times New Roman"/>
          <w:sz w:val="30"/>
        </w:rPr>
      </w:pPr>
      <w:r>
        <w:rPr>
          <w:b/>
          <w:spacing w:val="5"/>
          <w:sz w:val="32"/>
        </w:rPr>
        <w:t>统一思想。</w:t>
      </w:r>
      <w:r>
        <w:rPr>
          <w:sz w:val="32"/>
        </w:rPr>
        <w:t>以习近平新时代中国特色社会主义思想为</w:t>
      </w:r>
    </w:p>
    <w:p>
      <w:pPr>
        <w:pStyle w:val="3"/>
        <w:spacing w:before="85" w:line="280" w:lineRule="auto"/>
        <w:ind w:left="380" w:right="857"/>
        <w:jc w:val="both"/>
      </w:pPr>
      <w:r>
        <w:rPr>
          <w:spacing w:val="-4"/>
        </w:rPr>
        <w:t>指导，牢固树立和贯彻落实新发展理念，坚持稳中求进工作</w:t>
      </w:r>
      <w:r>
        <w:rPr>
          <w:spacing w:val="-6"/>
        </w:rPr>
        <w:t>总基调和高质量发展要求，以供给侧结构</w:t>
      </w:r>
      <w:r>
        <w:rPr>
          <w:rFonts w:hint="eastAsia"/>
          <w:spacing w:val="-6"/>
          <w:lang w:val="en-US" w:eastAsia="zh-CN"/>
        </w:rPr>
        <w:t>性</w:t>
      </w:r>
      <w:r>
        <w:rPr>
          <w:spacing w:val="-6"/>
        </w:rPr>
        <w:t>改革为主线，坚持</w:t>
      </w:r>
      <w:r>
        <w:rPr>
          <w:spacing w:val="-5"/>
          <w:w w:val="95"/>
        </w:rPr>
        <w:t xml:space="preserve">质量第一、效率优先，深入实施品牌和质量强县战略，推动 盈江经济发展质量变革、效率变革、动力变革，不断增强经 </w:t>
      </w:r>
      <w:r>
        <w:rPr>
          <w:spacing w:val="-7"/>
        </w:rPr>
        <w:t>济质量优势。以提高质量和核心竞争力为中心，加快推进实</w:t>
      </w:r>
      <w:r>
        <w:rPr>
          <w:spacing w:val="-5"/>
        </w:rPr>
        <w:t>体经济、科技创新、沿边金融、人力资源协同发展，促进县</w:t>
      </w:r>
      <w:r>
        <w:rPr>
          <w:spacing w:val="-4"/>
          <w:w w:val="95"/>
        </w:rPr>
        <w:t xml:space="preserve">域经济、民营经济、园区经济快速发展，实现开放前沿、美 </w:t>
      </w:r>
      <w:r>
        <w:rPr>
          <w:spacing w:val="-4"/>
        </w:rPr>
        <w:t>丽盈江的总目标。</w:t>
      </w:r>
    </w:p>
    <w:p>
      <w:pPr>
        <w:pStyle w:val="7"/>
        <w:numPr>
          <w:ilvl w:val="0"/>
          <w:numId w:val="6"/>
        </w:numPr>
        <w:tabs>
          <w:tab w:val="left" w:pos="1263"/>
        </w:tabs>
        <w:spacing w:before="0" w:after="0" w:line="495" w:lineRule="exact"/>
        <w:ind w:left="1262" w:right="0" w:hanging="243"/>
        <w:jc w:val="both"/>
        <w:rPr>
          <w:rFonts w:ascii="Times New Roman" w:eastAsia="Times New Roman"/>
          <w:sz w:val="30"/>
        </w:rPr>
      </w:pPr>
      <w:r>
        <w:rPr>
          <w:b/>
          <w:spacing w:val="-1"/>
          <w:sz w:val="32"/>
        </w:rPr>
        <w:t>保障有力。</w:t>
      </w:r>
      <w:r>
        <w:rPr>
          <w:rFonts w:ascii="Times New Roman" w:eastAsia="Times New Roman"/>
          <w:sz w:val="32"/>
        </w:rPr>
        <w:t>2016</w:t>
      </w:r>
      <w:r>
        <w:rPr>
          <w:rFonts w:ascii="Times New Roman" w:eastAsia="Times New Roman"/>
          <w:spacing w:val="-1"/>
          <w:sz w:val="32"/>
        </w:rPr>
        <w:t xml:space="preserve"> </w:t>
      </w:r>
      <w:r>
        <w:rPr>
          <w:spacing w:val="-31"/>
          <w:sz w:val="32"/>
        </w:rPr>
        <w:t xml:space="preserve">年 </w:t>
      </w:r>
      <w:r>
        <w:rPr>
          <w:rFonts w:ascii="Times New Roman" w:eastAsia="Times New Roman"/>
          <w:spacing w:val="-5"/>
          <w:sz w:val="32"/>
        </w:rPr>
        <w:t>11</w:t>
      </w:r>
      <w:r>
        <w:rPr>
          <w:rFonts w:ascii="Times New Roman" w:eastAsia="Times New Roman"/>
          <w:spacing w:val="-3"/>
          <w:sz w:val="32"/>
        </w:rPr>
        <w:t xml:space="preserve"> </w:t>
      </w:r>
      <w:r>
        <w:rPr>
          <w:spacing w:val="-31"/>
          <w:sz w:val="32"/>
        </w:rPr>
        <w:t xml:space="preserve">月 </w:t>
      </w:r>
      <w:r>
        <w:rPr>
          <w:rFonts w:ascii="Times New Roman" w:eastAsia="Times New Roman"/>
          <w:sz w:val="32"/>
        </w:rPr>
        <w:t>16</w:t>
      </w:r>
      <w:r>
        <w:rPr>
          <w:rFonts w:ascii="Times New Roman" w:eastAsia="Times New Roman"/>
          <w:spacing w:val="-2"/>
          <w:sz w:val="32"/>
        </w:rPr>
        <w:t xml:space="preserve"> </w:t>
      </w:r>
      <w:r>
        <w:rPr>
          <w:spacing w:val="-2"/>
          <w:sz w:val="32"/>
        </w:rPr>
        <w:t>日，盈江县人民政府印发</w:t>
      </w:r>
    </w:p>
    <w:p>
      <w:pPr>
        <w:pStyle w:val="3"/>
        <w:spacing w:before="85" w:line="280" w:lineRule="auto"/>
        <w:ind w:left="380" w:right="845"/>
        <w:jc w:val="both"/>
      </w:pPr>
      <w:r>
        <w:t xml:space="preserve">《盈江县人民政府关于实施品牌和质量强县战略的意见》， </w:t>
      </w:r>
      <w:r>
        <w:rPr>
          <w:spacing w:val="-1"/>
        </w:rPr>
        <w:t>安排部署质量强县战略任务；</w:t>
      </w:r>
      <w:r>
        <w:rPr>
          <w:rFonts w:ascii="Times New Roman" w:hAnsi="Times New Roman" w:eastAsia="Times New Roman"/>
          <w:spacing w:val="-10"/>
        </w:rPr>
        <w:t xml:space="preserve">2017 </w:t>
      </w:r>
      <w:r>
        <w:rPr>
          <w:spacing w:val="-33"/>
        </w:rPr>
        <w:t xml:space="preserve">年 </w:t>
      </w:r>
      <w:r>
        <w:rPr>
          <w:rFonts w:ascii="Times New Roman" w:hAnsi="Times New Roman" w:eastAsia="Times New Roman"/>
        </w:rPr>
        <w:t xml:space="preserve">12 </w:t>
      </w:r>
      <w:r>
        <w:rPr>
          <w:spacing w:val="-32"/>
        </w:rPr>
        <w:t xml:space="preserve">月 </w:t>
      </w:r>
      <w:r>
        <w:rPr>
          <w:rFonts w:ascii="Times New Roman" w:hAnsi="Times New Roman" w:eastAsia="Times New Roman"/>
        </w:rPr>
        <w:t xml:space="preserve">29 </w:t>
      </w:r>
      <w:r>
        <w:rPr>
          <w:spacing w:val="-9"/>
        </w:rPr>
        <w:t>日，盈江县国</w:t>
      </w:r>
      <w:r>
        <w:rPr>
          <w:spacing w:val="-17"/>
        </w:rPr>
        <w:t>民经济和社会发展</w:t>
      </w:r>
      <w:r>
        <w:rPr>
          <w:rFonts w:hint="eastAsia"/>
          <w:spacing w:val="-17"/>
          <w:lang w:eastAsia="zh-CN"/>
        </w:rPr>
        <w:t>“十三五”规划</w:t>
      </w:r>
      <w:r>
        <w:rPr>
          <w:spacing w:val="-17"/>
        </w:rPr>
        <w:t>之《盈江县品牌和质量发展</w:t>
      </w:r>
      <w:r>
        <w:rPr>
          <w:rFonts w:ascii="Times New Roman" w:hAnsi="Times New Roman" w:eastAsia="Times New Roman"/>
        </w:rPr>
        <w:t>“</w:t>
      </w:r>
      <w:r>
        <w:t>十三五</w:t>
      </w:r>
      <w:r>
        <w:rPr>
          <w:rFonts w:ascii="Times New Roman" w:hAnsi="Times New Roman" w:eastAsia="Times New Roman"/>
        </w:rPr>
        <w:t>”</w:t>
      </w:r>
      <w:r>
        <w:rPr>
          <w:spacing w:val="-5"/>
        </w:rPr>
        <w:t>规划》专项规划出台；</w:t>
      </w:r>
      <w:r>
        <w:rPr>
          <w:rFonts w:ascii="Times New Roman" w:hAnsi="Times New Roman" w:eastAsia="Times New Roman"/>
          <w:spacing w:val="-5"/>
        </w:rPr>
        <w:t xml:space="preserve">2019 </w:t>
      </w:r>
      <w:r>
        <w:rPr>
          <w:spacing w:val="-32"/>
        </w:rPr>
        <w:t xml:space="preserve">年 </w:t>
      </w:r>
      <w:r>
        <w:rPr>
          <w:rFonts w:ascii="Times New Roman" w:hAnsi="Times New Roman" w:eastAsia="Times New Roman"/>
        </w:rPr>
        <w:t xml:space="preserve">1 </w:t>
      </w:r>
      <w:r>
        <w:rPr>
          <w:spacing w:val="-32"/>
        </w:rPr>
        <w:t xml:space="preserve">月 </w:t>
      </w:r>
      <w:r>
        <w:rPr>
          <w:rFonts w:ascii="Times New Roman" w:hAnsi="Times New Roman" w:eastAsia="Times New Roman"/>
        </w:rPr>
        <w:t xml:space="preserve">31 </w:t>
      </w:r>
      <w:r>
        <w:rPr>
          <w:spacing w:val="-5"/>
        </w:rPr>
        <w:t>日，中共盈江县</w:t>
      </w:r>
      <w:r>
        <w:rPr>
          <w:spacing w:val="3"/>
        </w:rPr>
        <w:t>委 盈江县人民政府印发《关于开展质量提升行动的实施方</w:t>
      </w:r>
      <w:r>
        <w:rPr>
          <w:spacing w:val="-7"/>
        </w:rPr>
        <w:t>案》的通知；</w:t>
      </w:r>
      <w:r>
        <w:rPr>
          <w:rFonts w:ascii="Times New Roman" w:hAnsi="Times New Roman" w:eastAsia="Times New Roman"/>
          <w:spacing w:val="-7"/>
        </w:rPr>
        <w:t xml:space="preserve">2019 </w:t>
      </w:r>
      <w:r>
        <w:rPr>
          <w:spacing w:val="-31"/>
        </w:rPr>
        <w:t xml:space="preserve">年 </w:t>
      </w:r>
      <w:r>
        <w:rPr>
          <w:rFonts w:ascii="Times New Roman" w:hAnsi="Times New Roman" w:eastAsia="Times New Roman"/>
        </w:rPr>
        <w:t xml:space="preserve">10 </w:t>
      </w:r>
      <w:r>
        <w:rPr>
          <w:spacing w:val="-32"/>
        </w:rPr>
        <w:t xml:space="preserve">月 </w:t>
      </w:r>
      <w:r>
        <w:rPr>
          <w:rFonts w:ascii="Times New Roman" w:hAnsi="Times New Roman" w:eastAsia="Times New Roman"/>
        </w:rPr>
        <w:t xml:space="preserve">31 </w:t>
      </w:r>
      <w:r>
        <w:rPr>
          <w:spacing w:val="-6"/>
        </w:rPr>
        <w:t xml:space="preserve">日，盈江县人民政府办公室调整充实盈江县实施品牌和质量强县战略领导小组组成人员； </w:t>
      </w:r>
      <w:r>
        <w:rPr>
          <w:rFonts w:ascii="Times New Roman" w:hAnsi="Times New Roman" w:eastAsia="Times New Roman"/>
          <w:spacing w:val="-6"/>
        </w:rPr>
        <w:t xml:space="preserve">2020 </w:t>
      </w:r>
      <w:r>
        <w:rPr>
          <w:spacing w:val="-33"/>
        </w:rPr>
        <w:t xml:space="preserve">年 </w:t>
      </w:r>
      <w:r>
        <w:rPr>
          <w:rFonts w:ascii="Times New Roman" w:hAnsi="Times New Roman" w:eastAsia="Times New Roman"/>
        </w:rPr>
        <w:t xml:space="preserve">6 </w:t>
      </w:r>
      <w:r>
        <w:rPr>
          <w:spacing w:val="-30"/>
        </w:rPr>
        <w:t xml:space="preserve">月 </w:t>
      </w:r>
      <w:r>
        <w:rPr>
          <w:rFonts w:ascii="Times New Roman" w:hAnsi="Times New Roman" w:eastAsia="Times New Roman"/>
        </w:rPr>
        <w:t xml:space="preserve">18 </w:t>
      </w:r>
      <w:r>
        <w:t>日，盈江县人民政府办公室印发了《盈江县</w:t>
      </w:r>
    </w:p>
    <w:p>
      <w:pPr>
        <w:spacing w:after="0" w:line="280" w:lineRule="auto"/>
        <w:jc w:val="both"/>
        <w:sectPr>
          <w:pgSz w:w="11910" w:h="16840"/>
          <w:pgMar w:top="1540" w:right="940" w:bottom="1380" w:left="1420" w:header="0" w:footer="1102" w:gutter="0"/>
        </w:sectPr>
      </w:pPr>
    </w:p>
    <w:p>
      <w:pPr>
        <w:pStyle w:val="3"/>
        <w:spacing w:before="3" w:line="280" w:lineRule="auto"/>
        <w:ind w:left="380" w:right="845"/>
        <w:jc w:val="both"/>
      </w:pPr>
      <w:r>
        <w:rPr>
          <w:spacing w:val="-5"/>
        </w:rPr>
        <w:t xml:space="preserve">人民政府办公室关于印发特色农产品等 </w:t>
      </w:r>
      <w:r>
        <w:rPr>
          <w:rFonts w:ascii="Times New Roman" w:eastAsia="Times New Roman"/>
        </w:rPr>
        <w:t xml:space="preserve">9 </w:t>
      </w:r>
      <w:r>
        <w:t>个领域质量提升行</w:t>
      </w:r>
      <w:r>
        <w:rPr>
          <w:spacing w:val="-3"/>
        </w:rPr>
        <w:t>动方案的通知》。县委、县政府从战略的高度出台印发了一系列质量纲领性工作文件，围绕我县大力发展装备制造业、</w:t>
      </w:r>
      <w:r>
        <w:rPr>
          <w:spacing w:val="-5"/>
        </w:rPr>
        <w:t>生物医药和大健康产业、旅游文化产业、食品与消费品制造</w:t>
      </w:r>
      <w:r>
        <w:rPr>
          <w:spacing w:val="-4"/>
        </w:rPr>
        <w:t>业、高原特色现代农业产业、现代物流产业，重点培育轻纺</w:t>
      </w:r>
      <w:r>
        <w:rPr>
          <w:spacing w:val="-5"/>
        </w:rPr>
        <w:t>产业、电子信息产业发展格局，以提高发展质量和效益为中</w:t>
      </w:r>
      <w:r>
        <w:rPr>
          <w:spacing w:val="-4"/>
        </w:rPr>
        <w:t>心，制定了质量目标指标和工作内容，为进一步提升我县产品、工程和服务质量水平，推进我县高质量跨越式发展，推</w:t>
      </w:r>
      <w:r>
        <w:rPr>
          <w:spacing w:val="-5"/>
        </w:rPr>
        <w:t>动经济社会发展向中高端迈进指明了工作方向，提供了坚强的组织机构和政策保障。</w:t>
      </w:r>
    </w:p>
    <w:p>
      <w:pPr>
        <w:pStyle w:val="7"/>
        <w:numPr>
          <w:ilvl w:val="0"/>
          <w:numId w:val="6"/>
        </w:numPr>
        <w:tabs>
          <w:tab w:val="left" w:pos="1263"/>
        </w:tabs>
        <w:spacing w:before="0" w:after="0" w:line="489" w:lineRule="exact"/>
        <w:ind w:left="1262" w:right="0" w:hanging="243"/>
        <w:jc w:val="both"/>
        <w:rPr>
          <w:rFonts w:ascii="Times New Roman" w:eastAsia="Times New Roman"/>
          <w:sz w:val="30"/>
        </w:rPr>
      </w:pPr>
      <w:r>
        <w:rPr>
          <w:b/>
          <w:spacing w:val="-10"/>
          <w:sz w:val="32"/>
        </w:rPr>
        <w:t>目标明确。</w:t>
      </w:r>
      <w:r>
        <w:rPr>
          <w:spacing w:val="-5"/>
          <w:sz w:val="32"/>
        </w:rPr>
        <w:t>根据《中共盈江县委 盈江县人民政府关于</w:t>
      </w:r>
    </w:p>
    <w:p>
      <w:pPr>
        <w:pStyle w:val="3"/>
        <w:spacing w:before="85" w:line="280" w:lineRule="auto"/>
        <w:ind w:left="380" w:right="857"/>
        <w:jc w:val="both"/>
      </w:pPr>
      <w:r>
        <w:rPr>
          <w:spacing w:val="-1"/>
          <w:w w:val="95"/>
        </w:rPr>
        <w:t xml:space="preserve">开展质量提升行动的实施方案》《盈江县人民政府关于实施 </w:t>
      </w:r>
      <w:r>
        <w:rPr>
          <w:spacing w:val="-3"/>
        </w:rPr>
        <w:t>品牌和质量强县战略的意见》《盈江县品牌和质量发展</w:t>
      </w:r>
      <w:r>
        <w:rPr>
          <w:rFonts w:hint="eastAsia"/>
          <w:spacing w:val="-3"/>
          <w:lang w:eastAsia="zh-CN"/>
        </w:rPr>
        <w:t>“十三五”规划</w:t>
      </w:r>
      <w:r>
        <w:rPr>
          <w:spacing w:val="-5"/>
          <w:w w:val="95"/>
        </w:rPr>
        <w:t xml:space="preserve">》和《盈江县人民政府办公室关于印发特色农产品等  </w:t>
      </w:r>
      <w:r>
        <w:rPr>
          <w:rFonts w:ascii="Times New Roman" w:eastAsia="Times New Roman"/>
          <w:spacing w:val="-5"/>
        </w:rPr>
        <w:t>9</w:t>
      </w:r>
      <w:r>
        <w:rPr>
          <w:rFonts w:ascii="Times New Roman" w:eastAsia="Times New Roman"/>
          <w:spacing w:val="4"/>
        </w:rPr>
        <w:t xml:space="preserve"> </w:t>
      </w:r>
      <w:r>
        <w:t>个领域质量提升行动方案的通知》的规划部署，明确了盈</w:t>
      </w:r>
    </w:p>
    <w:p>
      <w:pPr>
        <w:pStyle w:val="3"/>
        <w:spacing w:line="280" w:lineRule="auto"/>
        <w:ind w:left="380" w:right="855"/>
        <w:jc w:val="both"/>
      </w:pPr>
      <w:r>
        <w:rPr>
          <w:spacing w:val="1"/>
        </w:rPr>
        <w:t xml:space="preserve">江县质量工作发展内容和目标，到 </w:t>
      </w:r>
      <w:r>
        <w:rPr>
          <w:rFonts w:ascii="Times New Roman" w:eastAsia="Times New Roman"/>
        </w:rPr>
        <w:t>2020</w:t>
      </w:r>
      <w:r>
        <w:rPr>
          <w:rFonts w:ascii="Times New Roman" w:eastAsia="Times New Roman"/>
          <w:spacing w:val="-6"/>
        </w:rPr>
        <w:t xml:space="preserve"> </w:t>
      </w:r>
      <w:r>
        <w:rPr>
          <w:spacing w:val="6"/>
        </w:rPr>
        <w:t>年，重要工业产品</w:t>
      </w:r>
      <w:r>
        <w:t xml:space="preserve">质量国家监督抽查合格率稳定在 </w:t>
      </w:r>
      <w:r>
        <w:rPr>
          <w:rFonts w:ascii="Times New Roman" w:eastAsia="Times New Roman"/>
        </w:rPr>
        <w:t>90%</w:t>
      </w:r>
      <w:r>
        <w:rPr>
          <w:spacing w:val="-7"/>
        </w:rPr>
        <w:t>以上，主要农产品综合</w:t>
      </w:r>
      <w:r>
        <w:rPr>
          <w:spacing w:val="-15"/>
        </w:rPr>
        <w:t xml:space="preserve">抽检合格率稳定在 </w:t>
      </w:r>
      <w:r>
        <w:rPr>
          <w:rFonts w:ascii="Times New Roman" w:eastAsia="Times New Roman"/>
        </w:rPr>
        <w:t>97%</w:t>
      </w:r>
      <w:r>
        <w:rPr>
          <w:spacing w:val="-7"/>
        </w:rPr>
        <w:t>以上，获证生产企业食品监督抽查</w:t>
      </w:r>
      <w:r>
        <w:rPr>
          <w:rFonts w:hint="eastAsia"/>
          <w:spacing w:val="-7"/>
          <w:lang w:eastAsia="zh-CN"/>
        </w:rPr>
        <w:t>覆盖</w:t>
      </w:r>
      <w:r>
        <w:rPr>
          <w:spacing w:val="-29"/>
        </w:rPr>
        <w:t xml:space="preserve">率 </w:t>
      </w:r>
      <w:r>
        <w:rPr>
          <w:rFonts w:ascii="Times New Roman" w:eastAsia="Times New Roman"/>
        </w:rPr>
        <w:t>80%</w:t>
      </w:r>
      <w:r>
        <w:rPr>
          <w:spacing w:val="-8"/>
        </w:rPr>
        <w:t>、国家基本药物、省补充基本药物监督抽检覆盖率</w:t>
      </w:r>
      <w:r>
        <w:rPr>
          <w:rFonts w:ascii="Times New Roman" w:eastAsia="Times New Roman"/>
          <w:spacing w:val="-9"/>
        </w:rPr>
        <w:t>100%</w:t>
      </w:r>
      <w:r>
        <w:rPr>
          <w:spacing w:val="-8"/>
        </w:rPr>
        <w:t>，竣工房屋建筑和市政公用工程、道路、水利工程的质</w:t>
      </w:r>
      <w:r>
        <w:rPr>
          <w:spacing w:val="-1"/>
        </w:rPr>
        <w:t xml:space="preserve">量、监督、验收和安全、卫生指标 </w:t>
      </w:r>
      <w:r>
        <w:rPr>
          <w:rFonts w:ascii="Times New Roman" w:eastAsia="Times New Roman"/>
        </w:rPr>
        <w:t>100%</w:t>
      </w:r>
      <w:r>
        <w:rPr>
          <w:spacing w:val="4"/>
        </w:rPr>
        <w:t>达标，建筑节能减</w:t>
      </w:r>
      <w:r>
        <w:t xml:space="preserve">排全面达标，建筑工程质量投诉处理完结率达到 </w:t>
      </w:r>
      <w:r>
        <w:rPr>
          <w:rFonts w:ascii="Times New Roman" w:eastAsia="Times New Roman"/>
          <w:spacing w:val="2"/>
        </w:rPr>
        <w:t>100%</w:t>
      </w:r>
      <w:r>
        <w:rPr>
          <w:spacing w:val="1"/>
        </w:rPr>
        <w:t>，游</w:t>
      </w:r>
      <w:r>
        <w:rPr>
          <w:spacing w:val="-6"/>
        </w:rPr>
        <w:t xml:space="preserve">客有效投诉结案率 </w:t>
      </w:r>
      <w:r>
        <w:rPr>
          <w:rFonts w:ascii="Times New Roman" w:eastAsia="Times New Roman"/>
          <w:spacing w:val="2"/>
        </w:rPr>
        <w:t>100%</w:t>
      </w:r>
      <w:r>
        <w:rPr>
          <w:spacing w:val="3"/>
        </w:rPr>
        <w:t>，基础效能充分释放，品牌建设和</w:t>
      </w:r>
    </w:p>
    <w:p>
      <w:pPr>
        <w:spacing w:after="0" w:line="280" w:lineRule="auto"/>
        <w:jc w:val="both"/>
        <w:sectPr>
          <w:pgSz w:w="11910" w:h="16840"/>
          <w:pgMar w:top="1540" w:right="940" w:bottom="1380" w:left="1420" w:header="0" w:footer="1182" w:gutter="0"/>
        </w:sectPr>
      </w:pPr>
    </w:p>
    <w:p>
      <w:pPr>
        <w:pStyle w:val="3"/>
        <w:spacing w:before="3" w:line="280" w:lineRule="auto"/>
        <w:ind w:left="380" w:right="845"/>
        <w:jc w:val="both"/>
      </w:pPr>
      <w:r>
        <w:t>质量强县取得明显成效，产品、工程和服务质量显著提升， 政府质量工作社会公众满意度逐年提高，产业可持续发展的核心竞争力显著增强，辐射南亚东南亚的能力不断强化，质量对提高全要素生产率和促进经济发展的贡献进一步增强， 更好满足人民群众不断升级的消费需求。</w:t>
      </w:r>
    </w:p>
    <w:p>
      <w:pPr>
        <w:pStyle w:val="7"/>
        <w:numPr>
          <w:ilvl w:val="0"/>
          <w:numId w:val="6"/>
        </w:numPr>
        <w:tabs>
          <w:tab w:val="left" w:pos="1263"/>
        </w:tabs>
        <w:spacing w:before="0" w:after="0" w:line="502" w:lineRule="exact"/>
        <w:ind w:left="1262" w:right="0" w:hanging="243"/>
        <w:jc w:val="left"/>
        <w:rPr>
          <w:rFonts w:ascii="Times New Roman" w:eastAsia="Times New Roman"/>
          <w:sz w:val="30"/>
        </w:rPr>
      </w:pPr>
      <w:r>
        <w:rPr>
          <w:b/>
          <w:spacing w:val="5"/>
          <w:sz w:val="32"/>
        </w:rPr>
        <w:t>合力推进。</w:t>
      </w:r>
      <w:r>
        <w:rPr>
          <w:sz w:val="32"/>
        </w:rPr>
        <w:t>各成员单位，尤其是责任部门高度重视、</w:t>
      </w:r>
    </w:p>
    <w:p>
      <w:pPr>
        <w:pStyle w:val="3"/>
        <w:spacing w:before="85" w:line="280" w:lineRule="auto"/>
        <w:ind w:left="380" w:right="737"/>
        <w:jc w:val="both"/>
      </w:pPr>
      <w:r>
        <w:rPr>
          <w:spacing w:val="-3"/>
        </w:rPr>
        <w:t>狠抓落实，对标对表、分解目标、担当负责、扎实工作，通</w:t>
      </w:r>
      <w:r>
        <w:rPr>
          <w:spacing w:val="-7"/>
        </w:rPr>
        <w:t>力合作共同确保既定目标及各项工作任务如期完成。</w:t>
      </w:r>
      <w:r>
        <w:rPr>
          <w:rFonts w:ascii="Times New Roman" w:eastAsia="Times New Roman"/>
        </w:rPr>
        <w:t>2020</w:t>
      </w:r>
      <w:r>
        <w:rPr>
          <w:rFonts w:ascii="Times New Roman" w:eastAsia="Times New Roman"/>
          <w:spacing w:val="-5"/>
        </w:rPr>
        <w:t xml:space="preserve"> </w:t>
      </w:r>
      <w:r>
        <w:t>年</w:t>
      </w:r>
      <w:r>
        <w:rPr>
          <w:spacing w:val="-8"/>
        </w:rPr>
        <w:t xml:space="preserve">主要农产品、畜产品综合抽检合格率稳定在 </w:t>
      </w:r>
      <w:r>
        <w:rPr>
          <w:rFonts w:ascii="Times New Roman" w:eastAsia="Times New Roman"/>
        </w:rPr>
        <w:t>97%</w:t>
      </w:r>
      <w:r>
        <w:rPr>
          <w:spacing w:val="-5"/>
        </w:rPr>
        <w:t>以上；重要</w:t>
      </w:r>
      <w:r>
        <w:rPr>
          <w:spacing w:val="-6"/>
        </w:rPr>
        <w:t xml:space="preserve">工业产品州级地方监督抽查合格率 </w:t>
      </w:r>
      <w:r>
        <w:rPr>
          <w:rFonts w:ascii="Times New Roman" w:eastAsia="Times New Roman"/>
          <w:spacing w:val="-9"/>
        </w:rPr>
        <w:t>100%</w:t>
      </w:r>
      <w:r>
        <w:rPr>
          <w:spacing w:val="10"/>
        </w:rPr>
        <w:t>；食品各级各类型</w:t>
      </w:r>
      <w:r>
        <w:rPr>
          <w:spacing w:val="8"/>
        </w:rPr>
        <w:t xml:space="preserve">监督抽查合格率在 </w:t>
      </w:r>
      <w:r>
        <w:rPr>
          <w:rFonts w:ascii="Times New Roman" w:eastAsia="Times New Roman"/>
          <w:spacing w:val="9"/>
        </w:rPr>
        <w:t>95%</w:t>
      </w:r>
      <w:r>
        <w:rPr>
          <w:spacing w:val="10"/>
        </w:rPr>
        <w:t xml:space="preserve">以上；药品抽检合格率 </w:t>
      </w:r>
      <w:r>
        <w:rPr>
          <w:rFonts w:ascii="Times New Roman" w:eastAsia="Times New Roman"/>
          <w:spacing w:val="8"/>
        </w:rPr>
        <w:t>100%</w:t>
      </w:r>
      <w:r>
        <w:rPr>
          <w:spacing w:val="9"/>
        </w:rPr>
        <w:t>、化</w:t>
      </w:r>
      <w:r>
        <w:rPr>
          <w:spacing w:val="11"/>
        </w:rPr>
        <w:t xml:space="preserve">妆品、医疗器械抽检合格率 </w:t>
      </w:r>
      <w:r>
        <w:rPr>
          <w:rFonts w:ascii="Times New Roman" w:eastAsia="Times New Roman"/>
          <w:spacing w:val="8"/>
        </w:rPr>
        <w:t>100%</w:t>
      </w:r>
      <w:r>
        <w:rPr>
          <w:spacing w:val="14"/>
        </w:rPr>
        <w:t>；工程竣工验收合格率</w:t>
      </w:r>
      <w:r>
        <w:rPr>
          <w:rFonts w:ascii="Times New Roman" w:eastAsia="Times New Roman"/>
          <w:spacing w:val="14"/>
        </w:rPr>
        <w:t>100%</w:t>
      </w:r>
      <w:r>
        <w:rPr>
          <w:spacing w:val="6"/>
        </w:rPr>
        <w:t xml:space="preserve">；共培育中国驰名商标 </w:t>
      </w:r>
      <w:r>
        <w:rPr>
          <w:rFonts w:ascii="Times New Roman" w:eastAsia="Times New Roman"/>
        </w:rPr>
        <w:t>1</w:t>
      </w:r>
      <w:r>
        <w:rPr>
          <w:rFonts w:ascii="Times New Roman" w:eastAsia="Times New Roman"/>
          <w:spacing w:val="-3"/>
        </w:rPr>
        <w:t xml:space="preserve"> </w:t>
      </w:r>
      <w:r>
        <w:rPr>
          <w:spacing w:val="-6"/>
        </w:rPr>
        <w:t xml:space="preserve">件、地理标志证明商标 </w:t>
      </w:r>
      <w:r>
        <w:rPr>
          <w:rFonts w:ascii="Times New Roman" w:eastAsia="Times New Roman"/>
        </w:rPr>
        <w:t>2</w:t>
      </w:r>
      <w:r>
        <w:rPr>
          <w:rFonts w:ascii="Times New Roman" w:eastAsia="Times New Roman"/>
          <w:spacing w:val="-4"/>
        </w:rPr>
        <w:t xml:space="preserve"> </w:t>
      </w:r>
      <w:r>
        <w:t>件、</w:t>
      </w:r>
    </w:p>
    <w:p>
      <w:pPr>
        <w:pStyle w:val="3"/>
        <w:spacing w:line="497" w:lineRule="exact"/>
        <w:ind w:left="380"/>
        <w:jc w:val="both"/>
      </w:pPr>
      <w:r>
        <w:rPr>
          <w:spacing w:val="-13"/>
        </w:rPr>
        <w:t xml:space="preserve">三品一标 </w:t>
      </w:r>
      <w:r>
        <w:rPr>
          <w:rFonts w:ascii="Times New Roman" w:eastAsia="Times New Roman"/>
        </w:rPr>
        <w:t>15</w:t>
      </w:r>
      <w:r>
        <w:rPr>
          <w:rFonts w:ascii="Times New Roman" w:eastAsia="Times New Roman"/>
          <w:spacing w:val="-3"/>
        </w:rPr>
        <w:t xml:space="preserve"> </w:t>
      </w:r>
      <w:r>
        <w:rPr>
          <w:spacing w:val="-18"/>
        </w:rPr>
        <w:t xml:space="preserve">个、有效发明专利 </w:t>
      </w:r>
      <w:r>
        <w:rPr>
          <w:rFonts w:ascii="Times New Roman" w:eastAsia="Times New Roman"/>
        </w:rPr>
        <w:t>3</w:t>
      </w:r>
      <w:r>
        <w:rPr>
          <w:rFonts w:ascii="Times New Roman" w:eastAsia="Times New Roman"/>
          <w:spacing w:val="-1"/>
        </w:rPr>
        <w:t xml:space="preserve"> </w:t>
      </w:r>
      <w:r>
        <w:rPr>
          <w:spacing w:val="-18"/>
        </w:rPr>
        <w:t xml:space="preserve">件、有效注册商标 </w:t>
      </w:r>
      <w:r>
        <w:rPr>
          <w:rFonts w:ascii="Times New Roman" w:eastAsia="Times New Roman"/>
          <w:spacing w:val="-3"/>
        </w:rPr>
        <w:t xml:space="preserve">1134 </w:t>
      </w:r>
      <w:r>
        <w:t>件；</w:t>
      </w:r>
    </w:p>
    <w:p>
      <w:pPr>
        <w:pStyle w:val="3"/>
        <w:spacing w:before="85" w:line="280" w:lineRule="auto"/>
        <w:ind w:left="380" w:right="860"/>
        <w:jc w:val="both"/>
      </w:pPr>
      <w:r>
        <w:rPr>
          <w:spacing w:val="-3"/>
        </w:rPr>
        <w:t xml:space="preserve">企业产品和服务标准自我声明公开率达到 </w:t>
      </w:r>
      <w:r>
        <w:rPr>
          <w:rFonts w:ascii="Times New Roman" w:eastAsia="Times New Roman"/>
        </w:rPr>
        <w:t>95%</w:t>
      </w:r>
      <w:r>
        <w:t>以上。</w:t>
      </w:r>
      <w:r>
        <w:rPr>
          <w:rFonts w:ascii="Times New Roman" w:eastAsia="Times New Roman"/>
        </w:rPr>
        <w:t xml:space="preserve">9 </w:t>
      </w:r>
      <w:r>
        <w:t>家向</w:t>
      </w:r>
      <w:r>
        <w:rPr>
          <w:spacing w:val="-3"/>
        </w:rPr>
        <w:t xml:space="preserve">社会出具具有证明作用的数据、结果的检验检测机构 </w:t>
      </w:r>
      <w:r>
        <w:rPr>
          <w:rFonts w:ascii="Times New Roman" w:eastAsia="Times New Roman"/>
          <w:spacing w:val="-3"/>
        </w:rPr>
        <w:t>100</w:t>
      </w:r>
      <w:r>
        <w:rPr>
          <w:spacing w:val="-3"/>
        </w:rPr>
        <w:t xml:space="preserve">％ </w:t>
      </w:r>
      <w:r>
        <w:rPr>
          <w:spacing w:val="-7"/>
        </w:rPr>
        <w:t xml:space="preserve">依法通过资质认定；盈江县共有 </w:t>
      </w:r>
      <w:r>
        <w:rPr>
          <w:rFonts w:ascii="Times New Roman" w:eastAsia="Times New Roman"/>
        </w:rPr>
        <w:t xml:space="preserve">23 </w:t>
      </w:r>
      <w:r>
        <w:rPr>
          <w:spacing w:val="-11"/>
        </w:rPr>
        <w:t xml:space="preserve">家企业取得 </w:t>
      </w:r>
      <w:r>
        <w:rPr>
          <w:rFonts w:ascii="Times New Roman" w:eastAsia="Times New Roman"/>
        </w:rPr>
        <w:t xml:space="preserve">30 </w:t>
      </w:r>
      <w:r>
        <w:t>张各类认证证书。</w:t>
      </w:r>
    </w:p>
    <w:p>
      <w:pPr>
        <w:pStyle w:val="3"/>
        <w:spacing w:before="2"/>
        <w:ind w:left="1020"/>
        <w:rPr>
          <w:rFonts w:hint="eastAsia" w:ascii="方正楷体_GBK" w:eastAsia="方正楷体_GBK"/>
        </w:rPr>
      </w:pPr>
      <w:r>
        <w:rPr>
          <w:rFonts w:hint="eastAsia" w:ascii="方正楷体_GBK" w:eastAsia="方正楷体_GBK"/>
        </w:rPr>
        <w:t>（二）质量发展面临形势</w:t>
      </w:r>
    </w:p>
    <w:p>
      <w:pPr>
        <w:pStyle w:val="3"/>
        <w:spacing w:before="98" w:line="280" w:lineRule="auto"/>
        <w:ind w:left="380" w:right="860" w:firstLine="640"/>
        <w:jc w:val="both"/>
      </w:pPr>
      <w:r>
        <w:rPr>
          <w:spacing w:val="-1"/>
        </w:rPr>
        <w:t>当今世界正经历百年未有之大变局，世界不稳定性不确</w:t>
      </w:r>
      <w:r>
        <w:rPr>
          <w:spacing w:val="-4"/>
        </w:rPr>
        <w:t>定性明显增加，新一轮科技革命和产业变革深入发展，满足</w:t>
      </w:r>
      <w:r>
        <w:rPr>
          <w:spacing w:val="-1"/>
        </w:rPr>
        <w:t>人民群众日益增长的美好生活需要还要付出更大努力。以习</w:t>
      </w:r>
      <w:r>
        <w:rPr>
          <w:spacing w:val="-2"/>
        </w:rPr>
        <w:t>近平同志为核心的党中央明确提出：坚持把发展经济着力点</w:t>
      </w:r>
    </w:p>
    <w:p>
      <w:pPr>
        <w:spacing w:after="0" w:line="280" w:lineRule="auto"/>
        <w:jc w:val="both"/>
        <w:sectPr>
          <w:pgSz w:w="11910" w:h="16840"/>
          <w:pgMar w:top="1540" w:right="940" w:bottom="1380" w:left="1420" w:header="0" w:footer="1102" w:gutter="0"/>
        </w:sectPr>
      </w:pPr>
    </w:p>
    <w:p>
      <w:pPr>
        <w:pStyle w:val="3"/>
        <w:spacing w:before="3" w:line="280" w:lineRule="auto"/>
        <w:ind w:left="380" w:right="698"/>
      </w:pPr>
      <w:r>
        <w:rPr>
          <w:spacing w:val="-3"/>
        </w:rPr>
        <w:t>放在实体经济上，坚定不移建设制造强国、质量强国、网络</w:t>
      </w:r>
      <w:r>
        <w:rPr>
          <w:spacing w:val="-15"/>
        </w:rPr>
        <w:t>强国、数字中国，完善国家质量基础设施，加强标准、计量、</w:t>
      </w:r>
      <w:r>
        <w:rPr>
          <w:spacing w:val="-2"/>
        </w:rPr>
        <w:t>专利等体系和能力建设，深入开展质量提升行动。我们必须</w:t>
      </w:r>
      <w:r>
        <w:rPr>
          <w:spacing w:val="-4"/>
        </w:rPr>
        <w:t>准确把握新发展阶段的深刻内涵，牢固树立新发展理念，主</w:t>
      </w:r>
      <w:r>
        <w:rPr>
          <w:spacing w:val="-6"/>
        </w:rPr>
        <w:t>动融入新发展格局，坚持问题导向与目标导向相结合，发扬</w:t>
      </w:r>
      <w:r>
        <w:rPr>
          <w:spacing w:val="-5"/>
        </w:rPr>
        <w:t>斗争精神，善于在危机中育先机、于变局中开新局，千方百计办好盈江的事，奋力开创盈江高水平开放、高质量跨越式</w:t>
      </w:r>
      <w:r>
        <w:rPr>
          <w:spacing w:val="-6"/>
        </w:rPr>
        <w:t>发展新局面。综合研判，我县质量发展工作还面临诸多困难和压力，存在一些短板和不足，主要有如下表现：</w:t>
      </w:r>
    </w:p>
    <w:p>
      <w:pPr>
        <w:pStyle w:val="7"/>
        <w:numPr>
          <w:ilvl w:val="0"/>
          <w:numId w:val="7"/>
        </w:numPr>
        <w:tabs>
          <w:tab w:val="left" w:pos="1263"/>
        </w:tabs>
        <w:spacing w:before="0" w:after="0" w:line="492" w:lineRule="exact"/>
        <w:ind w:left="1262" w:right="0" w:hanging="243"/>
        <w:jc w:val="left"/>
        <w:rPr>
          <w:sz w:val="32"/>
        </w:rPr>
      </w:pPr>
      <w:r>
        <w:rPr>
          <w:b/>
          <w:sz w:val="32"/>
        </w:rPr>
        <w:t>质量发展不平衡不充分问题仍然存在。</w:t>
      </w:r>
      <w:r>
        <w:rPr>
          <w:sz w:val="32"/>
        </w:rPr>
        <w:t>产业和城乡区</w:t>
      </w:r>
    </w:p>
    <w:p>
      <w:pPr>
        <w:pStyle w:val="3"/>
        <w:spacing w:before="85" w:line="280" w:lineRule="auto"/>
        <w:ind w:left="380" w:right="698"/>
      </w:pPr>
      <w:r>
        <w:rPr>
          <w:spacing w:val="-2"/>
        </w:rPr>
        <w:t>域质量发展不平衡不充分，有的乡镇和部门高质量发展意识</w:t>
      </w:r>
      <w:r>
        <w:rPr>
          <w:spacing w:val="-3"/>
        </w:rPr>
        <w:t>站位不够高，治理理念、方式、手段与新技术、新业态、新</w:t>
      </w:r>
      <w:r>
        <w:rPr>
          <w:spacing w:val="-7"/>
        </w:rPr>
        <w:t>模式发展不匹配，</w:t>
      </w:r>
      <w:r>
        <w:rPr>
          <w:rFonts w:ascii="Times New Roman" w:hAnsi="Times New Roman" w:eastAsia="Times New Roman"/>
          <w:spacing w:val="-34"/>
        </w:rPr>
        <w:t>“</w:t>
      </w:r>
      <w:r>
        <w:t>国内外双循环</w:t>
      </w:r>
      <w:r>
        <w:rPr>
          <w:rFonts w:ascii="Times New Roman" w:hAnsi="Times New Roman" w:eastAsia="Times New Roman"/>
        </w:rPr>
        <w:t>”</w:t>
      </w:r>
      <w:r>
        <w:rPr>
          <w:spacing w:val="-10"/>
        </w:rPr>
        <w:t>深度融合统筹不高，创新、</w:t>
      </w:r>
      <w:r>
        <w:t>产业、质量协同的宏观质量管理体系有待建立。</w:t>
      </w:r>
    </w:p>
    <w:p>
      <w:pPr>
        <w:pStyle w:val="7"/>
        <w:numPr>
          <w:ilvl w:val="0"/>
          <w:numId w:val="7"/>
        </w:numPr>
        <w:tabs>
          <w:tab w:val="left" w:pos="1263"/>
        </w:tabs>
        <w:spacing w:before="0" w:after="0" w:line="280" w:lineRule="auto"/>
        <w:ind w:left="380" w:right="845" w:firstLine="640"/>
        <w:jc w:val="both"/>
        <w:rPr>
          <w:sz w:val="32"/>
        </w:rPr>
      </w:pPr>
      <w:r>
        <w:rPr>
          <w:b/>
          <w:spacing w:val="3"/>
          <w:w w:val="95"/>
          <w:sz w:val="32"/>
        </w:rPr>
        <w:t>质量要素支撑作用不足。</w:t>
      </w:r>
      <w:r>
        <w:rPr>
          <w:w w:val="95"/>
          <w:sz w:val="32"/>
        </w:rPr>
        <w:t xml:space="preserve">支撑经济社会高质量发展的 </w:t>
      </w:r>
      <w:r>
        <w:rPr>
          <w:sz w:val="32"/>
        </w:rPr>
        <w:t xml:space="preserve">质量要素还不牢固，全县产业结构单一、产业支撑能力弱， </w:t>
      </w:r>
      <w:r>
        <w:rPr>
          <w:spacing w:val="-3"/>
          <w:sz w:val="32"/>
        </w:rPr>
        <w:t>创新能力不足、集群化程度不高，标准体系、计量体系、合</w:t>
      </w:r>
      <w:r>
        <w:rPr>
          <w:spacing w:val="-5"/>
          <w:sz w:val="32"/>
        </w:rPr>
        <w:t>格评定体系不够健全，社会研究与研发投入不足、科技创新</w:t>
      </w:r>
      <w:r>
        <w:rPr>
          <w:spacing w:val="-6"/>
          <w:sz w:val="32"/>
        </w:rPr>
        <w:t>体系不健全、检测能力不够强、人才培养引进力度不够等质量发展潜力不足，品牌培育宣传和运营维护投入有待加强， 企业和产品都存在核心竞争力不够强。</w:t>
      </w:r>
    </w:p>
    <w:p>
      <w:pPr>
        <w:pStyle w:val="7"/>
        <w:numPr>
          <w:ilvl w:val="0"/>
          <w:numId w:val="7"/>
        </w:numPr>
        <w:tabs>
          <w:tab w:val="left" w:pos="1263"/>
        </w:tabs>
        <w:spacing w:before="0" w:after="0" w:line="497" w:lineRule="exact"/>
        <w:ind w:left="1262" w:right="855" w:hanging="1263"/>
        <w:jc w:val="right"/>
        <w:rPr>
          <w:sz w:val="32"/>
        </w:rPr>
      </w:pPr>
      <w:r>
        <w:rPr>
          <w:b/>
          <w:spacing w:val="3"/>
          <w:w w:val="95"/>
          <w:sz w:val="32"/>
        </w:rPr>
        <w:t>质量基础综合效能薄弱。</w:t>
      </w:r>
      <w:r>
        <w:rPr>
          <w:w w:val="95"/>
          <w:sz w:val="32"/>
        </w:rPr>
        <w:t>全县质量技术检验检测机构</w:t>
      </w:r>
    </w:p>
    <w:p>
      <w:pPr>
        <w:pStyle w:val="3"/>
        <w:spacing w:before="75"/>
        <w:ind w:right="855"/>
        <w:jc w:val="right"/>
      </w:pPr>
      <w:r>
        <w:rPr>
          <w:spacing w:val="-3"/>
          <w:w w:val="95"/>
        </w:rPr>
        <w:t>数量少、能力弱、覆盖面窄、人才缺乏，不能服务支撑我县</w:t>
      </w:r>
    </w:p>
    <w:p>
      <w:pPr>
        <w:spacing w:after="0"/>
        <w:jc w:val="right"/>
        <w:sectPr>
          <w:footerReference r:id="rId5" w:type="default"/>
          <w:footerReference r:id="rId6" w:type="even"/>
          <w:pgSz w:w="11910" w:h="16840"/>
          <w:pgMar w:top="1540" w:right="940" w:bottom="1380" w:left="1420" w:header="0" w:footer="1182" w:gutter="0"/>
          <w:pgNumType w:start="10"/>
        </w:sectPr>
      </w:pPr>
    </w:p>
    <w:p>
      <w:pPr>
        <w:pStyle w:val="3"/>
        <w:spacing w:before="3" w:line="280" w:lineRule="auto"/>
        <w:ind w:left="380" w:right="699"/>
      </w:pPr>
      <w:r>
        <w:rPr>
          <w:spacing w:val="-2"/>
        </w:rPr>
        <w:t>的现有产业产品，尤其是新兴和智能产业产品，基础效能释</w:t>
      </w:r>
      <w:r>
        <w:rPr>
          <w:spacing w:val="-16"/>
          <w:w w:val="95"/>
        </w:rPr>
        <w:t xml:space="preserve">放有待提升，需要加大投入力度，进一步增强支撑科技进步、 </w:t>
      </w:r>
      <w:r>
        <w:rPr>
          <w:spacing w:val="-16"/>
        </w:rPr>
        <w:t>产业升级、社会治理、对外交往。</w:t>
      </w:r>
    </w:p>
    <w:p>
      <w:pPr>
        <w:pStyle w:val="7"/>
        <w:numPr>
          <w:ilvl w:val="0"/>
          <w:numId w:val="7"/>
        </w:numPr>
        <w:tabs>
          <w:tab w:val="left" w:pos="1263"/>
        </w:tabs>
        <w:spacing w:before="0" w:after="0" w:line="280" w:lineRule="auto"/>
        <w:ind w:left="380" w:right="855" w:firstLine="640"/>
        <w:jc w:val="both"/>
        <w:rPr>
          <w:sz w:val="32"/>
        </w:rPr>
      </w:pPr>
      <w:r>
        <w:rPr>
          <w:b/>
          <w:spacing w:val="4"/>
          <w:w w:val="95"/>
          <w:sz w:val="32"/>
        </w:rPr>
        <w:t>质量供给还不匹配。</w:t>
      </w:r>
      <w:r>
        <w:rPr>
          <w:spacing w:val="-1"/>
          <w:w w:val="95"/>
          <w:sz w:val="32"/>
        </w:rPr>
        <w:t xml:space="preserve">特色农产品、食品、药品、消费 </w:t>
      </w:r>
      <w:r>
        <w:rPr>
          <w:spacing w:val="-3"/>
          <w:sz w:val="32"/>
        </w:rPr>
        <w:t>品、特种设备、建设工程、旅游服务等重点产品、重点领域</w:t>
      </w:r>
      <w:r>
        <w:rPr>
          <w:spacing w:val="-4"/>
          <w:sz w:val="32"/>
        </w:rPr>
        <w:t>质量安全隐患仍未完全根除。服务业多样化便利化规范化水平不够高，旅游、餐饮、外卖、网络购物等领域市场秩序仍</w:t>
      </w:r>
      <w:r>
        <w:rPr>
          <w:spacing w:val="-5"/>
          <w:sz w:val="32"/>
        </w:rPr>
        <w:t>需持续整治优化，优质产品和服务质量供给还不能完全满足人民群众日益增长的高品质生活需求。</w:t>
      </w:r>
    </w:p>
    <w:p>
      <w:pPr>
        <w:pStyle w:val="7"/>
        <w:numPr>
          <w:ilvl w:val="0"/>
          <w:numId w:val="7"/>
        </w:numPr>
        <w:tabs>
          <w:tab w:val="left" w:pos="1263"/>
        </w:tabs>
        <w:spacing w:before="0" w:after="0" w:line="500" w:lineRule="exact"/>
        <w:ind w:left="1262" w:right="0" w:hanging="243"/>
        <w:jc w:val="left"/>
        <w:rPr>
          <w:sz w:val="32"/>
        </w:rPr>
      </w:pPr>
      <w:r>
        <w:rPr>
          <w:b/>
          <w:spacing w:val="4"/>
          <w:sz w:val="32"/>
        </w:rPr>
        <w:t>质量发展合力不足。</w:t>
      </w:r>
      <w:r>
        <w:rPr>
          <w:sz w:val="32"/>
        </w:rPr>
        <w:t>质量多元共治格局还需进一步完</w:t>
      </w:r>
    </w:p>
    <w:p>
      <w:pPr>
        <w:pStyle w:val="3"/>
        <w:spacing w:before="77" w:line="280" w:lineRule="auto"/>
        <w:ind w:left="380" w:right="698"/>
      </w:pPr>
      <w:r>
        <w:rPr>
          <w:spacing w:val="-14"/>
        </w:rPr>
        <w:t>善，社会对质量理解片面单一，部门对</w:t>
      </w:r>
      <w:r>
        <w:rPr>
          <w:rFonts w:ascii="Times New Roman" w:hAnsi="Times New Roman" w:eastAsia="Times New Roman"/>
        </w:rPr>
        <w:t>“</w:t>
      </w:r>
      <w:r>
        <w:t>大质量</w:t>
      </w:r>
      <w:r>
        <w:rPr>
          <w:rFonts w:ascii="Times New Roman" w:hAnsi="Times New Roman" w:eastAsia="Times New Roman"/>
        </w:rPr>
        <w:t>”</w:t>
      </w:r>
      <w:r>
        <w:rPr>
          <w:spacing w:val="-2"/>
        </w:rPr>
        <w:t>认识有偏差， 大协同观念薄弱，质量人才队伍建设有待加强，全民质量意识有待强化，先进质量文化亟待塑造。</w:t>
      </w:r>
    </w:p>
    <w:p>
      <w:pPr>
        <w:pStyle w:val="3"/>
        <w:spacing w:line="497" w:lineRule="exact"/>
        <w:ind w:left="1020"/>
        <w:rPr>
          <w:rFonts w:hint="eastAsia" w:ascii="方正黑体_GBK" w:eastAsia="方正黑体_GBK"/>
        </w:rPr>
      </w:pPr>
      <w:r>
        <w:rPr>
          <w:rFonts w:hint="eastAsia" w:ascii="方正黑体_GBK" w:eastAsia="方正黑体_GBK"/>
        </w:rPr>
        <w:t>二、总体要求</w:t>
      </w:r>
    </w:p>
    <w:p>
      <w:pPr>
        <w:pStyle w:val="3"/>
        <w:spacing w:before="108"/>
        <w:ind w:left="1020"/>
        <w:rPr>
          <w:rFonts w:hint="eastAsia" w:ascii="方正楷体_GBK" w:eastAsia="方正楷体_GBK"/>
        </w:rPr>
      </w:pPr>
      <w:r>
        <w:rPr>
          <w:rFonts w:hint="eastAsia" w:ascii="方正楷体_GBK" w:eastAsia="方正楷体_GBK"/>
        </w:rPr>
        <w:t>（一）指导思想</w:t>
      </w:r>
    </w:p>
    <w:p>
      <w:pPr>
        <w:pStyle w:val="3"/>
        <w:spacing w:before="97" w:line="280" w:lineRule="auto"/>
        <w:ind w:left="380" w:right="857" w:firstLine="640"/>
        <w:jc w:val="both"/>
      </w:pPr>
      <w:r>
        <w:rPr>
          <w:spacing w:val="-1"/>
        </w:rPr>
        <w:t>高举中国特色社会主义伟大旗帜，全面贯彻党的十九大</w:t>
      </w:r>
      <w:r>
        <w:rPr>
          <w:spacing w:val="-2"/>
        </w:rPr>
        <w:t>和十九届历次全会精神，以习近平新时代中国特色社会主义</w:t>
      </w:r>
      <w:r>
        <w:rPr>
          <w:spacing w:val="-5"/>
        </w:rPr>
        <w:t>思想为指导，深入贯彻落实习近平总书记考察云南重要讲话精神，围绕打造世界一流</w:t>
      </w:r>
      <w:r>
        <w:rPr>
          <w:rFonts w:ascii="Times New Roman" w:hAnsi="Times New Roman" w:eastAsia="Times New Roman"/>
          <w:spacing w:val="-5"/>
        </w:rPr>
        <w:t>“</w:t>
      </w:r>
      <w:r>
        <w:rPr>
          <w:spacing w:val="-5"/>
        </w:rPr>
        <w:t>三张牌</w:t>
      </w:r>
      <w:r>
        <w:rPr>
          <w:rFonts w:ascii="Times New Roman" w:hAnsi="Times New Roman" w:eastAsia="Times New Roman"/>
          <w:spacing w:val="-5"/>
        </w:rPr>
        <w:t>”</w:t>
      </w:r>
      <w:r>
        <w:rPr>
          <w:spacing w:val="-5"/>
        </w:rPr>
        <w:t>新优势，坚定不移贯彻创</w:t>
      </w:r>
      <w:r>
        <w:rPr>
          <w:spacing w:val="-3"/>
        </w:rPr>
        <w:t>新、协调、绿色、开放、共享的新发展理念，坚持稳中求进</w:t>
      </w:r>
      <w:r>
        <w:rPr>
          <w:spacing w:val="-5"/>
        </w:rPr>
        <w:t>工作总基调，以高质量跨越式发展为主题，以深化供给侧结</w:t>
      </w:r>
      <w:r>
        <w:rPr>
          <w:spacing w:val="-6"/>
          <w:w w:val="95"/>
        </w:rPr>
        <w:t xml:space="preserve">构性改革为主线，以改革创新为根本动力，以满足人民日益 </w:t>
      </w:r>
      <w:r>
        <w:rPr>
          <w:spacing w:val="-7"/>
        </w:rPr>
        <w:t>增长的美好生活需要为根本目的，将质量强县建设放在更加</w:t>
      </w:r>
    </w:p>
    <w:p>
      <w:pPr>
        <w:spacing w:after="0" w:line="280" w:lineRule="auto"/>
        <w:jc w:val="both"/>
        <w:sectPr>
          <w:pgSz w:w="11910" w:h="16840"/>
          <w:pgMar w:top="1540" w:right="940" w:bottom="1380" w:left="1420" w:header="0" w:footer="1182" w:gutter="0"/>
        </w:sectPr>
      </w:pPr>
    </w:p>
    <w:p>
      <w:pPr>
        <w:pStyle w:val="3"/>
        <w:spacing w:before="3" w:line="280" w:lineRule="auto"/>
        <w:ind w:left="380" w:right="698"/>
      </w:pPr>
      <w:r>
        <w:rPr>
          <w:spacing w:val="-3"/>
        </w:rPr>
        <w:t>突出的位置，发挥质量的战略性、基础性和支撑性作用。深度融入国内国际双循环，坚持全县</w:t>
      </w:r>
      <w:r>
        <w:rPr>
          <w:rFonts w:ascii="Times New Roman" w:hAnsi="Times New Roman" w:eastAsia="Times New Roman"/>
          <w:spacing w:val="-3"/>
        </w:rPr>
        <w:t>“</w:t>
      </w:r>
      <w:r>
        <w:rPr>
          <w:spacing w:val="-3"/>
        </w:rPr>
        <w:t>一盘棋</w:t>
      </w:r>
      <w:r>
        <w:rPr>
          <w:rFonts w:ascii="Times New Roman" w:hAnsi="Times New Roman" w:eastAsia="Times New Roman"/>
          <w:spacing w:val="-3"/>
        </w:rPr>
        <w:t>”</w:t>
      </w:r>
      <w:r>
        <w:rPr>
          <w:spacing w:val="-3"/>
        </w:rPr>
        <w:t>布局，以乡村振</w:t>
      </w:r>
      <w:r>
        <w:rPr>
          <w:spacing w:val="-1"/>
        </w:rPr>
        <w:t>兴与美丽县城建设引领，共建</w:t>
      </w:r>
      <w:r>
        <w:rPr>
          <w:rFonts w:ascii="Times New Roman" w:hAnsi="Times New Roman" w:eastAsia="Times New Roman"/>
        </w:rPr>
        <w:t>“</w:t>
      </w:r>
      <w:r>
        <w:t>美丽盈江</w:t>
      </w:r>
      <w:r>
        <w:rPr>
          <w:rFonts w:ascii="Times New Roman" w:hAnsi="Times New Roman" w:eastAsia="Times New Roman"/>
        </w:rPr>
        <w:t>”</w:t>
      </w:r>
      <w:r>
        <w:rPr>
          <w:spacing w:val="1"/>
        </w:rPr>
        <w:t>；补齐</w:t>
      </w:r>
      <w:r>
        <w:rPr>
          <w:rFonts w:ascii="Times New Roman" w:hAnsi="Times New Roman" w:eastAsia="Times New Roman"/>
        </w:rPr>
        <w:t>“</w:t>
      </w:r>
      <w:r>
        <w:t>五网</w:t>
      </w:r>
      <w:r>
        <w:rPr>
          <w:rFonts w:ascii="Times New Roman" w:hAnsi="Times New Roman" w:eastAsia="Times New Roman"/>
        </w:rPr>
        <w:t>”</w:t>
      </w:r>
      <w:r>
        <w:t>设施</w:t>
      </w:r>
      <w:r>
        <w:rPr>
          <w:spacing w:val="-9"/>
        </w:rPr>
        <w:t>短板，构建</w:t>
      </w:r>
      <w:r>
        <w:rPr>
          <w:rFonts w:ascii="Times New Roman" w:hAnsi="Times New Roman" w:eastAsia="Times New Roman"/>
        </w:rPr>
        <w:t>“</w:t>
      </w:r>
      <w:r>
        <w:t>便捷盈江</w:t>
      </w:r>
      <w:r>
        <w:rPr>
          <w:rFonts w:ascii="Times New Roman" w:hAnsi="Times New Roman" w:eastAsia="Times New Roman"/>
          <w:spacing w:val="-20"/>
        </w:rPr>
        <w:t>”</w:t>
      </w:r>
      <w:r>
        <w:rPr>
          <w:spacing w:val="-8"/>
        </w:rPr>
        <w:t>；加快发展现代产业体系，实现</w:t>
      </w:r>
      <w:r>
        <w:rPr>
          <w:rFonts w:ascii="Times New Roman" w:hAnsi="Times New Roman" w:eastAsia="Times New Roman"/>
        </w:rPr>
        <w:t>“</w:t>
      </w:r>
      <w:r>
        <w:t>富裕盈江</w:t>
      </w:r>
      <w:r>
        <w:rPr>
          <w:rFonts w:ascii="Times New Roman" w:hAnsi="Times New Roman" w:eastAsia="Times New Roman"/>
          <w:spacing w:val="-21"/>
        </w:rPr>
        <w:t>”</w:t>
      </w:r>
      <w:r>
        <w:rPr>
          <w:spacing w:val="-9"/>
        </w:rPr>
        <w:t>；提升全域旅游质量，培育</w:t>
      </w:r>
      <w:r>
        <w:rPr>
          <w:rFonts w:ascii="Times New Roman" w:hAnsi="Times New Roman" w:eastAsia="Times New Roman"/>
        </w:rPr>
        <w:t>“</w:t>
      </w:r>
      <w:r>
        <w:t>魅力盈江</w:t>
      </w:r>
      <w:r>
        <w:rPr>
          <w:rFonts w:ascii="Times New Roman" w:hAnsi="Times New Roman" w:eastAsia="Times New Roman"/>
          <w:spacing w:val="-20"/>
        </w:rPr>
        <w:t>”</w:t>
      </w:r>
      <w:r>
        <w:rPr>
          <w:spacing w:val="-5"/>
        </w:rPr>
        <w:t>；全力提高开放</w:t>
      </w:r>
      <w:r>
        <w:rPr>
          <w:spacing w:val="-30"/>
          <w:w w:val="99"/>
        </w:rPr>
        <w:t>水平，打造</w:t>
      </w:r>
      <w:r>
        <w:rPr>
          <w:rFonts w:ascii="Times New Roman" w:hAnsi="Times New Roman" w:eastAsia="Times New Roman"/>
          <w:w w:val="99"/>
        </w:rPr>
        <w:t>“</w:t>
      </w:r>
      <w:r>
        <w:rPr>
          <w:w w:val="99"/>
        </w:rPr>
        <w:t>开放盈江</w:t>
      </w:r>
      <w:r>
        <w:rPr>
          <w:rFonts w:ascii="Times New Roman" w:hAnsi="Times New Roman" w:eastAsia="Times New Roman"/>
          <w:spacing w:val="2"/>
          <w:w w:val="99"/>
        </w:rPr>
        <w:t>”</w:t>
      </w:r>
      <w:r>
        <w:rPr>
          <w:spacing w:val="-25"/>
          <w:w w:val="99"/>
        </w:rPr>
        <w:t>；强化生态文明建设，创建</w:t>
      </w:r>
      <w:r>
        <w:rPr>
          <w:rFonts w:ascii="Times New Roman" w:hAnsi="Times New Roman" w:eastAsia="Times New Roman"/>
          <w:spacing w:val="2"/>
          <w:w w:val="99"/>
        </w:rPr>
        <w:t>“</w:t>
      </w:r>
      <w:r>
        <w:rPr>
          <w:w w:val="99"/>
        </w:rPr>
        <w:t>绿色盈江</w:t>
      </w:r>
      <w:r>
        <w:rPr>
          <w:rFonts w:ascii="Times New Roman" w:hAnsi="Times New Roman" w:eastAsia="Times New Roman"/>
          <w:spacing w:val="-4"/>
          <w:w w:val="99"/>
        </w:rPr>
        <w:t>”</w:t>
      </w:r>
      <w:r>
        <w:rPr>
          <w:spacing w:val="-6"/>
          <w:w w:val="99"/>
        </w:rPr>
        <w:t>；</w:t>
      </w:r>
      <w:r>
        <w:t>维护边境地区社会稳定，建设</w:t>
      </w:r>
      <w:r>
        <w:rPr>
          <w:rFonts w:ascii="Times New Roman" w:hAnsi="Times New Roman" w:eastAsia="Times New Roman"/>
        </w:rPr>
        <w:t>“</w:t>
      </w:r>
      <w:r>
        <w:t>平安盈江</w:t>
      </w:r>
      <w:r>
        <w:rPr>
          <w:rFonts w:ascii="Times New Roman" w:hAnsi="Times New Roman" w:eastAsia="Times New Roman"/>
        </w:rPr>
        <w:t>”</w:t>
      </w:r>
      <w:r>
        <w:t>；完善公共服务体系，共创</w:t>
      </w:r>
      <w:r>
        <w:rPr>
          <w:rFonts w:ascii="Times New Roman" w:hAnsi="Times New Roman" w:eastAsia="Times New Roman"/>
        </w:rPr>
        <w:t>“</w:t>
      </w:r>
      <w:r>
        <w:t>幸福盈江</w:t>
      </w:r>
      <w:r>
        <w:rPr>
          <w:rFonts w:ascii="Times New Roman" w:hAnsi="Times New Roman" w:eastAsia="Times New Roman"/>
        </w:rPr>
        <w:t>”</w:t>
      </w:r>
      <w:r>
        <w:t>。</w:t>
      </w:r>
    </w:p>
    <w:p>
      <w:pPr>
        <w:pStyle w:val="3"/>
        <w:spacing w:line="482" w:lineRule="exact"/>
        <w:ind w:left="1020"/>
        <w:rPr>
          <w:rFonts w:hint="eastAsia" w:ascii="方正楷体_GBK" w:eastAsia="方正楷体_GBK"/>
        </w:rPr>
      </w:pPr>
      <w:r>
        <w:rPr>
          <w:rFonts w:hint="eastAsia" w:ascii="方正楷体_GBK" w:eastAsia="方正楷体_GBK"/>
        </w:rPr>
        <w:t>（二）基本原则</w:t>
      </w:r>
    </w:p>
    <w:p>
      <w:pPr>
        <w:pStyle w:val="3"/>
        <w:spacing w:before="97" w:line="280" w:lineRule="auto"/>
        <w:ind w:left="380" w:right="845" w:firstLine="640"/>
        <w:jc w:val="both"/>
      </w:pPr>
      <w:r>
        <w:rPr>
          <w:rFonts w:ascii="Times New Roman" w:hAnsi="Times New Roman" w:eastAsia="Times New Roman"/>
          <w:b/>
        </w:rPr>
        <w:t>——</w:t>
      </w:r>
      <w:r>
        <w:rPr>
          <w:b/>
          <w:spacing w:val="-4"/>
        </w:rPr>
        <w:t>以人为本，安全为先。</w:t>
      </w:r>
      <w:r>
        <w:t>坚持以人民为中心的发展思</w:t>
      </w:r>
      <w:r>
        <w:rPr>
          <w:spacing w:val="-4"/>
        </w:rPr>
        <w:t>想，扩大中高端产品有效供给，充分释放内需潜力，更好满</w:t>
      </w:r>
      <w:r>
        <w:rPr>
          <w:spacing w:val="-6"/>
        </w:rPr>
        <w:t>足人民群众日益增长的美好生活需要。深化预防为主、风险</w:t>
      </w:r>
      <w:r>
        <w:rPr>
          <w:spacing w:val="-5"/>
        </w:rPr>
        <w:t>管理理念，强化质量安全意识，落实质量安全责任，加强质</w:t>
      </w:r>
      <w:r>
        <w:rPr>
          <w:spacing w:val="-5"/>
          <w:w w:val="95"/>
        </w:rPr>
        <w:t>量监测监管，切实保障人民群众身体健康和生命财产安全。</w:t>
      </w:r>
    </w:p>
    <w:p>
      <w:pPr>
        <w:spacing w:before="0" w:line="502" w:lineRule="exact"/>
        <w:ind w:left="1020" w:right="0" w:firstLine="0"/>
        <w:jc w:val="left"/>
        <w:rPr>
          <w:sz w:val="32"/>
        </w:rPr>
      </w:pPr>
      <w:r>
        <w:rPr>
          <w:rFonts w:ascii="Times New Roman" w:hAnsi="Times New Roman" w:eastAsia="Times New Roman"/>
          <w:b/>
          <w:w w:val="95"/>
          <w:sz w:val="32"/>
        </w:rPr>
        <w:t>——</w:t>
      </w:r>
      <w:r>
        <w:rPr>
          <w:b/>
          <w:spacing w:val="-3"/>
          <w:w w:val="95"/>
          <w:sz w:val="32"/>
        </w:rPr>
        <w:t>以质取胜，绿色发展。</w:t>
      </w:r>
      <w:r>
        <w:rPr>
          <w:spacing w:val="-1"/>
          <w:w w:val="95"/>
          <w:sz w:val="32"/>
        </w:rPr>
        <w:t>坚持质量第一、优质发展和</w:t>
      </w:r>
    </w:p>
    <w:p>
      <w:pPr>
        <w:pStyle w:val="3"/>
        <w:spacing w:before="85" w:line="280" w:lineRule="auto"/>
        <w:ind w:left="380" w:right="857"/>
        <w:jc w:val="both"/>
      </w:pPr>
      <w:r>
        <w:rPr>
          <w:spacing w:val="-3"/>
          <w:w w:val="95"/>
        </w:rPr>
        <w:t xml:space="preserve">以质取胜，形成党委政府重视质量、企业追求质量、社会崇 </w:t>
      </w:r>
      <w:r>
        <w:rPr>
          <w:spacing w:val="-3"/>
        </w:rPr>
        <w:t>尚质量、人人关心质量的良好氛围。认真把握</w:t>
      </w:r>
      <w:r>
        <w:rPr>
          <w:rFonts w:ascii="Times New Roman" w:hAnsi="Times New Roman" w:eastAsia="Times New Roman"/>
          <w:spacing w:val="-3"/>
        </w:rPr>
        <w:t>“</w:t>
      </w:r>
      <w:r>
        <w:rPr>
          <w:spacing w:val="-3"/>
        </w:rPr>
        <w:t>美丽盈江</w:t>
      </w:r>
      <w:r>
        <w:rPr>
          <w:rFonts w:ascii="Times New Roman" w:hAnsi="Times New Roman" w:eastAsia="Times New Roman"/>
          <w:spacing w:val="-3"/>
        </w:rPr>
        <w:t>”</w:t>
      </w:r>
      <w:r>
        <w:rPr>
          <w:spacing w:val="-3"/>
        </w:rPr>
        <w:t>新</w:t>
      </w:r>
      <w:r>
        <w:rPr>
          <w:spacing w:val="-5"/>
        </w:rPr>
        <w:t>内涵，突出绿色发展导向，健全绿色低碳循环发展的生产体系和消费体系，打造世界一流</w:t>
      </w:r>
      <w:r>
        <w:rPr>
          <w:rFonts w:ascii="Times New Roman" w:hAnsi="Times New Roman" w:eastAsia="Times New Roman"/>
          <w:spacing w:val="-5"/>
        </w:rPr>
        <w:t>“</w:t>
      </w:r>
      <w:r>
        <w:rPr>
          <w:spacing w:val="-5"/>
        </w:rPr>
        <w:t>健康生活目的地</w:t>
      </w:r>
      <w:r>
        <w:rPr>
          <w:rFonts w:ascii="Times New Roman" w:hAnsi="Times New Roman" w:eastAsia="Times New Roman"/>
          <w:spacing w:val="-5"/>
        </w:rPr>
        <w:t>”</w:t>
      </w:r>
      <w:r>
        <w:rPr>
          <w:spacing w:val="-5"/>
        </w:rPr>
        <w:t>。</w:t>
      </w:r>
    </w:p>
    <w:p>
      <w:pPr>
        <w:pStyle w:val="3"/>
        <w:spacing w:line="280" w:lineRule="auto"/>
        <w:ind w:left="380" w:right="857" w:firstLine="640"/>
        <w:jc w:val="both"/>
      </w:pPr>
      <w:r>
        <w:rPr>
          <w:rFonts w:ascii="Times New Roman" w:hAnsi="Times New Roman" w:eastAsia="Times New Roman"/>
          <w:b/>
          <w:w w:val="95"/>
        </w:rPr>
        <w:t>——</w:t>
      </w:r>
      <w:r>
        <w:rPr>
          <w:b/>
          <w:spacing w:val="-4"/>
          <w:w w:val="95"/>
        </w:rPr>
        <w:t>创新驱动，品牌引领。</w:t>
      </w:r>
      <w:r>
        <w:rPr>
          <w:w w:val="95"/>
        </w:rPr>
        <w:t xml:space="preserve">把创新驱动作为质量发展的 </w:t>
      </w:r>
      <w:r>
        <w:rPr>
          <w:spacing w:val="-2"/>
          <w:w w:val="95"/>
        </w:rPr>
        <w:t xml:space="preserve">强大动力，推动质量发展和科技创新有机融合。实施品牌发 </w:t>
      </w:r>
      <w:r>
        <w:rPr>
          <w:spacing w:val="-5"/>
        </w:rPr>
        <w:t>展战略，发挥品牌引领作用，打造一批凝聚民族文化特色的服务品牌和精品项目。</w:t>
      </w:r>
    </w:p>
    <w:p>
      <w:pPr>
        <w:spacing w:after="0" w:line="280" w:lineRule="auto"/>
        <w:jc w:val="both"/>
        <w:sectPr>
          <w:pgSz w:w="11910" w:h="16840"/>
          <w:pgMar w:top="1540" w:right="940" w:bottom="1380" w:left="1420" w:header="0" w:footer="1182" w:gutter="0"/>
        </w:sectPr>
      </w:pPr>
    </w:p>
    <w:p>
      <w:pPr>
        <w:pStyle w:val="3"/>
        <w:spacing w:before="3" w:line="280" w:lineRule="auto"/>
        <w:ind w:left="380" w:right="857" w:firstLine="640"/>
        <w:jc w:val="both"/>
      </w:pPr>
      <w:r>
        <w:rPr>
          <w:rFonts w:ascii="Times New Roman" w:hAnsi="Times New Roman" w:eastAsia="Times New Roman"/>
          <w:b/>
          <w:w w:val="95"/>
        </w:rPr>
        <w:t>——</w:t>
      </w:r>
      <w:r>
        <w:rPr>
          <w:b/>
          <w:spacing w:val="-4"/>
          <w:w w:val="95"/>
        </w:rPr>
        <w:t>企业主动，政府推动。</w:t>
      </w:r>
      <w:r>
        <w:rPr>
          <w:w w:val="95"/>
        </w:rPr>
        <w:t xml:space="preserve">强化企业在质量创新和质量 </w:t>
      </w:r>
      <w:r>
        <w:rPr>
          <w:spacing w:val="-2"/>
        </w:rPr>
        <w:t>管理中的主体地位，推广应用先进的质量管理方法，提高全</w:t>
      </w:r>
      <w:r>
        <w:rPr>
          <w:spacing w:val="-4"/>
          <w:w w:val="95"/>
        </w:rPr>
        <w:t xml:space="preserve">员全过程全方位质量控制水平。更好发挥政府作用，努力营 </w:t>
      </w:r>
      <w:r>
        <w:rPr>
          <w:spacing w:val="-6"/>
          <w:w w:val="95"/>
        </w:rPr>
        <w:t xml:space="preserve">造宽松便捷的准入环境、公平竞争的市场环境、安全放心的 </w:t>
      </w:r>
      <w:r>
        <w:rPr>
          <w:spacing w:val="-7"/>
        </w:rPr>
        <w:t>消费环境和优质优价的质量提升环境，增强市场主体提升质量的内生动力。</w:t>
      </w:r>
    </w:p>
    <w:p>
      <w:pPr>
        <w:pStyle w:val="3"/>
        <w:spacing w:line="487" w:lineRule="exact"/>
        <w:ind w:left="1020"/>
        <w:rPr>
          <w:rFonts w:hint="eastAsia" w:ascii="方正楷体_GBK" w:eastAsia="方正楷体_GBK"/>
        </w:rPr>
      </w:pPr>
      <w:r>
        <w:rPr>
          <w:rFonts w:hint="eastAsia" w:ascii="方正楷体_GBK" w:eastAsia="方正楷体_GBK"/>
        </w:rPr>
        <w:t>（三）发展目标</w:t>
      </w:r>
    </w:p>
    <w:p>
      <w:pPr>
        <w:pStyle w:val="3"/>
        <w:spacing w:before="97" w:line="280" w:lineRule="auto"/>
        <w:ind w:left="380" w:right="857" w:firstLine="640"/>
        <w:jc w:val="both"/>
      </w:pPr>
      <w:r>
        <w:rPr>
          <w:spacing w:val="-34"/>
        </w:rPr>
        <w:t xml:space="preserve">到 </w:t>
      </w:r>
      <w:r>
        <w:rPr>
          <w:rFonts w:ascii="Times New Roman" w:hAnsi="Times New Roman" w:eastAsia="Times New Roman"/>
        </w:rPr>
        <w:t xml:space="preserve">2025 </w:t>
      </w:r>
      <w:r>
        <w:rPr>
          <w:spacing w:val="6"/>
        </w:rPr>
        <w:t>年，品牌和质量强县建设取得新的成效，质量</w:t>
      </w:r>
      <w:r>
        <w:rPr>
          <w:spacing w:val="-1"/>
        </w:rPr>
        <w:t>总体水平明显提高，人民群众质量满意度稳步提升，质量要素对促进产业转型升级、构建</w:t>
      </w:r>
      <w:r>
        <w:rPr>
          <w:rFonts w:ascii="Times New Roman" w:hAnsi="Times New Roman" w:eastAsia="Times New Roman"/>
          <w:spacing w:val="-1"/>
        </w:rPr>
        <w:t>“</w:t>
      </w:r>
      <w:r>
        <w:rPr>
          <w:spacing w:val="-1"/>
        </w:rPr>
        <w:t>大循环、双循环</w:t>
      </w:r>
      <w:r>
        <w:rPr>
          <w:rFonts w:ascii="Times New Roman" w:hAnsi="Times New Roman" w:eastAsia="Times New Roman"/>
          <w:spacing w:val="-1"/>
        </w:rPr>
        <w:t>”</w:t>
      </w:r>
      <w:r>
        <w:rPr>
          <w:spacing w:val="-1"/>
        </w:rPr>
        <w:t>发展格局、推动高质量发展的支撑作用显著。</w:t>
      </w:r>
    </w:p>
    <w:p>
      <w:pPr>
        <w:pStyle w:val="3"/>
        <w:spacing w:line="280" w:lineRule="auto"/>
        <w:ind w:left="380" w:right="831" w:firstLine="640"/>
        <w:jc w:val="both"/>
      </w:pPr>
      <w:r>
        <w:rPr>
          <w:rFonts w:ascii="Times New Roman" w:hAnsi="Times New Roman" w:eastAsia="Times New Roman"/>
          <w:b/>
        </w:rPr>
        <w:t>——</w:t>
      </w:r>
      <w:r>
        <w:rPr>
          <w:b/>
        </w:rPr>
        <w:t>质量支撑更加有力。</w:t>
      </w:r>
      <w:r>
        <w:t>推广推行先进质量管理方法， 积极打造一批质量创新和管理水平高、质量品牌优势突出、质量效益卓越的标杆企业。逐步探索引进培养一批质量创新领军人才、质量管理实务专家、质量改进技术工匠。努力建成一批覆盖一、二、三产业的区域品牌，奋力打造一批拥有自主知识产权的知名品牌集群。扩大质量竞争型产业规模， 质量效益和竞争力稳步提升。</w:t>
      </w:r>
    </w:p>
    <w:p>
      <w:pPr>
        <w:spacing w:before="0" w:line="497" w:lineRule="exact"/>
        <w:ind w:left="1020" w:right="0" w:firstLine="0"/>
        <w:jc w:val="left"/>
        <w:rPr>
          <w:sz w:val="32"/>
        </w:rPr>
      </w:pPr>
      <w:r>
        <w:rPr>
          <w:rFonts w:ascii="Times New Roman" w:hAnsi="Times New Roman" w:eastAsia="Times New Roman"/>
          <w:b/>
          <w:w w:val="95"/>
          <w:sz w:val="32"/>
        </w:rPr>
        <w:t>——</w:t>
      </w:r>
      <w:r>
        <w:rPr>
          <w:b/>
          <w:spacing w:val="-3"/>
          <w:w w:val="95"/>
          <w:sz w:val="32"/>
        </w:rPr>
        <w:t>质量供给更有保障。</w:t>
      </w:r>
      <w:r>
        <w:rPr>
          <w:w w:val="95"/>
          <w:sz w:val="32"/>
        </w:rPr>
        <w:t>重点产品领域质量安全问题得</w:t>
      </w:r>
    </w:p>
    <w:p>
      <w:pPr>
        <w:pStyle w:val="3"/>
        <w:spacing w:before="75" w:line="280" w:lineRule="auto"/>
        <w:ind w:left="380" w:right="857"/>
        <w:jc w:val="both"/>
      </w:pPr>
      <w:r>
        <w:rPr>
          <w:spacing w:val="-3"/>
          <w:w w:val="95"/>
        </w:rPr>
        <w:t xml:space="preserve">到有效治理，主要农产品、食品、药品、医疗器械、化妆品 </w:t>
      </w:r>
      <w:r>
        <w:rPr>
          <w:spacing w:val="-5"/>
        </w:rPr>
        <w:t>等产品质量稳中向好。装配式建筑占比进一步提高，城镇新</w:t>
      </w:r>
      <w:r>
        <w:rPr>
          <w:spacing w:val="-6"/>
        </w:rPr>
        <w:t>建房屋建筑和市政基础设施工程、超限高层建筑工程抗震设</w:t>
      </w:r>
      <w:r>
        <w:rPr>
          <w:spacing w:val="-7"/>
          <w:w w:val="95"/>
        </w:rPr>
        <w:t>防以及建筑节能减排全面达标，优质工程、精品工程比例不</w:t>
      </w:r>
    </w:p>
    <w:p>
      <w:pPr>
        <w:spacing w:after="0" w:line="280" w:lineRule="auto"/>
        <w:jc w:val="both"/>
        <w:sectPr>
          <w:pgSz w:w="11910" w:h="16840"/>
          <w:pgMar w:top="1540" w:right="940" w:bottom="1380" w:left="1420" w:header="0" w:footer="1182" w:gutter="0"/>
        </w:sectPr>
      </w:pPr>
    </w:p>
    <w:p>
      <w:pPr>
        <w:pStyle w:val="3"/>
        <w:spacing w:before="3" w:line="280" w:lineRule="auto"/>
        <w:ind w:left="380" w:right="857"/>
        <w:jc w:val="both"/>
      </w:pPr>
      <w:r>
        <w:rPr>
          <w:spacing w:val="-3"/>
        </w:rPr>
        <w:t>断提高。服务可及性、便利性和基本公共服务均等化水平明</w:t>
      </w:r>
      <w:r>
        <w:rPr>
          <w:spacing w:val="-5"/>
        </w:rPr>
        <w:t>显提高，重点领域社会公众满意度得到提升。生产生活方式</w:t>
      </w:r>
      <w:r>
        <w:rPr>
          <w:spacing w:val="-6"/>
        </w:rPr>
        <w:t>绿色转型成效明显，能源资源配置更加合理、利用效率大幅提高。</w:t>
      </w:r>
    </w:p>
    <w:p>
      <w:pPr>
        <w:pStyle w:val="3"/>
        <w:spacing w:line="280" w:lineRule="auto"/>
        <w:ind w:left="380" w:right="845" w:firstLine="640"/>
        <w:jc w:val="both"/>
      </w:pPr>
      <w:r>
        <w:rPr>
          <w:rFonts w:ascii="Times New Roman" w:hAnsi="Times New Roman" w:eastAsia="Times New Roman"/>
          <w:b/>
        </w:rPr>
        <w:t>——</w:t>
      </w:r>
      <w:r>
        <w:rPr>
          <w:b/>
          <w:spacing w:val="-3"/>
        </w:rPr>
        <w:t>质量综合治理效能更为突出。</w:t>
      </w:r>
      <w:r>
        <w:t>防范化解质量风险体</w:t>
      </w:r>
      <w:r>
        <w:rPr>
          <w:spacing w:val="-2"/>
        </w:rPr>
        <w:t>制机制不断健全，重点场所和重点产品率先实现质量追溯全</w:t>
      </w:r>
      <w:r>
        <w:rPr>
          <w:spacing w:val="-4"/>
        </w:rPr>
        <w:t>程监管。营商环境公开透明，市场竞争公平有序，优质优价环境逐步形成，社会资源向质量信誉良好的市场主体聚集。</w:t>
      </w:r>
      <w:r>
        <w:rPr>
          <w:spacing w:val="-6"/>
        </w:rPr>
        <w:t>消费环境诚信便捷，高质量生产与高品质消费互促共进，消费加快向绿色、健康、安全发展，消费对经济发展的基础性</w:t>
      </w:r>
      <w:r>
        <w:rPr>
          <w:spacing w:val="-7"/>
        </w:rPr>
        <w:t>作用显著增强。旅游市场秩序持续好转，旅游产品和服务质量明显提升。</w:t>
      </w:r>
    </w:p>
    <w:p>
      <w:pPr>
        <w:spacing w:before="0" w:line="495" w:lineRule="exact"/>
        <w:ind w:left="1020" w:right="0" w:firstLine="0"/>
        <w:jc w:val="left"/>
        <w:rPr>
          <w:sz w:val="32"/>
        </w:rPr>
      </w:pPr>
      <w:r>
        <w:rPr>
          <w:rFonts w:ascii="Times New Roman" w:hAnsi="Times New Roman" w:eastAsia="Times New Roman"/>
          <w:b/>
          <w:sz w:val="32"/>
        </w:rPr>
        <w:t>——</w:t>
      </w:r>
      <w:r>
        <w:rPr>
          <w:b/>
          <w:sz w:val="32"/>
        </w:rPr>
        <w:t>质量技术服务能力不断增强。</w:t>
      </w:r>
      <w:r>
        <w:rPr>
          <w:sz w:val="32"/>
        </w:rPr>
        <w:t>质量基础协同服务能</w:t>
      </w:r>
    </w:p>
    <w:p>
      <w:pPr>
        <w:pStyle w:val="3"/>
        <w:spacing w:before="75" w:line="280" w:lineRule="auto"/>
        <w:ind w:left="380" w:right="845"/>
        <w:jc w:val="both"/>
      </w:pPr>
      <w:r>
        <w:t>力更加适应产业发展、政府监管和市场主体质量服务需求。计量、标准、认证认可、检验检测、质量管理、知识产权等要素资源有机融合，协同推进质量基础设施</w:t>
      </w:r>
      <w:r>
        <w:rPr>
          <w:rFonts w:ascii="Times New Roman" w:hAnsi="Times New Roman" w:eastAsia="Times New Roman"/>
        </w:rPr>
        <w:t>“</w:t>
      </w:r>
      <w:r>
        <w:t>一站式</w:t>
      </w:r>
      <w:r>
        <w:rPr>
          <w:rFonts w:ascii="Times New Roman" w:hAnsi="Times New Roman" w:eastAsia="Times New Roman"/>
        </w:rPr>
        <w:t>”</w:t>
      </w:r>
      <w:r>
        <w:t>服务模式。</w:t>
      </w:r>
    </w:p>
    <w:p>
      <w:pPr>
        <w:pStyle w:val="3"/>
        <w:spacing w:line="495" w:lineRule="exact"/>
        <w:ind w:left="175" w:right="652"/>
        <w:jc w:val="center"/>
        <w:rPr>
          <w:rFonts w:hint="eastAsia" w:ascii="方正黑体_GBK" w:hAnsi="方正黑体_GBK" w:eastAsia="方正黑体_GBK"/>
        </w:rPr>
      </w:pPr>
      <w:r>
        <w:pict>
          <v:shape id="_x0000_s1034" o:spid="_x0000_s1034" o:spt="202" type="#_x0000_t202" style="position:absolute;left:0pt;margin-left:84.35pt;margin-top:23.4pt;height:153.65pt;width:458.45pt;mso-position-horizontal-relative:page;z-index:251661312;mso-width-relative:page;mso-height-relative:page;" filled="f" stroked="f" coordsize="21600,21600">
            <v:path/>
            <v:fill on="f" focussize="0,0"/>
            <v:stroke on="f" joinstyle="miter"/>
            <v:imagedata o:title=""/>
            <o:lock v:ext="edit"/>
            <v:textbox inset="0mm,0mm,0mm,0mm">
              <w:txbxContent>
                <w:tbl>
                  <w:tblPr>
                    <w:tblStyle w:val="4"/>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5420"/>
                    <w:gridCol w:w="1555"/>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814" w:type="dxa"/>
                      </w:tcPr>
                      <w:p>
                        <w:pPr>
                          <w:pStyle w:val="8"/>
                          <w:spacing w:before="5"/>
                          <w:ind w:left="0"/>
                          <w:rPr>
                            <w:rFonts w:ascii="方正黑体_GBK"/>
                            <w:sz w:val="33"/>
                          </w:rPr>
                        </w:pPr>
                      </w:p>
                      <w:p>
                        <w:pPr>
                          <w:pStyle w:val="8"/>
                          <w:spacing w:before="0"/>
                          <w:ind w:left="90" w:right="114"/>
                          <w:jc w:val="center"/>
                          <w:rPr>
                            <w:rFonts w:hint="eastAsia" w:ascii="方正黑体_GBK" w:eastAsia="方正黑体_GBK"/>
                            <w:sz w:val="28"/>
                          </w:rPr>
                        </w:pPr>
                        <w:r>
                          <w:rPr>
                            <w:rFonts w:hint="eastAsia" w:ascii="方正黑体_GBK" w:eastAsia="方正黑体_GBK"/>
                            <w:sz w:val="28"/>
                          </w:rPr>
                          <w:t>序号</w:t>
                        </w:r>
                      </w:p>
                    </w:tc>
                    <w:tc>
                      <w:tcPr>
                        <w:tcW w:w="5420" w:type="dxa"/>
                      </w:tcPr>
                      <w:p>
                        <w:pPr>
                          <w:pStyle w:val="8"/>
                          <w:spacing w:before="5"/>
                          <w:ind w:left="0"/>
                          <w:rPr>
                            <w:rFonts w:ascii="方正黑体_GBK"/>
                            <w:sz w:val="33"/>
                          </w:rPr>
                        </w:pPr>
                      </w:p>
                      <w:p>
                        <w:pPr>
                          <w:pStyle w:val="8"/>
                          <w:spacing w:before="0"/>
                          <w:ind w:left="2339" w:right="1911"/>
                          <w:jc w:val="center"/>
                          <w:rPr>
                            <w:rFonts w:hint="eastAsia" w:ascii="方正黑体_GBK" w:eastAsia="方正黑体_GBK"/>
                            <w:sz w:val="28"/>
                          </w:rPr>
                        </w:pPr>
                        <w:r>
                          <w:rPr>
                            <w:rFonts w:hint="eastAsia" w:ascii="方正黑体_GBK" w:eastAsia="方正黑体_GBK"/>
                            <w:sz w:val="28"/>
                          </w:rPr>
                          <w:t>指标名称</w:t>
                        </w:r>
                      </w:p>
                    </w:tc>
                    <w:tc>
                      <w:tcPr>
                        <w:tcW w:w="1555" w:type="dxa"/>
                      </w:tcPr>
                      <w:p>
                        <w:pPr>
                          <w:pStyle w:val="8"/>
                          <w:spacing w:before="166"/>
                          <w:ind w:left="322"/>
                          <w:rPr>
                            <w:rFonts w:hint="eastAsia" w:ascii="方正黑体_GBK" w:eastAsia="方正黑体_GBK"/>
                            <w:sz w:val="28"/>
                          </w:rPr>
                        </w:pPr>
                        <w:r>
                          <w:rPr>
                            <w:rFonts w:ascii="Times New Roman" w:eastAsia="Times New Roman"/>
                            <w:sz w:val="28"/>
                          </w:rPr>
                          <w:t>2025</w:t>
                        </w:r>
                        <w:r>
                          <w:rPr>
                            <w:rFonts w:ascii="Times New Roman" w:eastAsia="Times New Roman"/>
                            <w:spacing w:val="-2"/>
                            <w:sz w:val="28"/>
                          </w:rPr>
                          <w:t xml:space="preserve"> </w:t>
                        </w:r>
                        <w:r>
                          <w:rPr>
                            <w:rFonts w:hint="eastAsia" w:ascii="方正黑体_GBK" w:eastAsia="方正黑体_GBK"/>
                            <w:sz w:val="28"/>
                          </w:rPr>
                          <w:t>年</w:t>
                        </w:r>
                      </w:p>
                      <w:p>
                        <w:pPr>
                          <w:pStyle w:val="8"/>
                          <w:spacing w:before="278"/>
                          <w:ind w:left="356"/>
                          <w:rPr>
                            <w:rFonts w:hint="eastAsia" w:ascii="方正黑体_GBK" w:eastAsia="方正黑体_GBK"/>
                            <w:sz w:val="28"/>
                          </w:rPr>
                        </w:pPr>
                        <w:r>
                          <w:rPr>
                            <w:rFonts w:hint="eastAsia" w:ascii="方正黑体_GBK" w:eastAsia="方正黑体_GBK"/>
                            <w:spacing w:val="-2"/>
                            <w:sz w:val="28"/>
                          </w:rPr>
                          <w:t>目标值</w:t>
                        </w:r>
                      </w:p>
                    </w:tc>
                    <w:tc>
                      <w:tcPr>
                        <w:tcW w:w="1365" w:type="dxa"/>
                      </w:tcPr>
                      <w:p>
                        <w:pPr>
                          <w:pStyle w:val="8"/>
                          <w:spacing w:before="5"/>
                          <w:ind w:left="0"/>
                          <w:rPr>
                            <w:rFonts w:ascii="方正黑体_GBK"/>
                            <w:sz w:val="33"/>
                          </w:rPr>
                        </w:pPr>
                      </w:p>
                      <w:p>
                        <w:pPr>
                          <w:pStyle w:val="8"/>
                          <w:spacing w:before="0"/>
                          <w:ind w:left="88" w:right="106"/>
                          <w:jc w:val="center"/>
                          <w:rPr>
                            <w:rFonts w:hint="eastAsia" w:ascii="方正黑体_GBK" w:eastAsia="方正黑体_GBK"/>
                            <w:sz w:val="28"/>
                          </w:rPr>
                        </w:pPr>
                        <w:r>
                          <w:rPr>
                            <w:rFonts w:hint="eastAsia" w:ascii="方正黑体_GBK" w:eastAsia="方正黑体_GBK"/>
                            <w:sz w:val="28"/>
                          </w:rPr>
                          <w:t>指标属性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14" w:type="dxa"/>
                      </w:tcPr>
                      <w:p>
                        <w:pPr>
                          <w:pStyle w:val="8"/>
                          <w:spacing w:before="219"/>
                          <w:jc w:val="center"/>
                          <w:rPr>
                            <w:rFonts w:ascii="Times New Roman"/>
                            <w:sz w:val="28"/>
                          </w:rPr>
                        </w:pPr>
                        <w:r>
                          <w:rPr>
                            <w:rFonts w:ascii="Times New Roman"/>
                            <w:w w:val="100"/>
                            <w:sz w:val="28"/>
                          </w:rPr>
                          <w:t>1</w:t>
                        </w:r>
                      </w:p>
                    </w:tc>
                    <w:tc>
                      <w:tcPr>
                        <w:tcW w:w="5420" w:type="dxa"/>
                      </w:tcPr>
                      <w:p>
                        <w:pPr>
                          <w:pStyle w:val="8"/>
                          <w:spacing w:line="415" w:lineRule="exact"/>
                          <w:ind w:left="107"/>
                          <w:rPr>
                            <w:sz w:val="28"/>
                          </w:rPr>
                        </w:pPr>
                        <w:r>
                          <w:rPr>
                            <w:sz w:val="28"/>
                          </w:rPr>
                          <w:t>主要农产品质量安全例行监测合格率（</w:t>
                        </w:r>
                        <w:r>
                          <w:rPr>
                            <w:rFonts w:ascii="Times New Roman" w:eastAsia="Times New Roman"/>
                            <w:sz w:val="28"/>
                          </w:rPr>
                          <w:t>%</w:t>
                        </w:r>
                        <w:r>
                          <w:rPr>
                            <w:sz w:val="28"/>
                          </w:rPr>
                          <w:t>）</w:t>
                        </w:r>
                      </w:p>
                    </w:tc>
                    <w:tc>
                      <w:tcPr>
                        <w:tcW w:w="1555" w:type="dxa"/>
                      </w:tcPr>
                      <w:p>
                        <w:pPr>
                          <w:pStyle w:val="8"/>
                          <w:spacing w:before="219"/>
                          <w:ind w:left="469" w:right="458"/>
                          <w:jc w:val="center"/>
                          <w:rPr>
                            <w:rFonts w:ascii="Times New Roman" w:hAnsi="Times New Roman"/>
                            <w:sz w:val="28"/>
                          </w:rPr>
                        </w:pPr>
                        <w:r>
                          <w:rPr>
                            <w:rFonts w:ascii="Times New Roman" w:hAnsi="Times New Roman"/>
                            <w:sz w:val="28"/>
                          </w:rPr>
                          <w:t>≥97</w:t>
                        </w:r>
                      </w:p>
                    </w:tc>
                    <w:tc>
                      <w:tcPr>
                        <w:tcW w:w="1365" w:type="dxa"/>
                      </w:tcPr>
                      <w:p>
                        <w:pPr>
                          <w:pStyle w:val="8"/>
                          <w:spacing w:line="415" w:lineRule="exact"/>
                          <w:ind w:left="88" w:right="78"/>
                          <w:jc w:val="center"/>
                          <w:rPr>
                            <w:sz w:val="28"/>
                          </w:rPr>
                        </w:pPr>
                        <w:r>
                          <w:rPr>
                            <w:sz w:val="28"/>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2" w:hRule="atLeast"/>
                    </w:trPr>
                    <w:tc>
                      <w:tcPr>
                        <w:tcW w:w="814" w:type="dxa"/>
                      </w:tcPr>
                      <w:p>
                        <w:pPr>
                          <w:pStyle w:val="8"/>
                          <w:spacing w:before="5"/>
                          <w:ind w:left="0"/>
                          <w:rPr>
                            <w:rFonts w:ascii="方正黑体_GBK"/>
                            <w:sz w:val="26"/>
                          </w:rPr>
                        </w:pPr>
                      </w:p>
                      <w:p>
                        <w:pPr>
                          <w:pStyle w:val="8"/>
                          <w:spacing w:before="0"/>
                          <w:jc w:val="center"/>
                          <w:rPr>
                            <w:rFonts w:ascii="Times New Roman"/>
                            <w:sz w:val="28"/>
                          </w:rPr>
                        </w:pPr>
                        <w:r>
                          <w:rPr>
                            <w:rFonts w:ascii="Times New Roman"/>
                            <w:w w:val="100"/>
                            <w:sz w:val="28"/>
                          </w:rPr>
                          <w:t>2</w:t>
                        </w:r>
                      </w:p>
                    </w:tc>
                    <w:tc>
                      <w:tcPr>
                        <w:tcW w:w="5420" w:type="dxa"/>
                      </w:tcPr>
                      <w:p>
                        <w:pPr>
                          <w:pStyle w:val="8"/>
                          <w:spacing w:before="81" w:line="460" w:lineRule="atLeast"/>
                          <w:ind w:left="107" w:right="94"/>
                          <w:rPr>
                            <w:sz w:val="28"/>
                          </w:rPr>
                        </w:pPr>
                        <w:r>
                          <w:rPr>
                            <w:spacing w:val="-13"/>
                            <w:sz w:val="28"/>
                          </w:rPr>
                          <w:t>累计认证登记绿色、有机、地理标志农产品</w:t>
                        </w:r>
                        <w:r>
                          <w:rPr>
                            <w:spacing w:val="-8"/>
                            <w:sz w:val="28"/>
                          </w:rPr>
                          <w:t>数量</w:t>
                        </w:r>
                        <w:r>
                          <w:rPr>
                            <w:sz w:val="28"/>
                          </w:rPr>
                          <w:t>（个）</w:t>
                        </w:r>
                      </w:p>
                    </w:tc>
                    <w:tc>
                      <w:tcPr>
                        <w:tcW w:w="1555" w:type="dxa"/>
                      </w:tcPr>
                      <w:p>
                        <w:pPr>
                          <w:pStyle w:val="8"/>
                          <w:spacing w:before="5"/>
                          <w:ind w:left="0"/>
                          <w:rPr>
                            <w:rFonts w:ascii="方正黑体_GBK"/>
                            <w:sz w:val="26"/>
                          </w:rPr>
                        </w:pPr>
                      </w:p>
                      <w:p>
                        <w:pPr>
                          <w:pStyle w:val="8"/>
                          <w:spacing w:before="0"/>
                          <w:ind w:left="469" w:right="458"/>
                          <w:jc w:val="center"/>
                          <w:rPr>
                            <w:rFonts w:ascii="Times New Roman" w:hAnsi="Times New Roman"/>
                            <w:sz w:val="28"/>
                          </w:rPr>
                        </w:pPr>
                        <w:r>
                          <w:rPr>
                            <w:rFonts w:ascii="Times New Roman" w:hAnsi="Times New Roman"/>
                            <w:sz w:val="28"/>
                          </w:rPr>
                          <w:t>≥40</w:t>
                        </w:r>
                      </w:p>
                    </w:tc>
                    <w:tc>
                      <w:tcPr>
                        <w:tcW w:w="1365" w:type="dxa"/>
                      </w:tcPr>
                      <w:p>
                        <w:pPr>
                          <w:pStyle w:val="8"/>
                          <w:spacing w:before="14"/>
                          <w:ind w:left="0"/>
                          <w:rPr>
                            <w:rFonts w:ascii="方正黑体_GBK"/>
                            <w:sz w:val="22"/>
                          </w:rPr>
                        </w:pPr>
                      </w:p>
                      <w:p>
                        <w:pPr>
                          <w:pStyle w:val="8"/>
                          <w:spacing w:before="0"/>
                          <w:ind w:left="88" w:right="78"/>
                          <w:jc w:val="center"/>
                          <w:rPr>
                            <w:sz w:val="28"/>
                          </w:rPr>
                        </w:pPr>
                        <w:r>
                          <w:rPr>
                            <w:sz w:val="28"/>
                          </w:rPr>
                          <w:t>预期性</w:t>
                        </w:r>
                      </w:p>
                    </w:tc>
                  </w:tr>
                </w:tbl>
                <w:p>
                  <w:pPr>
                    <w:pStyle w:val="3"/>
                  </w:pPr>
                </w:p>
              </w:txbxContent>
            </v:textbox>
          </v:shape>
        </w:pict>
      </w:r>
      <w:r>
        <w:rPr>
          <w:rFonts w:hint="eastAsia" w:ascii="方正黑体_GBK" w:hAnsi="方正黑体_GBK" w:eastAsia="方正黑体_GBK"/>
        </w:rPr>
        <w:t>盈江县</w:t>
      </w:r>
      <w:r>
        <w:rPr>
          <w:rFonts w:ascii="Times New Roman" w:hAnsi="Times New Roman" w:eastAsia="Times New Roman"/>
        </w:rPr>
        <w:t>“</w:t>
      </w:r>
      <w:r>
        <w:rPr>
          <w:rFonts w:hint="eastAsia" w:ascii="方正黑体_GBK" w:hAnsi="方正黑体_GBK" w:eastAsia="方正黑体_GBK"/>
        </w:rPr>
        <w:t>十四五</w:t>
      </w:r>
      <w:r>
        <w:rPr>
          <w:rFonts w:ascii="Times New Roman" w:hAnsi="Times New Roman" w:eastAsia="Times New Roman"/>
        </w:rPr>
        <w:t>”</w:t>
      </w:r>
      <w:r>
        <w:rPr>
          <w:rFonts w:hint="eastAsia" w:ascii="方正黑体_GBK" w:hAnsi="方正黑体_GBK" w:eastAsia="方正黑体_GBK"/>
        </w:rPr>
        <w:t>时期质量发展主要指标</w:t>
      </w:r>
    </w:p>
    <w:p>
      <w:pPr>
        <w:spacing w:after="0" w:line="495" w:lineRule="exact"/>
        <w:jc w:val="center"/>
        <w:rPr>
          <w:rFonts w:hint="eastAsia" w:ascii="方正黑体_GBK" w:hAnsi="方正黑体_GBK" w:eastAsia="方正黑体_GBK"/>
        </w:rPr>
        <w:sectPr>
          <w:pgSz w:w="11910" w:h="16840"/>
          <w:pgMar w:top="1540" w:right="940" w:bottom="1380" w:left="1420" w:header="0" w:footer="1182" w:gutter="0"/>
        </w:sectPr>
      </w:pPr>
    </w:p>
    <w:tbl>
      <w:tblPr>
        <w:tblStyle w:val="4"/>
        <w:tblW w:w="0" w:type="auto"/>
        <w:tblInd w:w="2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5420"/>
        <w:gridCol w:w="1555"/>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14" w:type="dxa"/>
          </w:tcPr>
          <w:p>
            <w:pPr>
              <w:pStyle w:val="8"/>
              <w:spacing w:before="219"/>
              <w:jc w:val="center"/>
              <w:rPr>
                <w:rFonts w:ascii="Times New Roman"/>
                <w:sz w:val="28"/>
              </w:rPr>
            </w:pPr>
            <w:r>
              <w:rPr>
                <w:rFonts w:ascii="Times New Roman"/>
                <w:w w:val="100"/>
                <w:sz w:val="28"/>
              </w:rPr>
              <w:t>3</w:t>
            </w:r>
          </w:p>
        </w:tc>
        <w:tc>
          <w:tcPr>
            <w:tcW w:w="5420" w:type="dxa"/>
          </w:tcPr>
          <w:p>
            <w:pPr>
              <w:pStyle w:val="8"/>
              <w:spacing w:before="166" w:line="414" w:lineRule="exact"/>
              <w:ind w:left="107"/>
              <w:rPr>
                <w:sz w:val="28"/>
              </w:rPr>
            </w:pPr>
            <w:r>
              <w:rPr>
                <w:sz w:val="28"/>
              </w:rPr>
              <w:t>食品评价性抽检合格率（</w:t>
            </w:r>
            <w:r>
              <w:rPr>
                <w:rFonts w:ascii="Times New Roman" w:eastAsia="Times New Roman"/>
                <w:sz w:val="28"/>
              </w:rPr>
              <w:t>%</w:t>
            </w:r>
            <w:r>
              <w:rPr>
                <w:sz w:val="28"/>
              </w:rPr>
              <w:t>）</w:t>
            </w:r>
          </w:p>
        </w:tc>
        <w:tc>
          <w:tcPr>
            <w:tcW w:w="1555" w:type="dxa"/>
          </w:tcPr>
          <w:p>
            <w:pPr>
              <w:pStyle w:val="8"/>
              <w:spacing w:before="219"/>
              <w:ind w:left="466" w:right="458"/>
              <w:jc w:val="center"/>
              <w:rPr>
                <w:rFonts w:ascii="Times New Roman" w:hAnsi="Times New Roman"/>
                <w:sz w:val="28"/>
              </w:rPr>
            </w:pPr>
            <w:r>
              <w:rPr>
                <w:rFonts w:ascii="Times New Roman" w:hAnsi="Times New Roman"/>
                <w:sz w:val="28"/>
              </w:rPr>
              <w:t>≥98</w:t>
            </w:r>
          </w:p>
        </w:tc>
        <w:tc>
          <w:tcPr>
            <w:tcW w:w="1365" w:type="dxa"/>
          </w:tcPr>
          <w:p>
            <w:pPr>
              <w:pStyle w:val="8"/>
              <w:spacing w:before="166" w:line="414" w:lineRule="exact"/>
              <w:ind w:left="262"/>
              <w:rPr>
                <w:sz w:val="28"/>
              </w:rPr>
            </w:pPr>
            <w:r>
              <w:rPr>
                <w:sz w:val="2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14" w:type="dxa"/>
          </w:tcPr>
          <w:p>
            <w:pPr>
              <w:pStyle w:val="8"/>
              <w:spacing w:before="219"/>
              <w:jc w:val="center"/>
              <w:rPr>
                <w:rFonts w:ascii="Times New Roman"/>
                <w:sz w:val="28"/>
              </w:rPr>
            </w:pPr>
            <w:r>
              <w:rPr>
                <w:rFonts w:ascii="Times New Roman"/>
                <w:w w:val="100"/>
                <w:sz w:val="28"/>
              </w:rPr>
              <w:t>4</w:t>
            </w:r>
          </w:p>
        </w:tc>
        <w:tc>
          <w:tcPr>
            <w:tcW w:w="5420" w:type="dxa"/>
          </w:tcPr>
          <w:p>
            <w:pPr>
              <w:pStyle w:val="8"/>
              <w:spacing w:line="415" w:lineRule="exact"/>
              <w:ind w:left="107"/>
              <w:rPr>
                <w:sz w:val="28"/>
              </w:rPr>
            </w:pPr>
            <w:r>
              <w:rPr>
                <w:sz w:val="28"/>
              </w:rPr>
              <w:t>药品、医疗器械、化妆品抽检合格率（</w:t>
            </w:r>
            <w:r>
              <w:rPr>
                <w:rFonts w:ascii="Times New Roman" w:eastAsia="Times New Roman"/>
                <w:sz w:val="28"/>
              </w:rPr>
              <w:t>%</w:t>
            </w:r>
            <w:r>
              <w:rPr>
                <w:sz w:val="28"/>
              </w:rPr>
              <w:t>）</w:t>
            </w:r>
          </w:p>
        </w:tc>
        <w:tc>
          <w:tcPr>
            <w:tcW w:w="1555" w:type="dxa"/>
          </w:tcPr>
          <w:p>
            <w:pPr>
              <w:pStyle w:val="8"/>
              <w:spacing w:before="219"/>
              <w:ind w:left="469" w:right="458"/>
              <w:jc w:val="center"/>
              <w:rPr>
                <w:rFonts w:ascii="Times New Roman" w:hAnsi="Times New Roman"/>
                <w:sz w:val="28"/>
              </w:rPr>
            </w:pPr>
            <w:r>
              <w:rPr>
                <w:rFonts w:ascii="Times New Roman" w:hAnsi="Times New Roman"/>
                <w:sz w:val="28"/>
              </w:rPr>
              <w:t>≥97</w:t>
            </w:r>
          </w:p>
        </w:tc>
        <w:tc>
          <w:tcPr>
            <w:tcW w:w="1365" w:type="dxa"/>
          </w:tcPr>
          <w:p>
            <w:pPr>
              <w:pStyle w:val="8"/>
              <w:spacing w:line="415" w:lineRule="exact"/>
              <w:ind w:left="262"/>
              <w:rPr>
                <w:sz w:val="28"/>
              </w:rPr>
            </w:pPr>
            <w:r>
              <w:rPr>
                <w:sz w:val="28"/>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814" w:type="dxa"/>
          </w:tcPr>
          <w:p>
            <w:pPr>
              <w:pStyle w:val="8"/>
              <w:spacing w:before="218"/>
              <w:jc w:val="center"/>
              <w:rPr>
                <w:rFonts w:ascii="Times New Roman"/>
                <w:sz w:val="28"/>
              </w:rPr>
            </w:pPr>
            <w:r>
              <w:rPr>
                <w:rFonts w:ascii="Times New Roman"/>
                <w:w w:val="100"/>
                <w:sz w:val="28"/>
              </w:rPr>
              <w:t>5</w:t>
            </w:r>
          </w:p>
        </w:tc>
        <w:tc>
          <w:tcPr>
            <w:tcW w:w="5420" w:type="dxa"/>
          </w:tcPr>
          <w:p>
            <w:pPr>
              <w:pStyle w:val="8"/>
              <w:spacing w:before="196" w:line="448" w:lineRule="exact"/>
              <w:ind w:left="107"/>
              <w:rPr>
                <w:sz w:val="28"/>
              </w:rPr>
            </w:pPr>
            <w:r>
              <w:rPr>
                <w:sz w:val="28"/>
              </w:rPr>
              <w:t>重点工业产品质量监督抽查合格率（</w:t>
            </w:r>
            <w:r>
              <w:rPr>
                <w:rFonts w:ascii="Times New Roman" w:eastAsia="Times New Roman"/>
                <w:sz w:val="28"/>
              </w:rPr>
              <w:t>%</w:t>
            </w:r>
            <w:r>
              <w:rPr>
                <w:sz w:val="28"/>
              </w:rPr>
              <w:t>）</w:t>
            </w:r>
          </w:p>
        </w:tc>
        <w:tc>
          <w:tcPr>
            <w:tcW w:w="1555" w:type="dxa"/>
          </w:tcPr>
          <w:p>
            <w:pPr>
              <w:pStyle w:val="8"/>
              <w:spacing w:before="249"/>
              <w:ind w:left="466" w:right="458"/>
              <w:jc w:val="center"/>
              <w:rPr>
                <w:rFonts w:ascii="Times New Roman" w:hAnsi="Times New Roman"/>
                <w:sz w:val="28"/>
              </w:rPr>
            </w:pPr>
            <w:r>
              <w:rPr>
                <w:rFonts w:ascii="Times New Roman" w:hAnsi="Times New Roman"/>
                <w:sz w:val="28"/>
              </w:rPr>
              <w:t>≥91</w:t>
            </w:r>
          </w:p>
        </w:tc>
        <w:tc>
          <w:tcPr>
            <w:tcW w:w="1365" w:type="dxa"/>
          </w:tcPr>
          <w:p>
            <w:pPr>
              <w:pStyle w:val="8"/>
              <w:spacing w:before="196" w:line="448" w:lineRule="exact"/>
              <w:ind w:left="262"/>
              <w:rPr>
                <w:sz w:val="28"/>
              </w:rPr>
            </w:pPr>
            <w:r>
              <w:rPr>
                <w:sz w:val="2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14" w:type="dxa"/>
          </w:tcPr>
          <w:p>
            <w:pPr>
              <w:pStyle w:val="8"/>
              <w:spacing w:before="219"/>
              <w:jc w:val="center"/>
              <w:rPr>
                <w:rFonts w:ascii="Times New Roman"/>
                <w:sz w:val="28"/>
              </w:rPr>
            </w:pPr>
            <w:r>
              <w:rPr>
                <w:rFonts w:ascii="Times New Roman"/>
                <w:w w:val="100"/>
                <w:sz w:val="28"/>
              </w:rPr>
              <w:t>6</w:t>
            </w:r>
          </w:p>
        </w:tc>
        <w:tc>
          <w:tcPr>
            <w:tcW w:w="5420" w:type="dxa"/>
          </w:tcPr>
          <w:p>
            <w:pPr>
              <w:pStyle w:val="8"/>
              <w:spacing w:line="415" w:lineRule="exact"/>
              <w:ind w:left="107"/>
              <w:rPr>
                <w:sz w:val="28"/>
              </w:rPr>
            </w:pPr>
            <w:r>
              <w:rPr>
                <w:sz w:val="28"/>
              </w:rPr>
              <w:t>工程质量抽查符合率（</w:t>
            </w:r>
            <w:r>
              <w:rPr>
                <w:rFonts w:ascii="Times New Roman" w:eastAsia="Times New Roman"/>
                <w:sz w:val="28"/>
              </w:rPr>
              <w:t>%</w:t>
            </w:r>
            <w:r>
              <w:rPr>
                <w:sz w:val="28"/>
              </w:rPr>
              <w:t>）</w:t>
            </w:r>
          </w:p>
        </w:tc>
        <w:tc>
          <w:tcPr>
            <w:tcW w:w="1555" w:type="dxa"/>
          </w:tcPr>
          <w:p>
            <w:pPr>
              <w:pStyle w:val="8"/>
              <w:spacing w:before="219"/>
              <w:ind w:left="469" w:right="458"/>
              <w:jc w:val="center"/>
              <w:rPr>
                <w:rFonts w:ascii="Times New Roman" w:hAnsi="Times New Roman"/>
                <w:sz w:val="28"/>
              </w:rPr>
            </w:pPr>
            <w:r>
              <w:rPr>
                <w:rFonts w:ascii="Times New Roman" w:hAnsi="Times New Roman"/>
                <w:sz w:val="28"/>
              </w:rPr>
              <w:t>≥90</w:t>
            </w:r>
          </w:p>
        </w:tc>
        <w:tc>
          <w:tcPr>
            <w:tcW w:w="1365" w:type="dxa"/>
          </w:tcPr>
          <w:p>
            <w:pPr>
              <w:pStyle w:val="8"/>
              <w:spacing w:line="415" w:lineRule="exact"/>
              <w:ind w:left="262"/>
              <w:rPr>
                <w:sz w:val="28"/>
              </w:rPr>
            </w:pPr>
            <w:r>
              <w:rPr>
                <w:sz w:val="28"/>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14" w:type="dxa"/>
          </w:tcPr>
          <w:p>
            <w:pPr>
              <w:pStyle w:val="8"/>
              <w:spacing w:before="218"/>
              <w:jc w:val="center"/>
              <w:rPr>
                <w:rFonts w:ascii="Times New Roman"/>
                <w:sz w:val="28"/>
              </w:rPr>
            </w:pPr>
            <w:r>
              <w:rPr>
                <w:rFonts w:ascii="Times New Roman"/>
                <w:w w:val="100"/>
                <w:sz w:val="28"/>
              </w:rPr>
              <w:t>7</w:t>
            </w:r>
          </w:p>
        </w:tc>
        <w:tc>
          <w:tcPr>
            <w:tcW w:w="5420" w:type="dxa"/>
          </w:tcPr>
          <w:p>
            <w:pPr>
              <w:pStyle w:val="8"/>
              <w:spacing w:line="415" w:lineRule="exact"/>
              <w:ind w:left="107"/>
              <w:rPr>
                <w:sz w:val="28"/>
              </w:rPr>
            </w:pPr>
            <w:r>
              <w:rPr>
                <w:sz w:val="28"/>
              </w:rPr>
              <w:t>城镇新建建筑中绿色建筑占比（</w:t>
            </w:r>
            <w:r>
              <w:rPr>
                <w:rFonts w:ascii="Times New Roman" w:eastAsia="Times New Roman"/>
                <w:sz w:val="28"/>
              </w:rPr>
              <w:t>%</w:t>
            </w:r>
            <w:r>
              <w:rPr>
                <w:sz w:val="28"/>
              </w:rPr>
              <w:t>）</w:t>
            </w:r>
          </w:p>
        </w:tc>
        <w:tc>
          <w:tcPr>
            <w:tcW w:w="1555" w:type="dxa"/>
          </w:tcPr>
          <w:p>
            <w:pPr>
              <w:pStyle w:val="8"/>
              <w:spacing w:before="218"/>
              <w:ind w:left="469" w:right="458"/>
              <w:jc w:val="center"/>
              <w:rPr>
                <w:rFonts w:ascii="Times New Roman"/>
                <w:sz w:val="28"/>
              </w:rPr>
            </w:pPr>
            <w:r>
              <w:rPr>
                <w:rFonts w:ascii="Times New Roman"/>
                <w:sz w:val="28"/>
              </w:rPr>
              <w:t>=100</w:t>
            </w:r>
          </w:p>
        </w:tc>
        <w:tc>
          <w:tcPr>
            <w:tcW w:w="1365" w:type="dxa"/>
          </w:tcPr>
          <w:p>
            <w:pPr>
              <w:pStyle w:val="8"/>
              <w:spacing w:line="415" w:lineRule="exact"/>
              <w:ind w:left="262"/>
              <w:rPr>
                <w:sz w:val="28"/>
              </w:rPr>
            </w:pPr>
            <w:r>
              <w:rPr>
                <w:sz w:val="2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14" w:type="dxa"/>
          </w:tcPr>
          <w:p>
            <w:pPr>
              <w:pStyle w:val="8"/>
              <w:spacing w:before="218"/>
              <w:jc w:val="center"/>
              <w:rPr>
                <w:rFonts w:ascii="Times New Roman"/>
                <w:sz w:val="28"/>
              </w:rPr>
            </w:pPr>
            <w:r>
              <w:rPr>
                <w:rFonts w:ascii="Times New Roman"/>
                <w:w w:val="100"/>
                <w:sz w:val="28"/>
              </w:rPr>
              <w:t>8</w:t>
            </w:r>
          </w:p>
        </w:tc>
        <w:tc>
          <w:tcPr>
            <w:tcW w:w="5420" w:type="dxa"/>
          </w:tcPr>
          <w:p>
            <w:pPr>
              <w:pStyle w:val="8"/>
              <w:spacing w:before="164" w:line="415" w:lineRule="exact"/>
              <w:ind w:left="107"/>
              <w:rPr>
                <w:sz w:val="28"/>
              </w:rPr>
            </w:pPr>
            <w:r>
              <w:rPr>
                <w:sz w:val="28"/>
              </w:rPr>
              <w:t>服务质量满意度（分）</w:t>
            </w:r>
          </w:p>
        </w:tc>
        <w:tc>
          <w:tcPr>
            <w:tcW w:w="1555" w:type="dxa"/>
          </w:tcPr>
          <w:p>
            <w:pPr>
              <w:pStyle w:val="8"/>
              <w:spacing w:before="218"/>
              <w:ind w:left="469" w:right="458"/>
              <w:jc w:val="center"/>
              <w:rPr>
                <w:rFonts w:ascii="Times New Roman" w:hAnsi="Times New Roman"/>
                <w:sz w:val="28"/>
              </w:rPr>
            </w:pPr>
            <w:r>
              <w:rPr>
                <w:rFonts w:ascii="Times New Roman" w:hAnsi="Times New Roman"/>
                <w:sz w:val="28"/>
              </w:rPr>
              <w:t>≥78</w:t>
            </w:r>
          </w:p>
        </w:tc>
        <w:tc>
          <w:tcPr>
            <w:tcW w:w="1365" w:type="dxa"/>
          </w:tcPr>
          <w:p>
            <w:pPr>
              <w:pStyle w:val="8"/>
              <w:spacing w:before="164" w:line="415" w:lineRule="exact"/>
              <w:ind w:left="262"/>
              <w:rPr>
                <w:sz w:val="28"/>
              </w:rPr>
            </w:pPr>
            <w:r>
              <w:rPr>
                <w:sz w:val="2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14" w:type="dxa"/>
          </w:tcPr>
          <w:p>
            <w:pPr>
              <w:pStyle w:val="8"/>
              <w:spacing w:before="217"/>
              <w:jc w:val="center"/>
              <w:rPr>
                <w:rFonts w:ascii="Times New Roman"/>
                <w:sz w:val="28"/>
              </w:rPr>
            </w:pPr>
            <w:r>
              <w:rPr>
                <w:rFonts w:ascii="Times New Roman"/>
                <w:w w:val="100"/>
                <w:sz w:val="28"/>
              </w:rPr>
              <w:t>9</w:t>
            </w:r>
          </w:p>
        </w:tc>
        <w:tc>
          <w:tcPr>
            <w:tcW w:w="5420" w:type="dxa"/>
          </w:tcPr>
          <w:p>
            <w:pPr>
              <w:pStyle w:val="8"/>
              <w:spacing w:before="164" w:line="416" w:lineRule="exact"/>
              <w:ind w:left="107"/>
              <w:rPr>
                <w:sz w:val="28"/>
              </w:rPr>
            </w:pPr>
            <w:r>
              <w:rPr>
                <w:sz w:val="28"/>
              </w:rPr>
              <w:t>县政府质量工作公众满意度（分）</w:t>
            </w:r>
          </w:p>
        </w:tc>
        <w:tc>
          <w:tcPr>
            <w:tcW w:w="1555" w:type="dxa"/>
          </w:tcPr>
          <w:p>
            <w:pPr>
              <w:pStyle w:val="8"/>
              <w:spacing w:before="217"/>
              <w:ind w:left="466" w:right="458"/>
              <w:jc w:val="center"/>
              <w:rPr>
                <w:rFonts w:ascii="Times New Roman" w:hAnsi="Times New Roman"/>
                <w:sz w:val="28"/>
              </w:rPr>
            </w:pPr>
            <w:r>
              <w:rPr>
                <w:rFonts w:ascii="Times New Roman" w:hAnsi="Times New Roman"/>
                <w:sz w:val="28"/>
              </w:rPr>
              <w:t>≥65</w:t>
            </w:r>
          </w:p>
        </w:tc>
        <w:tc>
          <w:tcPr>
            <w:tcW w:w="1365" w:type="dxa"/>
          </w:tcPr>
          <w:p>
            <w:pPr>
              <w:pStyle w:val="8"/>
              <w:spacing w:before="164" w:line="416" w:lineRule="exact"/>
              <w:ind w:left="262"/>
              <w:rPr>
                <w:sz w:val="28"/>
              </w:rPr>
            </w:pPr>
            <w:r>
              <w:rPr>
                <w:sz w:val="28"/>
              </w:rPr>
              <w:t>预期性</w:t>
            </w:r>
          </w:p>
        </w:tc>
      </w:tr>
    </w:tbl>
    <w:p>
      <w:pPr>
        <w:pStyle w:val="3"/>
        <w:rPr>
          <w:rFonts w:ascii="方正黑体_GBK"/>
          <w:sz w:val="6"/>
        </w:rPr>
      </w:pPr>
    </w:p>
    <w:p>
      <w:pPr>
        <w:pStyle w:val="3"/>
        <w:spacing w:before="26"/>
        <w:ind w:left="1020"/>
        <w:rPr>
          <w:rFonts w:hint="eastAsia" w:ascii="方正黑体_GBK" w:eastAsia="方正黑体_GBK"/>
        </w:rPr>
      </w:pPr>
      <w:r>
        <w:rPr>
          <w:rFonts w:hint="eastAsia" w:ascii="方正黑体_GBK" w:eastAsia="方正黑体_GBK"/>
        </w:rPr>
        <w:t>三、重点任务</w:t>
      </w:r>
    </w:p>
    <w:p>
      <w:pPr>
        <w:pStyle w:val="3"/>
        <w:spacing w:before="108"/>
        <w:ind w:left="1020"/>
        <w:rPr>
          <w:rFonts w:hint="eastAsia" w:ascii="方正楷体_GBK" w:eastAsia="方正楷体_GBK"/>
        </w:rPr>
      </w:pPr>
      <w:bookmarkStart w:id="0" w:name="（一）开展重点产业质量提升行动                  "/>
      <w:bookmarkEnd w:id="0"/>
      <w:bookmarkStart w:id="1" w:name="_bookmark0"/>
      <w:bookmarkEnd w:id="1"/>
      <w:r>
        <w:rPr>
          <w:rFonts w:hint="eastAsia" w:ascii="方正楷体_GBK" w:eastAsia="方正楷体_GBK"/>
        </w:rPr>
        <w:t>（一）开展重点产业质量提升行动</w:t>
      </w:r>
    </w:p>
    <w:p>
      <w:pPr>
        <w:pStyle w:val="7"/>
        <w:numPr>
          <w:ilvl w:val="0"/>
          <w:numId w:val="8"/>
        </w:numPr>
        <w:tabs>
          <w:tab w:val="left" w:pos="1263"/>
        </w:tabs>
        <w:spacing w:before="97" w:after="0" w:line="280" w:lineRule="auto"/>
        <w:ind w:left="380" w:right="845" w:firstLine="640"/>
        <w:jc w:val="both"/>
        <w:rPr>
          <w:sz w:val="32"/>
        </w:rPr>
      </w:pPr>
      <w:bookmarkStart w:id="2" w:name="1.培植支柱产业质量优势。推动绿色能源与制造业、绿色农产品与食品加工深度融合，全"/>
      <w:bookmarkEnd w:id="2"/>
      <w:bookmarkStart w:id="3" w:name="1.培植支柱产业质量优势。推动绿色能源与制造业、绿色农产品与食品加工深度融合，全"/>
      <w:bookmarkEnd w:id="3"/>
      <w:r>
        <w:rPr>
          <w:b/>
          <w:spacing w:val="3"/>
          <w:w w:val="95"/>
          <w:sz w:val="32"/>
        </w:rPr>
        <w:t>培植支柱产业质量优势。</w:t>
      </w:r>
      <w:r>
        <w:rPr>
          <w:w w:val="95"/>
          <w:sz w:val="32"/>
        </w:rPr>
        <w:t xml:space="preserve">推动绿色能源与制造业、绿 </w:t>
      </w:r>
      <w:r>
        <w:rPr>
          <w:sz w:val="32"/>
        </w:rPr>
        <w:t>色农产品与食品加工深度融合，全面提升产业质量竞争力。</w:t>
      </w:r>
      <w:r>
        <w:rPr>
          <w:spacing w:val="-2"/>
          <w:sz w:val="32"/>
        </w:rPr>
        <w:t>大力发展水电硅材、高原特色现代农业、文旅康养等重点产</w:t>
      </w:r>
      <w:r>
        <w:rPr>
          <w:spacing w:val="-4"/>
          <w:sz w:val="32"/>
        </w:rPr>
        <w:t>业，推动资源优势、生态优势、开放优势向质量优势、产业优势、经济优势、发展优势转变，打造世界一流</w:t>
      </w:r>
      <w:r>
        <w:rPr>
          <w:rFonts w:ascii="Times New Roman" w:hAnsi="Times New Roman" w:eastAsia="Times New Roman"/>
          <w:spacing w:val="-4"/>
          <w:sz w:val="32"/>
        </w:rPr>
        <w:t>“</w:t>
      </w:r>
      <w:r>
        <w:rPr>
          <w:spacing w:val="-4"/>
          <w:sz w:val="32"/>
        </w:rPr>
        <w:t>三张牌</w:t>
      </w:r>
      <w:r>
        <w:rPr>
          <w:rFonts w:ascii="Times New Roman" w:hAnsi="Times New Roman" w:eastAsia="Times New Roman"/>
          <w:spacing w:val="-4"/>
          <w:sz w:val="32"/>
        </w:rPr>
        <w:t>”</w:t>
      </w:r>
      <w:r>
        <w:rPr>
          <w:spacing w:val="-4"/>
          <w:sz w:val="32"/>
        </w:rPr>
        <w:t>。</w:t>
      </w:r>
      <w:r>
        <w:rPr>
          <w:spacing w:val="-14"/>
          <w:sz w:val="32"/>
        </w:rPr>
        <w:t>统筹谋划绿色能源开发、就地消纳、全产业链发展，打造</w:t>
      </w:r>
      <w:r>
        <w:rPr>
          <w:rFonts w:ascii="Times New Roman" w:hAnsi="Times New Roman" w:eastAsia="Times New Roman"/>
          <w:sz w:val="32"/>
        </w:rPr>
        <w:t>“</w:t>
      </w:r>
      <w:r>
        <w:rPr>
          <w:sz w:val="32"/>
        </w:rPr>
        <w:t>绿</w:t>
      </w:r>
      <w:r>
        <w:rPr>
          <w:w w:val="99"/>
          <w:sz w:val="32"/>
        </w:rPr>
        <w:t>色能源牌</w:t>
      </w:r>
      <w:r>
        <w:rPr>
          <w:rFonts w:ascii="Times New Roman" w:hAnsi="Times New Roman" w:eastAsia="Times New Roman"/>
          <w:w w:val="99"/>
          <w:sz w:val="32"/>
        </w:rPr>
        <w:t>”</w:t>
      </w:r>
      <w:r>
        <w:rPr>
          <w:spacing w:val="-49"/>
          <w:w w:val="99"/>
          <w:sz w:val="32"/>
        </w:rPr>
        <w:t>；按照</w:t>
      </w:r>
      <w:r>
        <w:rPr>
          <w:rFonts w:ascii="Times New Roman" w:hAnsi="Times New Roman" w:eastAsia="Times New Roman"/>
          <w:w w:val="99"/>
          <w:sz w:val="32"/>
        </w:rPr>
        <w:t>“</w:t>
      </w:r>
      <w:r>
        <w:rPr>
          <w:w w:val="99"/>
          <w:sz w:val="32"/>
        </w:rPr>
        <w:t>大产业</w:t>
      </w:r>
      <w:r>
        <w:rPr>
          <w:rFonts w:ascii="Times New Roman" w:hAnsi="Times New Roman" w:eastAsia="Times New Roman"/>
          <w:w w:val="99"/>
          <w:sz w:val="32"/>
        </w:rPr>
        <w:t>+</w:t>
      </w:r>
      <w:r>
        <w:rPr>
          <w:w w:val="99"/>
          <w:sz w:val="32"/>
        </w:rPr>
        <w:t>新主体</w:t>
      </w:r>
      <w:r>
        <w:rPr>
          <w:rFonts w:ascii="Times New Roman" w:hAnsi="Times New Roman" w:eastAsia="Times New Roman"/>
          <w:w w:val="99"/>
          <w:sz w:val="32"/>
        </w:rPr>
        <w:t>+</w:t>
      </w:r>
      <w:r>
        <w:rPr>
          <w:w w:val="99"/>
          <w:sz w:val="32"/>
        </w:rPr>
        <w:t>新平台</w:t>
      </w:r>
      <w:r>
        <w:rPr>
          <w:rFonts w:ascii="Times New Roman" w:hAnsi="Times New Roman" w:eastAsia="Times New Roman"/>
          <w:w w:val="99"/>
          <w:sz w:val="32"/>
        </w:rPr>
        <w:t>”</w:t>
      </w:r>
      <w:r>
        <w:rPr>
          <w:spacing w:val="-22"/>
          <w:w w:val="99"/>
          <w:sz w:val="32"/>
        </w:rPr>
        <w:t>发展思路，立足</w:t>
      </w:r>
      <w:r>
        <w:rPr>
          <w:rFonts w:ascii="Times New Roman" w:hAnsi="Times New Roman" w:eastAsia="Times New Roman"/>
          <w:w w:val="99"/>
          <w:sz w:val="32"/>
        </w:rPr>
        <w:t>“</w:t>
      </w:r>
      <w:r>
        <w:rPr>
          <w:w w:val="99"/>
          <w:sz w:val="32"/>
        </w:rPr>
        <w:t>一</w:t>
      </w:r>
      <w:r>
        <w:rPr>
          <w:spacing w:val="3"/>
          <w:sz w:val="32"/>
        </w:rPr>
        <w:t>县一业</w:t>
      </w:r>
      <w:r>
        <w:rPr>
          <w:rFonts w:ascii="Times New Roman" w:hAnsi="Times New Roman" w:eastAsia="Times New Roman"/>
          <w:sz w:val="32"/>
        </w:rPr>
        <w:t>”“</w:t>
      </w:r>
      <w:r>
        <w:rPr>
          <w:spacing w:val="3"/>
          <w:sz w:val="32"/>
        </w:rPr>
        <w:t>一村一品</w:t>
      </w:r>
      <w:r>
        <w:rPr>
          <w:rFonts w:ascii="Times New Roman" w:hAnsi="Times New Roman" w:eastAsia="Times New Roman"/>
          <w:spacing w:val="4"/>
          <w:sz w:val="32"/>
        </w:rPr>
        <w:t>”</w:t>
      </w:r>
      <w:r>
        <w:rPr>
          <w:spacing w:val="2"/>
          <w:sz w:val="32"/>
        </w:rPr>
        <w:t>，打造</w:t>
      </w:r>
      <w:r>
        <w:rPr>
          <w:rFonts w:ascii="Times New Roman" w:hAnsi="Times New Roman" w:eastAsia="Times New Roman"/>
          <w:spacing w:val="4"/>
          <w:sz w:val="32"/>
        </w:rPr>
        <w:t>“</w:t>
      </w:r>
      <w:r>
        <w:rPr>
          <w:spacing w:val="2"/>
          <w:sz w:val="32"/>
        </w:rPr>
        <w:t>绿色食品牌</w:t>
      </w:r>
      <w:r>
        <w:rPr>
          <w:rFonts w:ascii="Times New Roman" w:hAnsi="Times New Roman" w:eastAsia="Times New Roman"/>
          <w:spacing w:val="4"/>
          <w:sz w:val="32"/>
        </w:rPr>
        <w:t>”</w:t>
      </w:r>
      <w:r>
        <w:rPr>
          <w:spacing w:val="2"/>
          <w:sz w:val="32"/>
        </w:rPr>
        <w:t>；深入实施</w:t>
      </w:r>
      <w:r>
        <w:rPr>
          <w:rFonts w:ascii="Times New Roman" w:hAnsi="Times New Roman" w:eastAsia="Times New Roman"/>
          <w:spacing w:val="4"/>
          <w:sz w:val="32"/>
        </w:rPr>
        <w:t>“</w:t>
      </w:r>
      <w:r>
        <w:rPr>
          <w:spacing w:val="3"/>
          <w:sz w:val="32"/>
        </w:rPr>
        <w:t>旅游革命</w:t>
      </w:r>
      <w:r>
        <w:rPr>
          <w:rFonts w:ascii="Times New Roman" w:hAnsi="Times New Roman" w:eastAsia="Times New Roman"/>
          <w:spacing w:val="3"/>
          <w:sz w:val="32"/>
        </w:rPr>
        <w:t>”</w:t>
      </w:r>
      <w:r>
        <w:rPr>
          <w:spacing w:val="3"/>
          <w:sz w:val="32"/>
        </w:rPr>
        <w:t>，加快融入大滇西旅游环线建设，打造</w:t>
      </w:r>
      <w:r>
        <w:rPr>
          <w:rFonts w:ascii="Times New Roman" w:hAnsi="Times New Roman" w:eastAsia="Times New Roman"/>
          <w:spacing w:val="3"/>
          <w:sz w:val="32"/>
        </w:rPr>
        <w:t>“</w:t>
      </w:r>
      <w:r>
        <w:rPr>
          <w:spacing w:val="3"/>
          <w:sz w:val="32"/>
        </w:rPr>
        <w:t>健康生活目的地牌</w:t>
      </w:r>
      <w:r>
        <w:rPr>
          <w:rFonts w:ascii="Times New Roman" w:hAnsi="Times New Roman" w:eastAsia="Times New Roman"/>
          <w:spacing w:val="3"/>
          <w:sz w:val="32"/>
        </w:rPr>
        <w:t>”</w:t>
      </w:r>
      <w:r>
        <w:rPr>
          <w:spacing w:val="3"/>
          <w:sz w:val="32"/>
        </w:rPr>
        <w:t>。</w:t>
      </w:r>
    </w:p>
    <w:p>
      <w:pPr>
        <w:pStyle w:val="7"/>
        <w:numPr>
          <w:ilvl w:val="0"/>
          <w:numId w:val="8"/>
        </w:numPr>
        <w:tabs>
          <w:tab w:val="left" w:pos="1263"/>
        </w:tabs>
        <w:spacing w:before="0" w:after="0" w:line="490" w:lineRule="exact"/>
        <w:ind w:left="1262" w:right="0" w:hanging="243"/>
        <w:jc w:val="left"/>
        <w:rPr>
          <w:sz w:val="32"/>
        </w:rPr>
      </w:pPr>
      <w:bookmarkStart w:id="4" w:name="2.加强战略性新兴产业质量支撑。以提质扩量为主线，强化创新驱动，培植骨干企业，着"/>
      <w:bookmarkEnd w:id="4"/>
      <w:bookmarkStart w:id="5" w:name="2.加强战略性新兴产业质量支撑。以提质扩量为主线，强化创新驱动，培植骨干企业，着"/>
      <w:bookmarkEnd w:id="5"/>
      <w:r>
        <w:rPr>
          <w:b/>
          <w:spacing w:val="1"/>
          <w:sz w:val="32"/>
        </w:rPr>
        <w:t>加强战略性新兴产业质量支撑。</w:t>
      </w:r>
      <w:r>
        <w:rPr>
          <w:sz w:val="32"/>
        </w:rPr>
        <w:t>以提质扩量为主线，</w:t>
      </w:r>
    </w:p>
    <w:p>
      <w:pPr>
        <w:pStyle w:val="3"/>
        <w:spacing w:before="85" w:line="280" w:lineRule="auto"/>
        <w:ind w:left="380" w:right="857"/>
        <w:jc w:val="both"/>
      </w:pPr>
      <w:r>
        <w:rPr>
          <w:spacing w:val="-3"/>
          <w:w w:val="95"/>
        </w:rPr>
        <w:t xml:space="preserve">强化创新驱动，培植骨干企业，着力打造电力装备制造、纺 </w:t>
      </w:r>
      <w:r>
        <w:rPr>
          <w:spacing w:val="-5"/>
        </w:rPr>
        <w:t>织服装、电子制造、原材料和大健康产业。充分利用盈江丰</w:t>
      </w:r>
      <w:r>
        <w:rPr>
          <w:spacing w:val="-7"/>
        </w:rPr>
        <w:t>富的水电资源优势，加速水电产业的优化整合，提高电力质</w:t>
      </w:r>
    </w:p>
    <w:p>
      <w:pPr>
        <w:spacing w:after="0" w:line="280" w:lineRule="auto"/>
        <w:jc w:val="both"/>
        <w:sectPr>
          <w:pgSz w:w="11910" w:h="16840"/>
          <w:pgMar w:top="1420" w:right="940" w:bottom="1380" w:left="1420" w:header="0" w:footer="1182" w:gutter="0"/>
        </w:sectPr>
      </w:pPr>
    </w:p>
    <w:p>
      <w:pPr>
        <w:pStyle w:val="3"/>
        <w:spacing w:before="3" w:line="280" w:lineRule="auto"/>
        <w:ind w:left="380" w:right="860"/>
        <w:jc w:val="both"/>
      </w:pPr>
      <w:r>
        <w:rPr>
          <w:spacing w:val="-4"/>
          <w:w w:val="95"/>
        </w:rPr>
        <w:t xml:space="preserve">量，加快智能电网建设，搭建更高效输送通道，重点打造清 </w:t>
      </w:r>
      <w:r>
        <w:rPr>
          <w:spacing w:val="-5"/>
          <w:w w:val="95"/>
        </w:rPr>
        <w:t xml:space="preserve">洁载能产业；围绕轻纺、服装加工完善产业配套，培育和引 </w:t>
      </w:r>
      <w:r>
        <w:rPr>
          <w:spacing w:val="7"/>
          <w:w w:val="95"/>
        </w:rPr>
        <w:t>进上下游企业形成服装产业集群，利用信息技术和</w:t>
      </w:r>
      <w:r>
        <w:rPr>
          <w:rFonts w:ascii="Times New Roman" w:hAnsi="Times New Roman" w:eastAsia="Times New Roman"/>
          <w:spacing w:val="7"/>
          <w:w w:val="95"/>
        </w:rPr>
        <w:t>“</w:t>
      </w:r>
      <w:r>
        <w:rPr>
          <w:spacing w:val="4"/>
          <w:w w:val="95"/>
        </w:rPr>
        <w:t>互联网</w:t>
      </w:r>
    </w:p>
    <w:p>
      <w:pPr>
        <w:pStyle w:val="3"/>
        <w:spacing w:line="280" w:lineRule="auto"/>
        <w:ind w:left="380" w:right="845"/>
        <w:jc w:val="both"/>
      </w:pPr>
      <w:r>
        <w:rPr>
          <w:rFonts w:ascii="Times New Roman" w:hAnsi="Times New Roman" w:eastAsia="Times New Roman"/>
        </w:rPr>
        <w:t>+”</w:t>
      </w:r>
      <w:r>
        <w:t>，开拓西南地区面向东南亚地区的服装线上线下市场，建成轻工及纺织服装出口加工基地；加大招商力度，引进电子元器件生产加工等项目落地建设，提供认证检测质量技术服务，发展电子产品制造、电子消费产品、汽车电子、基础元器件、机电产品等产业；加快传统建筑材料产业转型升级， 支持创新研发，培育若干建筑材料升规企业；实施优质原料基地建设、生物医药生产制造、民族药品牌提升、产业集聚化四大工程，重点发展中药饮片、民族药品、生物制剂等产品，打造现代生物医药产业集群。</w:t>
      </w:r>
    </w:p>
    <w:p>
      <w:pPr>
        <w:pStyle w:val="7"/>
        <w:numPr>
          <w:ilvl w:val="0"/>
          <w:numId w:val="8"/>
        </w:numPr>
        <w:tabs>
          <w:tab w:val="left" w:pos="1263"/>
        </w:tabs>
        <w:spacing w:before="0" w:after="0" w:line="492" w:lineRule="exact"/>
        <w:ind w:left="1262" w:right="0" w:hanging="243"/>
        <w:jc w:val="left"/>
        <w:rPr>
          <w:sz w:val="32"/>
        </w:rPr>
      </w:pPr>
      <w:bookmarkStart w:id="6" w:name="3.提高数字经济质量水平。围绕数字产业链关键环节，以资源数字化、数字产业化、产业"/>
      <w:bookmarkEnd w:id="6"/>
      <w:bookmarkStart w:id="7" w:name="3.提高数字经济质量水平。围绕数字产业链关键环节，以资源数字化、数字产业化、产业"/>
      <w:bookmarkEnd w:id="7"/>
      <w:r>
        <w:rPr>
          <w:b/>
          <w:spacing w:val="3"/>
          <w:sz w:val="32"/>
        </w:rPr>
        <w:t>提高数字经济质量水平。</w:t>
      </w:r>
      <w:r>
        <w:rPr>
          <w:sz w:val="32"/>
        </w:rPr>
        <w:t>围绕数字产业链关键环节，</w:t>
      </w:r>
    </w:p>
    <w:p>
      <w:pPr>
        <w:pStyle w:val="3"/>
        <w:spacing w:before="77" w:line="280" w:lineRule="auto"/>
        <w:ind w:left="380" w:right="698"/>
      </w:pPr>
      <w:r>
        <w:rPr>
          <w:spacing w:val="-3"/>
        </w:rPr>
        <w:t>以资源数字化、数字产业化、产业数字化为主线，推动电子</w:t>
      </w:r>
      <w:r>
        <w:rPr>
          <w:spacing w:val="-11"/>
        </w:rPr>
        <w:t xml:space="preserve">信息产品高端化升级。充分利用 </w:t>
      </w:r>
      <w:r>
        <w:rPr>
          <w:rFonts w:ascii="Times New Roman" w:hAnsi="Times New Roman" w:eastAsia="Times New Roman"/>
        </w:rPr>
        <w:t xml:space="preserve">5G </w:t>
      </w:r>
      <w:r>
        <w:rPr>
          <w:spacing w:val="-8"/>
        </w:rPr>
        <w:t>技术，加快商贸、物流、金融等服务业数字化发展，建设新型物流基础设施，推动大</w:t>
      </w:r>
      <w:r>
        <w:rPr>
          <w:spacing w:val="7"/>
        </w:rPr>
        <w:t>数据、区块链、人工智能、</w:t>
      </w:r>
      <w:r>
        <w:rPr>
          <w:rFonts w:ascii="Times New Roman" w:hAnsi="Times New Roman" w:eastAsia="Times New Roman"/>
        </w:rPr>
        <w:t xml:space="preserve">5G </w:t>
      </w:r>
      <w:r>
        <w:rPr>
          <w:spacing w:val="6"/>
        </w:rPr>
        <w:t>等新技术在运输、仓储、搬</w:t>
      </w:r>
      <w:r>
        <w:rPr>
          <w:spacing w:val="-1"/>
        </w:rPr>
        <w:t>卸装运等物流环节中的应用，建设跨境电子商务中心、跨境</w:t>
      </w:r>
      <w:r>
        <w:t>智慧物流中心。推动</w:t>
      </w:r>
      <w:r>
        <w:rPr>
          <w:rFonts w:ascii="Times New Roman" w:hAnsi="Times New Roman" w:eastAsia="Times New Roman"/>
        </w:rPr>
        <w:t>“</w:t>
      </w:r>
      <w:r>
        <w:rPr>
          <w:spacing w:val="1"/>
        </w:rPr>
        <w:t>互联网</w:t>
      </w:r>
      <w:r>
        <w:rPr>
          <w:rFonts w:ascii="Times New Roman" w:hAnsi="Times New Roman" w:eastAsia="Times New Roman"/>
        </w:rPr>
        <w:t>+</w:t>
      </w:r>
      <w:r>
        <w:t>医疗健康</w:t>
      </w:r>
      <w:r>
        <w:rPr>
          <w:rFonts w:ascii="Times New Roman" w:hAnsi="Times New Roman" w:eastAsia="Times New Roman"/>
        </w:rPr>
        <w:t>+5G+</w:t>
      </w:r>
      <w:r>
        <w:t>人工智能</w:t>
      </w:r>
      <w:r>
        <w:rPr>
          <w:rFonts w:ascii="Times New Roman" w:hAnsi="Times New Roman" w:eastAsia="Times New Roman"/>
        </w:rPr>
        <w:t>”</w:t>
      </w:r>
      <w:r>
        <w:t>融合</w:t>
      </w:r>
      <w:r>
        <w:rPr>
          <w:spacing w:val="-4"/>
        </w:rPr>
        <w:t>应用，开展人工智能医疗体系建设，提升个性化智能医疗服</w:t>
      </w:r>
      <w:r>
        <w:rPr>
          <w:spacing w:val="-5"/>
        </w:rPr>
        <w:t>务水平，增强面向终端消费者的检验检测、影像诊断等生物技术专业服务能力。深化数字政府建设，运用大数据、人工</w:t>
      </w:r>
      <w:r>
        <w:rPr>
          <w:spacing w:val="-15"/>
        </w:rPr>
        <w:t>智能技术探索可视化、移动化、智能化决策服务，加快</w:t>
      </w:r>
      <w:r>
        <w:rPr>
          <w:rFonts w:ascii="Times New Roman" w:hAnsi="Times New Roman" w:eastAsia="Times New Roman"/>
        </w:rPr>
        <w:t>“</w:t>
      </w:r>
      <w:r>
        <w:t>一部</w:t>
      </w:r>
    </w:p>
    <w:p>
      <w:pPr>
        <w:spacing w:after="0" w:line="280" w:lineRule="auto"/>
        <w:sectPr>
          <w:pgSz w:w="11910" w:h="16840"/>
          <w:pgMar w:top="1540" w:right="940" w:bottom="1380" w:left="1420" w:header="0" w:footer="1182" w:gutter="0"/>
        </w:sectPr>
      </w:pPr>
    </w:p>
    <w:p>
      <w:pPr>
        <w:pStyle w:val="3"/>
        <w:spacing w:before="3" w:line="280" w:lineRule="auto"/>
        <w:ind w:left="380" w:right="857"/>
      </w:pPr>
      <w:r>
        <w:rPr>
          <w:spacing w:val="14"/>
          <w:w w:val="95"/>
        </w:rPr>
        <w:t>手机办事通</w:t>
      </w:r>
      <w:r>
        <w:rPr>
          <w:rFonts w:ascii="Times New Roman" w:hAnsi="Times New Roman" w:eastAsia="Times New Roman"/>
          <w:spacing w:val="14"/>
          <w:w w:val="95"/>
        </w:rPr>
        <w:t>”</w:t>
      </w:r>
      <w:r>
        <w:rPr>
          <w:spacing w:val="14"/>
          <w:w w:val="95"/>
        </w:rPr>
        <w:t>迭代升级和推进</w:t>
      </w:r>
      <w:r>
        <w:rPr>
          <w:rFonts w:ascii="Times New Roman" w:hAnsi="Times New Roman" w:eastAsia="Times New Roman"/>
          <w:spacing w:val="14"/>
          <w:w w:val="95"/>
        </w:rPr>
        <w:t>“</w:t>
      </w:r>
      <w:r>
        <w:rPr>
          <w:spacing w:val="14"/>
          <w:w w:val="95"/>
        </w:rPr>
        <w:t>政务云</w:t>
      </w:r>
      <w:r>
        <w:rPr>
          <w:rFonts w:ascii="Times New Roman" w:hAnsi="Times New Roman" w:eastAsia="Times New Roman"/>
          <w:spacing w:val="14"/>
          <w:w w:val="95"/>
        </w:rPr>
        <w:t>”</w:t>
      </w:r>
      <w:r>
        <w:rPr>
          <w:spacing w:val="14"/>
          <w:w w:val="95"/>
        </w:rPr>
        <w:t>建设，实现</w:t>
      </w:r>
      <w:r>
        <w:rPr>
          <w:rFonts w:ascii="Times New Roman" w:hAnsi="Times New Roman" w:eastAsia="Times New Roman"/>
          <w:spacing w:val="16"/>
          <w:w w:val="95"/>
        </w:rPr>
        <w:t>“</w:t>
      </w:r>
      <w:r>
        <w:rPr>
          <w:spacing w:val="10"/>
          <w:w w:val="95"/>
        </w:rPr>
        <w:t xml:space="preserve">一网通 </w:t>
      </w:r>
      <w:r>
        <w:rPr>
          <w:spacing w:val="10"/>
        </w:rPr>
        <w:t>办</w:t>
      </w:r>
      <w:r>
        <w:rPr>
          <w:rFonts w:ascii="Times New Roman" w:hAnsi="Times New Roman" w:eastAsia="Times New Roman"/>
          <w:spacing w:val="10"/>
        </w:rPr>
        <w:t>”</w:t>
      </w:r>
      <w:r>
        <w:rPr>
          <w:spacing w:val="10"/>
        </w:rPr>
        <w:t>。</w:t>
      </w:r>
    </w:p>
    <w:p>
      <w:pPr>
        <w:pStyle w:val="7"/>
        <w:numPr>
          <w:ilvl w:val="0"/>
          <w:numId w:val="8"/>
        </w:numPr>
        <w:tabs>
          <w:tab w:val="left" w:pos="1263"/>
        </w:tabs>
        <w:spacing w:before="0" w:after="0" w:line="280" w:lineRule="auto"/>
        <w:ind w:left="380" w:right="737" w:firstLine="640"/>
        <w:jc w:val="both"/>
        <w:rPr>
          <w:sz w:val="32"/>
        </w:rPr>
      </w:pPr>
      <w:r>
        <w:pict>
          <v:shape id="_x0000_s1035" o:spid="_x0000_s1035" style="position:absolute;left:0pt;margin-left:84.35pt;margin-top:-65.75pt;height:337.65pt;width:453.55pt;mso-position-horizontal-relative:page;z-index:-252376064;mso-width-relative:page;mso-height-relative:page;" filled="f" stroked="t" coordorigin="1687,-1316" coordsize="9071,6753" path="m1687,5884l10758,5884m1687,6614l10758,6614m1687,12632l10758,12632m1692,5879l1692,12627m10753,5879l10753,12627e">
            <v:path arrowok="t"/>
            <v:fill on="f" focussize="0,0"/>
            <v:stroke weight="0.48pt" color="#000000"/>
            <v:imagedata o:title=""/>
            <o:lock v:ext="edit"/>
          </v:shape>
        </w:pict>
      </w:r>
      <w:bookmarkStart w:id="8" w:name="_bookmark4"/>
      <w:bookmarkEnd w:id="8"/>
      <w:bookmarkStart w:id="9" w:name="_bookmark4"/>
      <w:bookmarkEnd w:id="9"/>
      <w:bookmarkStart w:id="10" w:name="4.加快对外贸易创新升级。引导企业注重研发、技术、质量、品牌、专利、标准和服务等"/>
      <w:bookmarkEnd w:id="10"/>
      <w:r>
        <w:rPr>
          <w:b/>
          <w:spacing w:val="3"/>
          <w:sz w:val="32"/>
        </w:rPr>
        <w:t>加快对外贸易创新升级。</w:t>
      </w:r>
      <w:r>
        <w:rPr>
          <w:sz w:val="32"/>
        </w:rPr>
        <w:t>引导企业注重研发、技术、</w:t>
      </w:r>
      <w:r>
        <w:rPr>
          <w:spacing w:val="-3"/>
          <w:sz w:val="32"/>
        </w:rPr>
        <w:t>质量、品牌、专利、标准和服务等建设，支持企业创建和培</w:t>
      </w:r>
      <w:r>
        <w:rPr>
          <w:spacing w:val="-5"/>
          <w:sz w:val="32"/>
        </w:rPr>
        <w:t>育区域性品牌，探索开展境外专利认证申请、商标注册，提高产品和服务核心竞争力，增强国际市场话语权和议价权。打造</w:t>
      </w:r>
      <w:r>
        <w:rPr>
          <w:rFonts w:ascii="Times New Roman" w:hAnsi="Times New Roman" w:eastAsia="Times New Roman"/>
          <w:spacing w:val="-5"/>
          <w:sz w:val="32"/>
        </w:rPr>
        <w:t>“</w:t>
      </w:r>
      <w:r>
        <w:rPr>
          <w:spacing w:val="-5"/>
          <w:sz w:val="32"/>
        </w:rPr>
        <w:t>一带一路</w:t>
      </w:r>
      <w:r>
        <w:rPr>
          <w:rFonts w:ascii="Times New Roman" w:hAnsi="Times New Roman" w:eastAsia="Times New Roman"/>
          <w:spacing w:val="-5"/>
          <w:sz w:val="32"/>
        </w:rPr>
        <w:t>”</w:t>
      </w:r>
      <w:r>
        <w:rPr>
          <w:spacing w:val="-5"/>
          <w:sz w:val="32"/>
        </w:rPr>
        <w:t>南北联通重要枢纽，深化现代农业、纺织服</w:t>
      </w:r>
      <w:r>
        <w:rPr>
          <w:spacing w:val="-4"/>
          <w:sz w:val="32"/>
        </w:rPr>
        <w:t>装、电子电器等跨境产能合作，充分发挥龙头企业引领带动作用，加快发展外向型经济。培育一批食品、消费品、机电产品等行业</w:t>
      </w:r>
      <w:r>
        <w:rPr>
          <w:rFonts w:ascii="Times New Roman" w:hAnsi="Times New Roman" w:eastAsia="Times New Roman"/>
          <w:spacing w:val="-4"/>
          <w:sz w:val="32"/>
        </w:rPr>
        <w:t>“</w:t>
      </w:r>
      <w:r>
        <w:rPr>
          <w:spacing w:val="-4"/>
          <w:sz w:val="32"/>
        </w:rPr>
        <w:t>小巨人</w:t>
      </w:r>
      <w:r>
        <w:rPr>
          <w:rFonts w:ascii="Times New Roman" w:hAnsi="Times New Roman" w:eastAsia="Times New Roman"/>
          <w:spacing w:val="-4"/>
          <w:sz w:val="32"/>
        </w:rPr>
        <w:t>”</w:t>
      </w:r>
      <w:r>
        <w:rPr>
          <w:spacing w:val="-12"/>
          <w:sz w:val="32"/>
        </w:rPr>
        <w:t>企业，鼓励中小企业组建进出口联盟</w:t>
      </w:r>
      <w:r>
        <w:rPr>
          <w:rFonts w:ascii="Times New Roman" w:hAnsi="Times New Roman" w:eastAsia="Times New Roman"/>
          <w:sz w:val="32"/>
        </w:rPr>
        <w:t>“</w:t>
      </w:r>
      <w:r>
        <w:rPr>
          <w:sz w:val="32"/>
        </w:rPr>
        <w:t>抱团出海</w:t>
      </w:r>
      <w:r>
        <w:rPr>
          <w:rFonts w:ascii="Times New Roman" w:hAnsi="Times New Roman" w:eastAsia="Times New Roman"/>
          <w:sz w:val="32"/>
        </w:rPr>
        <w:t>”</w:t>
      </w:r>
      <w:r>
        <w:rPr>
          <w:sz w:val="32"/>
        </w:rPr>
        <w:t>，促进边合区</w:t>
      </w:r>
      <w:r>
        <w:rPr>
          <w:rFonts w:ascii="Times New Roman" w:hAnsi="Times New Roman" w:eastAsia="Times New Roman"/>
          <w:sz w:val="32"/>
        </w:rPr>
        <w:t>“</w:t>
      </w:r>
      <w:r>
        <w:rPr>
          <w:sz w:val="32"/>
        </w:rPr>
        <w:t>小组团</w:t>
      </w:r>
      <w:r>
        <w:rPr>
          <w:rFonts w:ascii="Times New Roman" w:hAnsi="Times New Roman" w:eastAsia="Times New Roman"/>
          <w:sz w:val="32"/>
        </w:rPr>
        <w:t>”</w:t>
      </w:r>
      <w:r>
        <w:rPr>
          <w:sz w:val="32"/>
        </w:rPr>
        <w:t>滚动开发，让更多盈江产品、盈江服务、盈江品牌</w:t>
      </w:r>
      <w:r>
        <w:rPr>
          <w:rFonts w:ascii="Times New Roman" w:hAnsi="Times New Roman" w:eastAsia="Times New Roman"/>
          <w:sz w:val="32"/>
        </w:rPr>
        <w:t>“</w:t>
      </w:r>
      <w:r>
        <w:rPr>
          <w:sz w:val="32"/>
        </w:rPr>
        <w:t>走出去</w:t>
      </w:r>
      <w:r>
        <w:rPr>
          <w:rFonts w:ascii="Times New Roman" w:hAnsi="Times New Roman" w:eastAsia="Times New Roman"/>
          <w:sz w:val="32"/>
        </w:rPr>
        <w:t>”</w:t>
      </w:r>
      <w:r>
        <w:rPr>
          <w:sz w:val="32"/>
        </w:rPr>
        <w:t>。</w:t>
      </w:r>
    </w:p>
    <w:p>
      <w:pPr>
        <w:tabs>
          <w:tab w:val="left" w:pos="1529"/>
        </w:tabs>
        <w:spacing w:before="24"/>
        <w:ind w:left="478" w:right="0" w:firstLine="0"/>
        <w:jc w:val="center"/>
        <w:rPr>
          <w:rFonts w:hint="eastAsia" w:ascii="方正黑体_GBK" w:eastAsia="方正黑体_GBK"/>
          <w:sz w:val="28"/>
        </w:rPr>
      </w:pPr>
      <w:r>
        <w:rPr>
          <w:rFonts w:hint="eastAsia" w:ascii="方正黑体_GBK" w:eastAsia="方正黑体_GBK"/>
          <w:sz w:val="28"/>
        </w:rPr>
        <w:t>专栏</w:t>
      </w:r>
      <w:r>
        <w:rPr>
          <w:rFonts w:hint="eastAsia" w:ascii="方正黑体_GBK" w:eastAsia="方正黑体_GBK"/>
          <w:spacing w:val="-9"/>
          <w:sz w:val="28"/>
        </w:rPr>
        <w:t xml:space="preserve"> </w:t>
      </w:r>
      <w:r>
        <w:rPr>
          <w:rFonts w:ascii="Times New Roman" w:eastAsia="Times New Roman"/>
          <w:sz w:val="28"/>
        </w:rPr>
        <w:t>1</w:t>
      </w:r>
      <w:r>
        <w:rPr>
          <w:rFonts w:ascii="Times New Roman" w:eastAsia="Times New Roman"/>
          <w:sz w:val="28"/>
        </w:rPr>
        <w:tab/>
      </w:r>
      <w:r>
        <w:rPr>
          <w:rFonts w:hint="eastAsia" w:ascii="方正黑体_GBK" w:eastAsia="方正黑体_GBK"/>
          <w:sz w:val="28"/>
        </w:rPr>
        <w:t>开</w:t>
      </w:r>
      <w:r>
        <w:rPr>
          <w:rFonts w:hint="eastAsia" w:ascii="方正黑体_GBK" w:eastAsia="方正黑体_GBK"/>
          <w:spacing w:val="-3"/>
          <w:sz w:val="28"/>
        </w:rPr>
        <w:t>展</w:t>
      </w:r>
      <w:r>
        <w:rPr>
          <w:rFonts w:hint="eastAsia" w:ascii="方正黑体_GBK" w:eastAsia="方正黑体_GBK"/>
          <w:sz w:val="28"/>
        </w:rPr>
        <w:t>重点</w:t>
      </w:r>
      <w:r>
        <w:rPr>
          <w:rFonts w:hint="eastAsia" w:ascii="方正黑体_GBK" w:eastAsia="方正黑体_GBK"/>
          <w:spacing w:val="-3"/>
          <w:sz w:val="28"/>
        </w:rPr>
        <w:t>产</w:t>
      </w:r>
      <w:r>
        <w:rPr>
          <w:rFonts w:hint="eastAsia" w:ascii="方正黑体_GBK" w:eastAsia="方正黑体_GBK"/>
          <w:sz w:val="28"/>
        </w:rPr>
        <w:t>业质</w:t>
      </w:r>
      <w:r>
        <w:rPr>
          <w:rFonts w:hint="eastAsia" w:ascii="方正黑体_GBK" w:eastAsia="方正黑体_GBK"/>
          <w:spacing w:val="-3"/>
          <w:sz w:val="28"/>
        </w:rPr>
        <w:t>量</w:t>
      </w:r>
      <w:r>
        <w:rPr>
          <w:rFonts w:hint="eastAsia" w:ascii="方正黑体_GBK" w:eastAsia="方正黑体_GBK"/>
          <w:sz w:val="28"/>
        </w:rPr>
        <w:t>提升</w:t>
      </w:r>
      <w:r>
        <w:rPr>
          <w:rFonts w:hint="eastAsia" w:ascii="方正黑体_GBK" w:eastAsia="方正黑体_GBK"/>
          <w:spacing w:val="-3"/>
          <w:sz w:val="28"/>
        </w:rPr>
        <w:t>行</w:t>
      </w:r>
      <w:r>
        <w:rPr>
          <w:rFonts w:hint="eastAsia" w:ascii="方正黑体_GBK" w:eastAsia="方正黑体_GBK"/>
          <w:sz w:val="28"/>
        </w:rPr>
        <w:t>动</w:t>
      </w:r>
    </w:p>
    <w:p>
      <w:pPr>
        <w:pStyle w:val="7"/>
        <w:numPr>
          <w:ilvl w:val="0"/>
          <w:numId w:val="9"/>
        </w:numPr>
        <w:tabs>
          <w:tab w:val="left" w:pos="1263"/>
        </w:tabs>
        <w:spacing w:before="242" w:after="0" w:line="280" w:lineRule="auto"/>
        <w:ind w:left="380" w:right="159" w:firstLine="640"/>
        <w:jc w:val="left"/>
        <w:rPr>
          <w:sz w:val="32"/>
        </w:rPr>
      </w:pPr>
      <w:r>
        <w:rPr>
          <w:sz w:val="32"/>
        </w:rPr>
        <w:t>推动支柱产业质量数字化再造。鼓励企业加强人工智能、</w:t>
      </w:r>
      <w:r>
        <w:rPr>
          <w:spacing w:val="-19"/>
          <w:w w:val="95"/>
          <w:sz w:val="32"/>
        </w:rPr>
        <w:t xml:space="preserve">大数据、区块链、云计算、物联网等新技术应用，推行精益生产、  </w:t>
      </w:r>
      <w:r>
        <w:rPr>
          <w:spacing w:val="-15"/>
          <w:sz w:val="32"/>
        </w:rPr>
        <w:t>智能制造、绿色制造等高效生产模式，建设数字化工厂、无人车</w:t>
      </w:r>
      <w:r>
        <w:rPr>
          <w:spacing w:val="-11"/>
          <w:sz w:val="32"/>
        </w:rPr>
        <w:t>间、无人生产线，加快产品和服务迭代升级，提高创意设计、优质制造和精细服务水平，更好对接多层次、个性化需求。</w:t>
      </w:r>
    </w:p>
    <w:p>
      <w:pPr>
        <w:pStyle w:val="7"/>
        <w:numPr>
          <w:ilvl w:val="0"/>
          <w:numId w:val="9"/>
        </w:numPr>
        <w:tabs>
          <w:tab w:val="left" w:pos="1263"/>
        </w:tabs>
        <w:spacing w:before="0" w:after="0" w:line="502" w:lineRule="exact"/>
        <w:ind w:left="1262" w:right="0" w:hanging="243"/>
        <w:jc w:val="left"/>
        <w:rPr>
          <w:sz w:val="32"/>
        </w:rPr>
      </w:pPr>
      <w:r>
        <w:rPr>
          <w:spacing w:val="-3"/>
          <w:sz w:val="32"/>
        </w:rPr>
        <w:t>厚植战略性新兴产业发展潜力。建立科技创新、产业发展</w:t>
      </w:r>
    </w:p>
    <w:p>
      <w:pPr>
        <w:pStyle w:val="3"/>
        <w:spacing w:before="85" w:line="280" w:lineRule="auto"/>
        <w:ind w:left="380" w:right="159"/>
      </w:pPr>
      <w:r>
        <w:rPr>
          <w:spacing w:val="-8"/>
        </w:rPr>
        <w:t>和质量提升协同发展机制，一体化推进研发创新、专利布局、标</w:t>
      </w:r>
      <w:r>
        <w:rPr>
          <w:spacing w:val="-19"/>
          <w:w w:val="95"/>
        </w:rPr>
        <w:t xml:space="preserve">准研制、设备升级、技能更新，夯实新兴产业优质发展质量基础，  </w:t>
      </w:r>
      <w:r>
        <w:rPr>
          <w:spacing w:val="-19"/>
        </w:rPr>
        <w:t>加快科技创新成果产业化发展进程，提升制造业总体质量水平。</w:t>
      </w:r>
    </w:p>
    <w:p>
      <w:pPr>
        <w:pStyle w:val="7"/>
        <w:numPr>
          <w:ilvl w:val="0"/>
          <w:numId w:val="9"/>
        </w:numPr>
        <w:tabs>
          <w:tab w:val="left" w:pos="1263"/>
        </w:tabs>
        <w:spacing w:before="0" w:after="0" w:line="507" w:lineRule="exact"/>
        <w:ind w:left="1262" w:right="0" w:hanging="243"/>
        <w:jc w:val="left"/>
        <w:rPr>
          <w:sz w:val="32"/>
        </w:rPr>
      </w:pPr>
      <w:r>
        <w:rPr>
          <w:sz w:val="32"/>
        </w:rPr>
        <w:t>完善数字经济质量标准。加快推进网络购物、在线教育、</w:t>
      </w:r>
    </w:p>
    <w:p>
      <w:pPr>
        <w:spacing w:after="0" w:line="507" w:lineRule="exact"/>
        <w:jc w:val="left"/>
        <w:rPr>
          <w:sz w:val="32"/>
        </w:rPr>
        <w:sectPr>
          <w:pgSz w:w="11910" w:h="16840"/>
          <w:pgMar w:top="1540" w:right="940" w:bottom="1380" w:left="1420" w:header="0" w:footer="1182" w:gutter="0"/>
        </w:sect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2"/>
        <w:rPr>
          <w:sz w:val="25"/>
        </w:rPr>
      </w:pPr>
    </w:p>
    <w:p>
      <w:pPr>
        <w:pStyle w:val="3"/>
        <w:spacing w:before="22"/>
        <w:ind w:right="159"/>
        <w:jc w:val="right"/>
      </w:pPr>
      <w:r>
        <w:pict>
          <v:shape id="_x0000_s1036" o:spid="_x0000_s1036" o:spt="202" type="#_x0000_t202" style="position:absolute;left:0pt;margin-left:84.55pt;margin-top:-245.15pt;height:300.5pt;width:453.05pt;mso-position-horizontal-relative:page;z-index:-252375040;mso-width-relative:page;mso-height-relative:page;" filled="f" stroked="t" coordsize="21600,21600">
            <v:path/>
            <v:fill on="f" focussize="0,0"/>
            <v:stroke weight="0.48pt" color="#000000"/>
            <v:imagedata o:title=""/>
            <o:lock v:ext="edit"/>
            <v:textbox inset="0mm,0mm,0mm,0mm">
              <w:txbxContent>
                <w:p>
                  <w:pPr>
                    <w:pStyle w:val="3"/>
                    <w:spacing w:before="121" w:line="280" w:lineRule="auto"/>
                    <w:ind w:left="103" w:right="102"/>
                    <w:jc w:val="both"/>
                  </w:pPr>
                  <w:r>
                    <w:rPr>
                      <w:spacing w:val="-11"/>
                      <w:w w:val="95"/>
                    </w:rPr>
                    <w:t xml:space="preserve">在线医疗、在线旅游、数字家庭、数字社区等各类数字化消费场  </w:t>
                  </w:r>
                  <w:r>
                    <w:rPr>
                      <w:spacing w:val="-15"/>
                      <w:w w:val="95"/>
                    </w:rPr>
                    <w:t xml:space="preserve">景标准化建设，支持和鼓励平台企业、行业组织等研究制定支撑 </w:t>
                  </w:r>
                  <w:r>
                    <w:rPr>
                      <w:spacing w:val="-15"/>
                    </w:rPr>
                    <w:t>数字消费的服务标准，改善数字消费质量体验。</w:t>
                  </w:r>
                </w:p>
                <w:p>
                  <w:pPr>
                    <w:pStyle w:val="3"/>
                    <w:spacing w:line="280" w:lineRule="auto"/>
                    <w:ind w:left="103" w:right="97" w:firstLine="640"/>
                    <w:jc w:val="both"/>
                  </w:pPr>
                  <w:r>
                    <w:rPr>
                      <w:rFonts w:ascii="Times New Roman" w:hAnsi="Times New Roman" w:eastAsia="Times New Roman"/>
                      <w:spacing w:val="2"/>
                      <w:w w:val="95"/>
                    </w:rPr>
                    <w:t>4.</w:t>
                  </w:r>
                  <w:r>
                    <w:rPr>
                      <w:spacing w:val="5"/>
                      <w:w w:val="95"/>
                    </w:rPr>
                    <w:t>提升绿色食品质量保障能力。围绕打造世界一流</w:t>
                  </w:r>
                  <w:r>
                    <w:rPr>
                      <w:rFonts w:ascii="Times New Roman" w:hAnsi="Times New Roman" w:eastAsia="Times New Roman"/>
                      <w:spacing w:val="4"/>
                      <w:w w:val="95"/>
                    </w:rPr>
                    <w:t>“</w:t>
                  </w:r>
                  <w:r>
                    <w:rPr>
                      <w:spacing w:val="4"/>
                      <w:w w:val="95"/>
                    </w:rPr>
                    <w:t xml:space="preserve">绿色食 </w:t>
                  </w:r>
                  <w:r>
                    <w:rPr>
                      <w:spacing w:val="4"/>
                    </w:rPr>
                    <w:t>品牌</w:t>
                  </w:r>
                  <w:r>
                    <w:rPr>
                      <w:rFonts w:ascii="Times New Roman" w:hAnsi="Times New Roman" w:eastAsia="Times New Roman"/>
                      <w:spacing w:val="3"/>
                    </w:rPr>
                    <w:t>”</w:t>
                  </w:r>
                  <w:r>
                    <w:t>，实施农药、兽药减量化行动，加强农用地、污染地块土</w:t>
                  </w:r>
                  <w:r>
                    <w:rPr>
                      <w:spacing w:val="-11"/>
                    </w:rPr>
                    <w:t>壤环境管理，稳步推进土壤污染治理与修复试点工作。健全完善</w:t>
                  </w:r>
                  <w:r>
                    <w:rPr>
                      <w:spacing w:val="-14"/>
                      <w:w w:val="95"/>
                    </w:rPr>
                    <w:t xml:space="preserve">标准体系，重点发展甘蔗、水果、蚕桑、肉牛、水产、粮食、冬 </w:t>
                  </w:r>
                  <w:r>
                    <w:rPr>
                      <w:spacing w:val="-16"/>
                    </w:rPr>
                    <w:t>早蔬菜等种养殖业，制定符合我县实际的生产技术规程，培育一</w:t>
                  </w:r>
                  <w:r>
                    <w:rPr>
                      <w:spacing w:val="-21"/>
                    </w:rPr>
                    <w:t>批独具特色、绿色生态、优质安全的特色农产品品牌和产业集群</w:t>
                  </w:r>
                </w:p>
                <w:p>
                  <w:pPr>
                    <w:pStyle w:val="3"/>
                    <w:spacing w:line="464" w:lineRule="exact"/>
                    <w:ind w:left="103"/>
                    <w:jc w:val="both"/>
                  </w:pPr>
                  <w:r>
                    <w:t>建设全县有示范带动作用的</w:t>
                  </w:r>
                  <w:r>
                    <w:rPr>
                      <w:rFonts w:ascii="Times New Roman" w:hAnsi="Times New Roman" w:eastAsia="Times New Roman"/>
                    </w:rPr>
                    <w:t>“</w:t>
                  </w:r>
                  <w:r>
                    <w:t>绿色食品牌</w:t>
                  </w:r>
                  <w:r>
                    <w:rPr>
                      <w:rFonts w:ascii="Times New Roman" w:hAnsi="Times New Roman" w:eastAsia="Times New Roman"/>
                    </w:rPr>
                    <w:t>”</w:t>
                  </w:r>
                  <w:r>
                    <w:t xml:space="preserve">产业基地 </w:t>
                  </w:r>
                  <w:r>
                    <w:rPr>
                      <w:rFonts w:ascii="Times New Roman" w:hAnsi="Times New Roman" w:eastAsia="Times New Roman"/>
                    </w:rPr>
                    <w:t xml:space="preserve">12 </w:t>
                  </w:r>
                  <w:r>
                    <w:t>个。</w:t>
                  </w:r>
                </w:p>
              </w:txbxContent>
            </v:textbox>
          </v:shape>
        </w:pict>
      </w:r>
      <w:r>
        <w:rPr>
          <w:w w:val="99"/>
        </w:rPr>
        <w:t>。</w:t>
      </w:r>
    </w:p>
    <w:p>
      <w:pPr>
        <w:pStyle w:val="3"/>
        <w:rPr>
          <w:sz w:val="20"/>
        </w:rPr>
      </w:pPr>
    </w:p>
    <w:p>
      <w:pPr>
        <w:pStyle w:val="3"/>
        <w:spacing w:before="3"/>
        <w:rPr>
          <w:sz w:val="22"/>
        </w:rPr>
      </w:pPr>
    </w:p>
    <w:p>
      <w:pPr>
        <w:pStyle w:val="3"/>
        <w:spacing w:before="28"/>
        <w:ind w:left="1020"/>
        <w:rPr>
          <w:rFonts w:hint="eastAsia" w:ascii="方正楷体_GBK" w:eastAsia="方正楷体_GBK"/>
        </w:rPr>
      </w:pPr>
      <w:bookmarkStart w:id="11" w:name="_bookmark5"/>
      <w:bookmarkEnd w:id="11"/>
      <w:bookmarkStart w:id="12" w:name="（二）开展大众消费质量提升行动                 "/>
      <w:bookmarkEnd w:id="12"/>
      <w:r>
        <w:rPr>
          <w:rFonts w:hint="eastAsia" w:ascii="方正楷体_GBK" w:eastAsia="方正楷体_GBK"/>
        </w:rPr>
        <w:t>（二）开展大众消费质量提升行动</w:t>
      </w:r>
    </w:p>
    <w:p>
      <w:pPr>
        <w:pStyle w:val="7"/>
        <w:numPr>
          <w:ilvl w:val="0"/>
          <w:numId w:val="10"/>
        </w:numPr>
        <w:tabs>
          <w:tab w:val="left" w:pos="1263"/>
        </w:tabs>
        <w:spacing w:before="97" w:after="0" w:line="283" w:lineRule="auto"/>
        <w:ind w:left="380" w:right="845" w:firstLine="640"/>
        <w:jc w:val="both"/>
        <w:rPr>
          <w:rFonts w:hint="eastAsia" w:ascii="仿宋_GB2312" w:hAnsi="仿宋_GB2312" w:eastAsia="仿宋_GB2312"/>
          <w:sz w:val="32"/>
        </w:rPr>
      </w:pPr>
      <w:bookmarkStart w:id="13" w:name="1.促进产品供给高端化优质化。以安全、绿色、品质、高端为导向，促进农产品、食品、"/>
      <w:bookmarkEnd w:id="13"/>
      <w:bookmarkStart w:id="14" w:name="1.促进产品供给高端化优质化。以安全、绿色、品质、高端为导向，促进农产品、食品、"/>
      <w:bookmarkEnd w:id="14"/>
      <w:r>
        <w:rPr>
          <w:b/>
          <w:spacing w:val="2"/>
          <w:w w:val="95"/>
          <w:sz w:val="32"/>
        </w:rPr>
        <w:t>促进产品供给高端化优质化。</w:t>
      </w:r>
      <w:r>
        <w:rPr>
          <w:w w:val="95"/>
          <w:sz w:val="32"/>
        </w:rPr>
        <w:t xml:space="preserve">以安全、绿色、品质、 </w:t>
      </w:r>
      <w:r>
        <w:rPr>
          <w:spacing w:val="-13"/>
          <w:sz w:val="32"/>
        </w:rPr>
        <w:t>高端为导向，促进农产品、食品、消费品提质升级。以</w:t>
      </w:r>
      <w:r>
        <w:rPr>
          <w:rFonts w:ascii="Times New Roman" w:hAnsi="Times New Roman" w:eastAsia="Times New Roman"/>
          <w:sz w:val="32"/>
        </w:rPr>
        <w:t>“</w:t>
      </w:r>
      <w:r>
        <w:rPr>
          <w:sz w:val="32"/>
        </w:rPr>
        <w:t>三品一标</w:t>
      </w:r>
      <w:r>
        <w:rPr>
          <w:rFonts w:ascii="Times New Roman" w:hAnsi="Times New Roman" w:eastAsia="Times New Roman"/>
          <w:sz w:val="32"/>
        </w:rPr>
        <w:t>”</w:t>
      </w:r>
      <w:r>
        <w:rPr>
          <w:spacing w:val="-14"/>
          <w:sz w:val="32"/>
        </w:rPr>
        <w:t>为基础，推进标准化、规范化、绿色化农业生产，树立</w:t>
      </w:r>
      <w:r>
        <w:rPr>
          <w:spacing w:val="-10"/>
          <w:sz w:val="32"/>
        </w:rPr>
        <w:t>农产品质量标杆，打造一批名、特、优、新、稀农产品。实施绿色食品质量系统提升工程，推动品种培优、品质提升、</w:t>
      </w:r>
      <w:r>
        <w:rPr>
          <w:spacing w:val="-7"/>
          <w:sz w:val="32"/>
        </w:rPr>
        <w:t>品牌打造、标准化生产和流通体系建设，增强绿色食品优质</w:t>
      </w:r>
      <w:r>
        <w:rPr>
          <w:rFonts w:hint="eastAsia" w:ascii="仿宋_GB2312" w:hAnsi="仿宋_GB2312" w:eastAsia="仿宋_GB2312"/>
          <w:spacing w:val="-6"/>
          <w:sz w:val="32"/>
        </w:rPr>
        <w:t>供给能力。鼓励支持企业运用新一代信息技术推动产品和服</w:t>
      </w:r>
    </w:p>
    <w:p>
      <w:pPr>
        <w:pStyle w:val="3"/>
        <w:spacing w:before="110" w:line="350" w:lineRule="auto"/>
        <w:ind w:left="380" w:right="813"/>
        <w:rPr>
          <w:rFonts w:hint="eastAsia" w:ascii="仿宋_GB2312" w:eastAsia="仿宋_GB2312"/>
        </w:rPr>
      </w:pPr>
      <w:r>
        <w:rPr>
          <w:rFonts w:hint="eastAsia" w:ascii="仿宋_GB2312" w:eastAsia="仿宋_GB2312"/>
        </w:rPr>
        <w:t>务向生态化、创意化、智能化、高端化升级，提升消费品质量和档次。</w:t>
      </w:r>
    </w:p>
    <w:p>
      <w:pPr>
        <w:pStyle w:val="7"/>
        <w:numPr>
          <w:ilvl w:val="0"/>
          <w:numId w:val="10"/>
        </w:numPr>
        <w:tabs>
          <w:tab w:val="left" w:pos="1263"/>
        </w:tabs>
        <w:spacing w:before="0" w:after="0" w:line="478" w:lineRule="exact"/>
        <w:ind w:left="1262" w:right="0" w:hanging="243"/>
        <w:jc w:val="left"/>
        <w:rPr>
          <w:rFonts w:hint="eastAsia" w:ascii="仿宋_GB2312" w:eastAsia="仿宋_GB2312"/>
          <w:sz w:val="32"/>
        </w:rPr>
      </w:pPr>
      <w:bookmarkStart w:id="15" w:name="2.促进建筑工程品质化绿色化。开展建筑工程品质提升行动，健全工程质量管理体系和工"/>
      <w:bookmarkEnd w:id="15"/>
      <w:bookmarkStart w:id="16" w:name="2.促进建筑工程品质化绿色化。开展建筑工程品质提升行动，健全工程质量管理体系和工"/>
      <w:bookmarkEnd w:id="16"/>
      <w:r>
        <w:rPr>
          <w:b/>
          <w:spacing w:val="2"/>
          <w:sz w:val="32"/>
        </w:rPr>
        <w:t>促进建筑工程品质化绿色化。</w:t>
      </w:r>
      <w:r>
        <w:rPr>
          <w:rFonts w:hint="eastAsia" w:ascii="仿宋_GB2312" w:eastAsia="仿宋_GB2312"/>
          <w:sz w:val="32"/>
        </w:rPr>
        <w:t>开展建筑工程品质提升</w:t>
      </w:r>
    </w:p>
    <w:p>
      <w:pPr>
        <w:pStyle w:val="3"/>
        <w:spacing w:before="125" w:line="350" w:lineRule="auto"/>
        <w:ind w:left="380" w:right="813"/>
        <w:rPr>
          <w:rFonts w:hint="eastAsia" w:ascii="仿宋_GB2312" w:eastAsia="仿宋_GB2312"/>
        </w:rPr>
      </w:pPr>
      <w:r>
        <w:rPr>
          <w:rFonts w:hint="eastAsia" w:ascii="仿宋_GB2312" w:eastAsia="仿宋_GB2312"/>
        </w:rPr>
        <w:t>行动，健全工程质量管理体系和工程质量评价机制，提高房屋建筑和市政基础设施工程、交通建设工程、水利工程质量</w:t>
      </w:r>
    </w:p>
    <w:p>
      <w:pPr>
        <w:spacing w:after="0" w:line="350" w:lineRule="auto"/>
        <w:rPr>
          <w:rFonts w:hint="eastAsia" w:ascii="仿宋_GB2312" w:eastAsia="仿宋_GB2312"/>
        </w:rPr>
        <w:sectPr>
          <w:pgSz w:w="11910" w:h="16840"/>
          <w:pgMar w:top="1420" w:right="940" w:bottom="1380" w:left="1420" w:header="0" w:footer="1182" w:gutter="0"/>
        </w:sectPr>
      </w:pPr>
    </w:p>
    <w:p>
      <w:pPr>
        <w:pStyle w:val="3"/>
        <w:spacing w:before="43" w:line="343" w:lineRule="auto"/>
        <w:ind w:left="380" w:right="857"/>
        <w:jc w:val="both"/>
      </w:pPr>
      <w:r>
        <w:rPr>
          <w:rFonts w:hint="eastAsia" w:ascii="仿宋_GB2312" w:eastAsia="仿宋_GB2312"/>
          <w:spacing w:val="-4"/>
        </w:rPr>
        <w:t>水平，打造优质工程、精品工程，争创云南省房屋市政工程</w:t>
      </w:r>
      <w:r>
        <w:rPr>
          <w:rFonts w:hint="eastAsia" w:ascii="仿宋_GB2312" w:eastAsia="仿宋_GB2312"/>
          <w:spacing w:val="11"/>
          <w:w w:val="95"/>
        </w:rPr>
        <w:t xml:space="preserve">安全生产标准化示范项目和云南省房屋市政工程安全生产 </w:t>
      </w:r>
      <w:r>
        <w:rPr>
          <w:rFonts w:hint="eastAsia" w:ascii="仿宋_GB2312" w:eastAsia="仿宋_GB2312"/>
        </w:rPr>
        <w:t>标准化示范工地。强化房屋建筑关键部位和工序质量安全管</w:t>
      </w:r>
      <w:r>
        <w:rPr>
          <w:rFonts w:hint="eastAsia" w:ascii="仿宋_GB2312" w:eastAsia="仿宋_GB2312"/>
          <w:w w:val="95"/>
        </w:rPr>
        <w:t>控</w:t>
      </w:r>
      <w:r>
        <w:rPr>
          <w:spacing w:val="-4"/>
          <w:w w:val="95"/>
        </w:rPr>
        <w:t>，严格房屋装修用料、施工工艺质量安全管控，打造高品</w:t>
      </w:r>
    </w:p>
    <w:p>
      <w:pPr>
        <w:pStyle w:val="3"/>
        <w:spacing w:line="380" w:lineRule="exact"/>
        <w:ind w:left="380"/>
      </w:pPr>
      <w:r>
        <w:rPr>
          <w:spacing w:val="-3"/>
          <w:w w:val="95"/>
        </w:rPr>
        <w:t>质美丽县城。开展农房抗震改造和农村危房改造，加强农房</w:t>
      </w:r>
    </w:p>
    <w:p>
      <w:pPr>
        <w:pStyle w:val="3"/>
        <w:spacing w:before="85" w:line="280" w:lineRule="auto"/>
        <w:ind w:left="380" w:right="857"/>
        <w:jc w:val="both"/>
      </w:pPr>
      <w:r>
        <w:rPr>
          <w:spacing w:val="-2"/>
        </w:rPr>
        <w:t>建设的指导和监督，强化农村建筑工匠培训与管理，开展农</w:t>
      </w:r>
      <w:r>
        <w:rPr>
          <w:spacing w:val="-4"/>
        </w:rPr>
        <w:t>房质量安全隐患排查整治，提升农房建设质量。发展绿色建</w:t>
      </w:r>
      <w:r>
        <w:rPr>
          <w:spacing w:val="-4"/>
          <w:w w:val="95"/>
        </w:rPr>
        <w:t xml:space="preserve">筑，鼓励使用绿色建材、新型墙体材料。全面推进城市更新 </w:t>
      </w:r>
      <w:r>
        <w:rPr>
          <w:spacing w:val="-4"/>
        </w:rPr>
        <w:t>改造提升行动，建设品质城镇、绿色城镇、特色小镇。</w:t>
      </w:r>
    </w:p>
    <w:p>
      <w:pPr>
        <w:pStyle w:val="7"/>
        <w:numPr>
          <w:ilvl w:val="0"/>
          <w:numId w:val="10"/>
        </w:numPr>
        <w:tabs>
          <w:tab w:val="left" w:pos="1263"/>
        </w:tabs>
        <w:spacing w:before="0" w:after="0" w:line="280" w:lineRule="auto"/>
        <w:ind w:left="380" w:right="699" w:firstLine="640"/>
        <w:jc w:val="left"/>
        <w:rPr>
          <w:sz w:val="32"/>
        </w:rPr>
      </w:pPr>
      <w:bookmarkStart w:id="17" w:name="3.促进民生服务多样化精细化。积极适应城镇化加速发展趋势，优化社区教育、文化、医"/>
      <w:bookmarkEnd w:id="17"/>
      <w:bookmarkStart w:id="18" w:name="3.促进民生服务多样化精细化。积极适应城镇化加速发展趋势，优化社区教育、文化、医"/>
      <w:bookmarkEnd w:id="18"/>
      <w:r>
        <w:rPr>
          <w:b/>
          <w:spacing w:val="2"/>
          <w:sz w:val="32"/>
        </w:rPr>
        <w:t>促进民生服务多样化精细化。</w:t>
      </w:r>
      <w:r>
        <w:rPr>
          <w:sz w:val="32"/>
        </w:rPr>
        <w:t>积极适应城镇化加速发展趋势，优化社区教育、文化、医疗、养老、托育、家政、</w:t>
      </w:r>
      <w:r>
        <w:rPr>
          <w:spacing w:val="-2"/>
          <w:sz w:val="32"/>
        </w:rPr>
        <w:t>配送等便民服务设施布局，推进线上线下生活消费服务融合</w:t>
      </w:r>
      <w:r>
        <w:rPr>
          <w:spacing w:val="-4"/>
          <w:sz w:val="32"/>
        </w:rPr>
        <w:t>发展。引导家政服务业专业化、规范化发展，培育家政服务</w:t>
      </w:r>
      <w:r>
        <w:rPr>
          <w:spacing w:val="-5"/>
          <w:sz w:val="32"/>
        </w:rPr>
        <w:t>知名品牌。发展老年公寓、老年社区、照料中心等不同模式</w:t>
      </w:r>
      <w:r>
        <w:rPr>
          <w:spacing w:val="-6"/>
          <w:sz w:val="32"/>
        </w:rPr>
        <w:t>的高端养老物业服务。大力发展康复期护理、稳定期生活照</w:t>
      </w:r>
      <w:r>
        <w:rPr>
          <w:spacing w:val="-4"/>
          <w:sz w:val="32"/>
        </w:rPr>
        <w:t>料、安宁疗护一体化的健康养生服务体系。健全现代流通体</w:t>
      </w:r>
      <w:r>
        <w:rPr>
          <w:spacing w:val="-15"/>
          <w:w w:val="95"/>
          <w:sz w:val="32"/>
        </w:rPr>
        <w:t xml:space="preserve">系，加快冷链物流布局和建设。探索建立优质服务承诺制度， </w:t>
      </w:r>
      <w:r>
        <w:rPr>
          <w:spacing w:val="-15"/>
          <w:sz w:val="32"/>
        </w:rPr>
        <w:t>鼓励引导市场主体实施更高标准、提供更优服务，不断提高服务供给质量。</w:t>
      </w:r>
    </w:p>
    <w:p>
      <w:pPr>
        <w:pStyle w:val="7"/>
        <w:numPr>
          <w:ilvl w:val="0"/>
          <w:numId w:val="10"/>
        </w:numPr>
        <w:tabs>
          <w:tab w:val="left" w:pos="1264"/>
        </w:tabs>
        <w:spacing w:before="0" w:after="0" w:line="490" w:lineRule="exact"/>
        <w:ind w:left="1263" w:right="0" w:hanging="244"/>
        <w:jc w:val="left"/>
        <w:rPr>
          <w:sz w:val="32"/>
        </w:rPr>
      </w:pPr>
      <w:bookmarkStart w:id="19" w:name="_bookmark9"/>
      <w:bookmarkEnd w:id="19"/>
      <w:bookmarkStart w:id="20" w:name="_bookmark9"/>
      <w:bookmarkEnd w:id="20"/>
      <w:bookmarkStart w:id="21" w:name="4.促进旅游服务特色化智慧化。深入实施“旅游革命”，规范旅游市场秩序，着力推进优"/>
      <w:bookmarkEnd w:id="21"/>
      <w:r>
        <w:rPr>
          <w:b/>
          <w:spacing w:val="5"/>
          <w:sz w:val="32"/>
        </w:rPr>
        <w:t>促进旅游服务特色化智慧化。</w:t>
      </w:r>
      <w:r>
        <w:rPr>
          <w:spacing w:val="5"/>
          <w:sz w:val="32"/>
        </w:rPr>
        <w:t>深入实施</w:t>
      </w:r>
      <w:r>
        <w:rPr>
          <w:rFonts w:ascii="Times New Roman" w:hAnsi="Times New Roman" w:eastAsia="Times New Roman"/>
          <w:sz w:val="32"/>
        </w:rPr>
        <w:t>“</w:t>
      </w:r>
      <w:r>
        <w:rPr>
          <w:spacing w:val="5"/>
          <w:sz w:val="32"/>
        </w:rPr>
        <w:t>旅游革命</w:t>
      </w:r>
      <w:r>
        <w:rPr>
          <w:rFonts w:ascii="Times New Roman" w:hAnsi="Times New Roman" w:eastAsia="Times New Roman"/>
          <w:sz w:val="32"/>
        </w:rPr>
        <w:t>”</w:t>
      </w:r>
      <w:r>
        <w:rPr>
          <w:sz w:val="32"/>
        </w:rPr>
        <w:t>，</w:t>
      </w:r>
    </w:p>
    <w:p>
      <w:pPr>
        <w:pStyle w:val="3"/>
        <w:spacing w:before="74" w:line="280" w:lineRule="auto"/>
        <w:ind w:left="380" w:right="857"/>
        <w:jc w:val="both"/>
      </w:pPr>
      <w:r>
        <w:rPr>
          <w:spacing w:val="-2"/>
        </w:rPr>
        <w:t>规范旅游市场秩序，着力推进优质旅游要素供给、特色旅游</w:t>
      </w:r>
      <w:r>
        <w:rPr>
          <w:spacing w:val="-14"/>
          <w:w w:val="95"/>
        </w:rPr>
        <w:t>产品打造、旅游产业体系完善三项重点任务，着力打造</w:t>
      </w:r>
      <w:r>
        <w:rPr>
          <w:rFonts w:ascii="Times New Roman" w:hAnsi="Times New Roman" w:eastAsia="Times New Roman"/>
          <w:w w:val="95"/>
        </w:rPr>
        <w:t>“</w:t>
      </w:r>
      <w:r>
        <w:rPr>
          <w:w w:val="95"/>
        </w:rPr>
        <w:t xml:space="preserve">观鸟 </w:t>
      </w:r>
      <w:r>
        <w:t>圣地</w:t>
      </w:r>
      <w:r>
        <w:rPr>
          <w:rFonts w:ascii="Times New Roman" w:hAnsi="Times New Roman" w:eastAsia="Times New Roman"/>
          <w:spacing w:val="3"/>
        </w:rPr>
        <w:t>•</w:t>
      </w:r>
      <w:r>
        <w:t>全景盈江</w:t>
      </w:r>
      <w:r>
        <w:rPr>
          <w:rFonts w:ascii="Times New Roman" w:hAnsi="Times New Roman" w:eastAsia="Times New Roman"/>
        </w:rPr>
        <w:t>”</w:t>
      </w:r>
      <w:r>
        <w:t>旅游品牌，推动文化和旅游、康养和旅游、</w:t>
      </w:r>
    </w:p>
    <w:p>
      <w:pPr>
        <w:spacing w:after="0" w:line="280" w:lineRule="auto"/>
        <w:jc w:val="both"/>
        <w:sectPr>
          <w:pgSz w:w="11910" w:h="16840"/>
          <w:pgMar w:top="1540" w:right="940" w:bottom="1380" w:left="1420" w:header="0" w:footer="1182" w:gutter="0"/>
        </w:sectPr>
      </w:pPr>
    </w:p>
    <w:p>
      <w:pPr>
        <w:pStyle w:val="3"/>
        <w:spacing w:before="3" w:line="280" w:lineRule="auto"/>
        <w:ind w:left="380" w:right="845"/>
        <w:jc w:val="both"/>
      </w:pPr>
      <w:r>
        <w:pict>
          <v:shape id="_x0000_s1037" o:spid="_x0000_s1037" style="position:absolute;left:0pt;margin-left:84.35pt;margin-top:-5.2pt;height:457.25pt;width:453.55pt;mso-position-horizontal-relative:page;z-index:-252374016;mso-width-relative:page;mso-height-relative:page;" filled="f" stroked="t" coordorigin="1687,-105" coordsize="9071,9145" path="m1687,4687l10758,4687m1687,5417l10758,5417m1687,13827l10758,13827m1692,4682l1692,13822m10753,4682l10753,13822e">
            <v:path arrowok="t"/>
            <v:fill on="f" focussize="0,0"/>
            <v:stroke weight="0.48pt" color="#000000"/>
            <v:imagedata o:title=""/>
            <o:lock v:ext="edit"/>
          </v:shape>
        </w:pict>
      </w:r>
      <w:r>
        <w:rPr>
          <w:spacing w:val="-2"/>
        </w:rPr>
        <w:t>医疗和旅游深度融合，加快旅游品牌高端化、旅游服务智慧</w:t>
      </w:r>
      <w:r>
        <w:rPr>
          <w:spacing w:val="-3"/>
        </w:rPr>
        <w:t>化、旅游产品特色化发展。依托数字技术推进业态融合、产</w:t>
      </w:r>
      <w:r>
        <w:rPr>
          <w:spacing w:val="-4"/>
        </w:rPr>
        <w:t>品融合、市场融合、服务融合、交流融合，提高旅游产品供给质量和旅游服务质量。深入推进高星级酒店、半山酒店、</w:t>
      </w:r>
      <w:r>
        <w:rPr>
          <w:spacing w:val="-5"/>
        </w:rPr>
        <w:t xml:space="preserve">精品旅游饭店、民族特色客栈、户外旅游营地、研学旅游基地、旅游交通设施等建设，创建 </w:t>
      </w:r>
      <w:r>
        <w:rPr>
          <w:rFonts w:ascii="Times New Roman" w:eastAsia="Times New Roman"/>
        </w:rPr>
        <w:t xml:space="preserve">3A </w:t>
      </w:r>
      <w:r>
        <w:rPr>
          <w:spacing w:val="-9"/>
        </w:rPr>
        <w:t xml:space="preserve">级以上景区 </w:t>
      </w:r>
      <w:r>
        <w:rPr>
          <w:rFonts w:ascii="Times New Roman" w:eastAsia="Times New Roman"/>
        </w:rPr>
        <w:t xml:space="preserve">3 </w:t>
      </w:r>
      <w:r>
        <w:rPr>
          <w:spacing w:val="2"/>
        </w:rPr>
        <w:t>个和省旅</w:t>
      </w:r>
      <w:r>
        <w:rPr>
          <w:spacing w:val="-8"/>
        </w:rPr>
        <w:t xml:space="preserve">游扶贫示范镇 </w:t>
      </w:r>
      <w:r>
        <w:rPr>
          <w:rFonts w:ascii="Times New Roman" w:eastAsia="Times New Roman"/>
        </w:rPr>
        <w:t xml:space="preserve">1 </w:t>
      </w:r>
      <w:r>
        <w:rPr>
          <w:spacing w:val="-3"/>
        </w:rPr>
        <w:t>个、旅游扶贫示范</w:t>
      </w:r>
      <w:r>
        <w:t>（乡</w:t>
      </w:r>
      <w:r>
        <w:rPr>
          <w:spacing w:val="-3"/>
        </w:rPr>
        <w:t>）</w:t>
      </w:r>
      <w:r>
        <w:rPr>
          <w:spacing w:val="-32"/>
        </w:rPr>
        <w:t xml:space="preserve">村 </w:t>
      </w:r>
      <w:r>
        <w:rPr>
          <w:rFonts w:ascii="Times New Roman" w:eastAsia="Times New Roman"/>
        </w:rPr>
        <w:t xml:space="preserve">1 </w:t>
      </w:r>
      <w:r>
        <w:rPr>
          <w:spacing w:val="-2"/>
        </w:rPr>
        <w:t>个，建设一批美食街区、精品农家乐、特色宴席、特色美食等。</w:t>
      </w:r>
    </w:p>
    <w:p>
      <w:pPr>
        <w:tabs>
          <w:tab w:val="left" w:pos="1529"/>
        </w:tabs>
        <w:spacing w:before="34"/>
        <w:ind w:left="478" w:right="0" w:firstLine="0"/>
        <w:jc w:val="center"/>
        <w:rPr>
          <w:rFonts w:hint="eastAsia" w:ascii="方正黑体_GBK" w:eastAsia="方正黑体_GBK"/>
          <w:sz w:val="28"/>
        </w:rPr>
      </w:pPr>
      <w:r>
        <w:rPr>
          <w:rFonts w:hint="eastAsia" w:ascii="方正黑体_GBK" w:eastAsia="方正黑体_GBK"/>
          <w:sz w:val="28"/>
        </w:rPr>
        <w:t>专栏</w:t>
      </w:r>
      <w:r>
        <w:rPr>
          <w:rFonts w:hint="eastAsia" w:ascii="方正黑体_GBK" w:eastAsia="方正黑体_GBK"/>
          <w:spacing w:val="-9"/>
          <w:sz w:val="28"/>
        </w:rPr>
        <w:t xml:space="preserve"> </w:t>
      </w:r>
      <w:r>
        <w:rPr>
          <w:rFonts w:ascii="Times New Roman" w:eastAsia="Times New Roman"/>
          <w:sz w:val="28"/>
        </w:rPr>
        <w:t>2</w:t>
      </w:r>
      <w:r>
        <w:rPr>
          <w:rFonts w:ascii="Times New Roman" w:eastAsia="Times New Roman"/>
          <w:sz w:val="28"/>
        </w:rPr>
        <w:tab/>
      </w:r>
      <w:r>
        <w:rPr>
          <w:rFonts w:hint="eastAsia" w:ascii="方正黑体_GBK" w:eastAsia="方正黑体_GBK"/>
          <w:sz w:val="28"/>
        </w:rPr>
        <w:t>开</w:t>
      </w:r>
      <w:r>
        <w:rPr>
          <w:rFonts w:hint="eastAsia" w:ascii="方正黑体_GBK" w:eastAsia="方正黑体_GBK"/>
          <w:spacing w:val="-3"/>
          <w:sz w:val="28"/>
        </w:rPr>
        <w:t>展</w:t>
      </w:r>
      <w:r>
        <w:rPr>
          <w:rFonts w:hint="eastAsia" w:ascii="方正黑体_GBK" w:eastAsia="方正黑体_GBK"/>
          <w:sz w:val="28"/>
        </w:rPr>
        <w:t>大众</w:t>
      </w:r>
      <w:r>
        <w:rPr>
          <w:rFonts w:hint="eastAsia" w:ascii="方正黑体_GBK" w:eastAsia="方正黑体_GBK"/>
          <w:spacing w:val="-3"/>
          <w:sz w:val="28"/>
        </w:rPr>
        <w:t>消</w:t>
      </w:r>
      <w:r>
        <w:rPr>
          <w:rFonts w:hint="eastAsia" w:ascii="方正黑体_GBK" w:eastAsia="方正黑体_GBK"/>
          <w:sz w:val="28"/>
        </w:rPr>
        <w:t>费质</w:t>
      </w:r>
      <w:r>
        <w:rPr>
          <w:rFonts w:hint="eastAsia" w:ascii="方正黑体_GBK" w:eastAsia="方正黑体_GBK"/>
          <w:spacing w:val="-3"/>
          <w:sz w:val="28"/>
        </w:rPr>
        <w:t>量</w:t>
      </w:r>
      <w:r>
        <w:rPr>
          <w:rFonts w:hint="eastAsia" w:ascii="方正黑体_GBK" w:eastAsia="方正黑体_GBK"/>
          <w:sz w:val="28"/>
        </w:rPr>
        <w:t>提升</w:t>
      </w:r>
      <w:r>
        <w:rPr>
          <w:rFonts w:hint="eastAsia" w:ascii="方正黑体_GBK" w:eastAsia="方正黑体_GBK"/>
          <w:spacing w:val="-3"/>
          <w:sz w:val="28"/>
        </w:rPr>
        <w:t>行</w:t>
      </w:r>
      <w:r>
        <w:rPr>
          <w:rFonts w:hint="eastAsia" w:ascii="方正黑体_GBK" w:eastAsia="方正黑体_GBK"/>
          <w:sz w:val="28"/>
        </w:rPr>
        <w:t>动</w:t>
      </w:r>
    </w:p>
    <w:p>
      <w:pPr>
        <w:pStyle w:val="7"/>
        <w:numPr>
          <w:ilvl w:val="0"/>
          <w:numId w:val="11"/>
        </w:numPr>
        <w:tabs>
          <w:tab w:val="left" w:pos="1263"/>
        </w:tabs>
        <w:spacing w:before="211" w:after="0" w:line="261" w:lineRule="auto"/>
        <w:ind w:left="380" w:right="159" w:firstLine="640"/>
        <w:jc w:val="left"/>
        <w:rPr>
          <w:sz w:val="32"/>
        </w:rPr>
      </w:pPr>
      <w:r>
        <w:rPr>
          <w:spacing w:val="-15"/>
          <w:sz w:val="32"/>
        </w:rPr>
        <w:t>提升消费品总体质量。发展服务型制造，推广个性化定制、柔性化生产，适应个性化、差异化、品质化消费需求，推动企业加快产品创新、业态创新、模式创新，增加优质消费品、中高端产品供给，逐年提升消费品质量合格率。</w:t>
      </w:r>
    </w:p>
    <w:p>
      <w:pPr>
        <w:pStyle w:val="7"/>
        <w:numPr>
          <w:ilvl w:val="0"/>
          <w:numId w:val="11"/>
        </w:numPr>
        <w:tabs>
          <w:tab w:val="left" w:pos="1271"/>
        </w:tabs>
        <w:spacing w:before="0" w:after="0" w:line="261" w:lineRule="auto"/>
        <w:ind w:left="380" w:right="159" w:firstLine="640"/>
        <w:jc w:val="left"/>
        <w:rPr>
          <w:sz w:val="32"/>
        </w:rPr>
      </w:pPr>
      <w:r>
        <w:rPr>
          <w:spacing w:val="11"/>
          <w:sz w:val="32"/>
        </w:rPr>
        <w:t>提升建设工程总体质量。严格落实工程质量安全手册制</w:t>
      </w:r>
      <w:r>
        <w:rPr>
          <w:spacing w:val="-11"/>
          <w:sz w:val="32"/>
        </w:rPr>
        <w:t>度，加强工程质量监督检测，新开工房屋建筑和市政基础设施工</w:t>
      </w:r>
      <w:r>
        <w:rPr>
          <w:spacing w:val="-15"/>
          <w:sz w:val="32"/>
        </w:rPr>
        <w:t>程质量验收合格率、大中型水利工程项目一次验收合格率、高速公路工程质量交（竣）</w:t>
      </w:r>
      <w:r>
        <w:rPr>
          <w:spacing w:val="-21"/>
          <w:sz w:val="32"/>
        </w:rPr>
        <w:t xml:space="preserve">工验收合格率达到 </w:t>
      </w:r>
      <w:r>
        <w:rPr>
          <w:rFonts w:ascii="Times New Roman" w:eastAsia="Times New Roman"/>
          <w:sz w:val="32"/>
        </w:rPr>
        <w:t>100%</w:t>
      </w:r>
      <w:r>
        <w:rPr>
          <w:sz w:val="32"/>
        </w:rPr>
        <w:t>，工程质量抽查</w:t>
      </w:r>
      <w:r>
        <w:rPr>
          <w:spacing w:val="-13"/>
          <w:sz w:val="32"/>
        </w:rPr>
        <w:t xml:space="preserve">符合率在 </w:t>
      </w:r>
      <w:r>
        <w:rPr>
          <w:rFonts w:ascii="Times New Roman" w:eastAsia="Times New Roman"/>
          <w:sz w:val="32"/>
        </w:rPr>
        <w:t>90%</w:t>
      </w:r>
      <w:r>
        <w:rPr>
          <w:spacing w:val="-13"/>
          <w:sz w:val="32"/>
        </w:rPr>
        <w:t>以上。大力发展绿色建筑，鼓励使用绿色建材、新</w:t>
      </w:r>
      <w:r>
        <w:rPr>
          <w:spacing w:val="-18"/>
          <w:sz w:val="32"/>
        </w:rPr>
        <w:t xml:space="preserve">型墙体材料，力争城镇新建建筑中绿色建筑占比基本达到 </w:t>
      </w:r>
      <w:r>
        <w:rPr>
          <w:rFonts w:ascii="Times New Roman" w:eastAsia="Times New Roman"/>
          <w:sz w:val="32"/>
        </w:rPr>
        <w:t>100%</w:t>
      </w:r>
      <w:r>
        <w:rPr>
          <w:sz w:val="32"/>
        </w:rPr>
        <w:t>。</w:t>
      </w:r>
      <w:r>
        <w:rPr>
          <w:spacing w:val="-3"/>
          <w:sz w:val="32"/>
        </w:rPr>
        <w:t xml:space="preserve">持续打造优质工程、精品工程，争创省级标准化工地 </w:t>
      </w:r>
      <w:r>
        <w:rPr>
          <w:rFonts w:ascii="Times New Roman" w:eastAsia="Times New Roman"/>
          <w:sz w:val="32"/>
        </w:rPr>
        <w:t>1</w:t>
      </w:r>
      <w:r>
        <w:rPr>
          <w:rFonts w:ascii="Times New Roman" w:eastAsia="Times New Roman"/>
          <w:spacing w:val="-1"/>
          <w:sz w:val="32"/>
        </w:rPr>
        <w:t xml:space="preserve"> </w:t>
      </w:r>
      <w:r>
        <w:rPr>
          <w:sz w:val="32"/>
        </w:rPr>
        <w:t>个。</w:t>
      </w:r>
    </w:p>
    <w:p>
      <w:pPr>
        <w:pStyle w:val="7"/>
        <w:numPr>
          <w:ilvl w:val="0"/>
          <w:numId w:val="11"/>
        </w:numPr>
        <w:tabs>
          <w:tab w:val="left" w:pos="1263"/>
        </w:tabs>
        <w:spacing w:before="0" w:after="0" w:line="261" w:lineRule="auto"/>
        <w:ind w:left="380" w:right="206" w:firstLine="640"/>
        <w:jc w:val="both"/>
        <w:rPr>
          <w:sz w:val="32"/>
        </w:rPr>
      </w:pPr>
      <w:r>
        <w:rPr>
          <w:sz w:val="32"/>
        </w:rPr>
        <w:t>提升服务业总体质量。依托旅游城市、</w:t>
      </w:r>
      <w:r>
        <w:rPr>
          <w:rFonts w:ascii="Times New Roman" w:hAnsi="Times New Roman" w:eastAsia="Times New Roman"/>
          <w:sz w:val="32"/>
        </w:rPr>
        <w:t>“</w:t>
      </w:r>
      <w:r>
        <w:rPr>
          <w:sz w:val="32"/>
        </w:rPr>
        <w:t>美丽县城</w:t>
      </w:r>
      <w:r>
        <w:rPr>
          <w:rFonts w:ascii="Times New Roman" w:hAnsi="Times New Roman" w:eastAsia="Times New Roman"/>
          <w:sz w:val="32"/>
        </w:rPr>
        <w:t>”</w:t>
      </w:r>
      <w:r>
        <w:rPr>
          <w:sz w:val="32"/>
        </w:rPr>
        <w:t>、特色</w:t>
      </w:r>
      <w:r>
        <w:rPr>
          <w:spacing w:val="-1"/>
          <w:sz w:val="32"/>
        </w:rPr>
        <w:t>小镇、商业步行街等载体，全面提升社区商业便利化、标准化、</w:t>
      </w:r>
      <w:r>
        <w:rPr>
          <w:spacing w:val="-12"/>
          <w:sz w:val="32"/>
        </w:rPr>
        <w:t>数字化、品质化水平，推动托育服务、养老服务、医疗健康服务</w:t>
      </w:r>
      <w:r>
        <w:rPr>
          <w:spacing w:val="-15"/>
          <w:sz w:val="32"/>
        </w:rPr>
        <w:t xml:space="preserve">实现县级以上全覆盖，服务质量满意度达到 </w:t>
      </w:r>
      <w:r>
        <w:rPr>
          <w:rFonts w:ascii="Times New Roman" w:hAnsi="Times New Roman" w:eastAsia="Times New Roman"/>
          <w:sz w:val="32"/>
        </w:rPr>
        <w:t>78%</w:t>
      </w:r>
      <w:r>
        <w:rPr>
          <w:sz w:val="32"/>
        </w:rPr>
        <w:t>以上。</w:t>
      </w:r>
    </w:p>
    <w:p>
      <w:pPr>
        <w:spacing w:after="0" w:line="261" w:lineRule="auto"/>
        <w:jc w:val="both"/>
        <w:rPr>
          <w:sz w:val="32"/>
        </w:rPr>
        <w:sectPr>
          <w:footerReference r:id="rId7" w:type="default"/>
          <w:footerReference r:id="rId8" w:type="even"/>
          <w:pgSz w:w="11910" w:h="16840"/>
          <w:pgMar w:top="1540" w:right="940" w:bottom="1380" w:left="1420" w:header="0" w:footer="1182" w:gutter="0"/>
          <w:pgNumType w:start="20"/>
        </w:sectPr>
      </w:pPr>
    </w:p>
    <w:p>
      <w:pPr>
        <w:pStyle w:val="3"/>
        <w:spacing w:before="15"/>
        <w:ind w:left="1020"/>
        <w:rPr>
          <w:rFonts w:hint="eastAsia" w:ascii="方正楷体_GBK" w:eastAsia="方正楷体_GBK"/>
        </w:rPr>
      </w:pPr>
      <w:bookmarkStart w:id="22" w:name="（三）实施质量管理现代化工程"/>
      <w:bookmarkEnd w:id="22"/>
      <w:bookmarkStart w:id="23" w:name="_bookmark10"/>
      <w:bookmarkEnd w:id="23"/>
      <w:r>
        <w:rPr>
          <w:rFonts w:hint="eastAsia" w:ascii="方正楷体_GBK" w:eastAsia="方正楷体_GBK"/>
        </w:rPr>
        <w:t>（三）实施质量管理现代化工程</w:t>
      </w:r>
    </w:p>
    <w:p>
      <w:pPr>
        <w:pStyle w:val="7"/>
        <w:numPr>
          <w:ilvl w:val="0"/>
          <w:numId w:val="12"/>
        </w:numPr>
        <w:tabs>
          <w:tab w:val="left" w:pos="1264"/>
        </w:tabs>
        <w:spacing w:before="98" w:after="0" w:line="280" w:lineRule="auto"/>
        <w:ind w:left="380" w:right="699" w:firstLine="640"/>
        <w:jc w:val="left"/>
        <w:rPr>
          <w:sz w:val="32"/>
        </w:rPr>
      </w:pPr>
      <w:bookmarkStart w:id="24" w:name="1.建立新型质量管理体系。开展质量管理能力提升，分类推动农业、工业和服务业领域市"/>
      <w:bookmarkEnd w:id="24"/>
      <w:bookmarkStart w:id="25" w:name="1.建立新型质量管理体系。开展质量管理能力提升，分类推动农业、工业和服务业领域市"/>
      <w:bookmarkEnd w:id="25"/>
      <w:r>
        <w:rPr>
          <w:b/>
          <w:spacing w:val="2"/>
          <w:sz w:val="32"/>
        </w:rPr>
        <w:t>建立新型质量管理体系。</w:t>
      </w:r>
      <w:r>
        <w:rPr>
          <w:sz w:val="32"/>
        </w:rPr>
        <w:t>开展质量管理能力提升，分</w:t>
      </w:r>
      <w:r>
        <w:rPr>
          <w:spacing w:val="-3"/>
          <w:sz w:val="32"/>
        </w:rPr>
        <w:t>类推动农业、工业和服务业领域市场主体建立健全现代化质量管理体系。围绕打造世界一流</w:t>
      </w:r>
      <w:r>
        <w:rPr>
          <w:rFonts w:ascii="Times New Roman" w:hAnsi="Times New Roman" w:eastAsia="Times New Roman"/>
          <w:spacing w:val="-3"/>
          <w:sz w:val="32"/>
        </w:rPr>
        <w:t>“</w:t>
      </w:r>
      <w:r>
        <w:rPr>
          <w:spacing w:val="-3"/>
          <w:sz w:val="32"/>
        </w:rPr>
        <w:t>三张牌</w:t>
      </w:r>
      <w:r>
        <w:rPr>
          <w:rFonts w:ascii="Times New Roman" w:hAnsi="Times New Roman" w:eastAsia="Times New Roman"/>
          <w:spacing w:val="-3"/>
          <w:sz w:val="32"/>
        </w:rPr>
        <w:t>”</w:t>
      </w:r>
      <w:r>
        <w:rPr>
          <w:spacing w:val="-3"/>
          <w:sz w:val="32"/>
        </w:rPr>
        <w:t>，大力推进全面质</w:t>
      </w:r>
      <w:r>
        <w:rPr>
          <w:spacing w:val="-5"/>
          <w:sz w:val="32"/>
        </w:rPr>
        <w:t>量管理体系。围绕新型工业化建设，加快质量新技术新方法</w:t>
      </w:r>
      <w:r>
        <w:rPr>
          <w:spacing w:val="-16"/>
          <w:w w:val="95"/>
          <w:sz w:val="32"/>
        </w:rPr>
        <w:t xml:space="preserve">创新应用，培育工业企业质量标杆。围绕服务经济发展要求， </w:t>
      </w:r>
      <w:r>
        <w:rPr>
          <w:spacing w:val="-16"/>
          <w:sz w:val="32"/>
        </w:rPr>
        <w:t>引导服务业企业采用先进质量管理模式方法，公开服务质量信息，全面提升服务质量和服务效率。</w:t>
      </w:r>
    </w:p>
    <w:p>
      <w:pPr>
        <w:pStyle w:val="7"/>
        <w:numPr>
          <w:ilvl w:val="0"/>
          <w:numId w:val="12"/>
        </w:numPr>
        <w:tabs>
          <w:tab w:val="left" w:pos="1264"/>
        </w:tabs>
        <w:spacing w:before="0" w:after="0" w:line="497" w:lineRule="exact"/>
        <w:ind w:left="1263" w:right="0" w:hanging="244"/>
        <w:jc w:val="left"/>
        <w:rPr>
          <w:sz w:val="32"/>
        </w:rPr>
      </w:pPr>
      <w:bookmarkStart w:id="26" w:name="2.增强企业质量创新能力。探索建立以企业为主体、市场为导向、产学研用相结合的质量"/>
      <w:bookmarkEnd w:id="26"/>
      <w:bookmarkStart w:id="27" w:name="2.增强企业质量创新能力。探索建立以企业为主体、市场为导向、产学研用相结合的质量"/>
      <w:bookmarkEnd w:id="27"/>
      <w:r>
        <w:rPr>
          <w:b/>
          <w:spacing w:val="2"/>
          <w:sz w:val="32"/>
        </w:rPr>
        <w:t>增强企业质量创新能力。</w:t>
      </w:r>
      <w:r>
        <w:rPr>
          <w:sz w:val="32"/>
        </w:rPr>
        <w:t>探索建立以企业为主体、市</w:t>
      </w:r>
    </w:p>
    <w:p>
      <w:pPr>
        <w:pStyle w:val="3"/>
        <w:spacing w:before="85" w:line="280" w:lineRule="auto"/>
        <w:ind w:left="380" w:right="857"/>
        <w:jc w:val="both"/>
      </w:pPr>
      <w:r>
        <w:rPr>
          <w:spacing w:val="-2"/>
          <w:w w:val="95"/>
        </w:rPr>
        <w:t xml:space="preserve">场为导向、产学研用相结合的质量创新体系，强化科技创新 </w:t>
      </w:r>
      <w:r>
        <w:rPr>
          <w:spacing w:val="-4"/>
          <w:w w:val="95"/>
        </w:rPr>
        <w:t xml:space="preserve">推动质量提升的战略支撑作用。开展科技创新、产业发展和 </w:t>
      </w:r>
      <w:r>
        <w:rPr>
          <w:spacing w:val="11"/>
          <w:w w:val="95"/>
        </w:rPr>
        <w:t xml:space="preserve">质量提升全链条设计和一体化提升行动，协同推进研发创 </w:t>
      </w:r>
      <w:r>
        <w:rPr>
          <w:spacing w:val="-3"/>
          <w:w w:val="95"/>
        </w:rPr>
        <w:t xml:space="preserve">新、专利布局、标准研制、设备升级、技能更新，加快实现 </w:t>
      </w:r>
      <w:r>
        <w:rPr>
          <w:spacing w:val="-3"/>
        </w:rPr>
        <w:t>技术突破、产品制造、市场模式、产业发展</w:t>
      </w:r>
      <w:r>
        <w:rPr>
          <w:rFonts w:ascii="Times New Roman" w:hAnsi="Times New Roman" w:eastAsia="Times New Roman"/>
          <w:spacing w:val="-3"/>
        </w:rPr>
        <w:t>“</w:t>
      </w:r>
      <w:r>
        <w:rPr>
          <w:spacing w:val="-3"/>
        </w:rPr>
        <w:t>一条龙</w:t>
      </w:r>
      <w:r>
        <w:rPr>
          <w:rFonts w:ascii="Times New Roman" w:hAnsi="Times New Roman" w:eastAsia="Times New Roman"/>
          <w:spacing w:val="-3"/>
        </w:rPr>
        <w:t>”</w:t>
      </w:r>
      <w:r>
        <w:rPr>
          <w:spacing w:val="-3"/>
        </w:rPr>
        <w:t>转化。</w:t>
      </w:r>
      <w:r>
        <w:rPr>
          <w:spacing w:val="-4"/>
        </w:rPr>
        <w:t>支持企业加强研发创新和知识产权创造与应用，落实专利费</w:t>
      </w:r>
      <w:r>
        <w:rPr>
          <w:spacing w:val="-5"/>
        </w:rPr>
        <w:t>用减缴及专利申请优先审查等激励政策，提升知识产权创造质量和转化运用效益，以科技创新引领质量提升。</w:t>
      </w:r>
    </w:p>
    <w:p>
      <w:pPr>
        <w:pStyle w:val="7"/>
        <w:numPr>
          <w:ilvl w:val="0"/>
          <w:numId w:val="12"/>
        </w:numPr>
        <w:tabs>
          <w:tab w:val="left" w:pos="1263"/>
        </w:tabs>
        <w:spacing w:before="0" w:after="0" w:line="495" w:lineRule="exact"/>
        <w:ind w:left="1262" w:right="0" w:hanging="243"/>
        <w:jc w:val="left"/>
        <w:rPr>
          <w:sz w:val="32"/>
        </w:rPr>
      </w:pPr>
      <w:bookmarkStart w:id="28" w:name="3.提升企业品牌竞争能力。支持企业开展品牌培育活动，引导企业围绕研发创新、生产制"/>
      <w:bookmarkEnd w:id="28"/>
      <w:bookmarkStart w:id="29" w:name="3.提升企业品牌竞争能力。支持企业开展品牌培育活动，引导企业围绕研发创新、生产制"/>
      <w:bookmarkEnd w:id="29"/>
      <w:r>
        <w:rPr>
          <w:b/>
          <w:spacing w:val="-10"/>
          <w:sz w:val="32"/>
        </w:rPr>
        <w:t>提升企业品牌竞争能力。</w:t>
      </w:r>
      <w:r>
        <w:rPr>
          <w:sz w:val="32"/>
        </w:rPr>
        <w:t>支持企业开展品牌培育活动，</w:t>
      </w:r>
    </w:p>
    <w:p>
      <w:pPr>
        <w:pStyle w:val="3"/>
        <w:spacing w:before="85" w:line="280" w:lineRule="auto"/>
        <w:ind w:left="380" w:right="845"/>
        <w:jc w:val="both"/>
      </w:pPr>
      <w:r>
        <w:t>引导企业围绕研发创新、生产制造、质量管理和营销服务全过程，建立以质量和诚信为核心的品牌文化，健全品牌管理体系，鼓励企业开展商标国际注册和自主品牌国际化建设。促进和保护</w:t>
      </w:r>
      <w:r>
        <w:rPr>
          <w:rFonts w:ascii="Times New Roman" w:hAnsi="Times New Roman" w:eastAsia="Times New Roman"/>
        </w:rPr>
        <w:t>“</w:t>
      </w:r>
      <w:r>
        <w:t>老字号</w:t>
      </w:r>
      <w:r>
        <w:rPr>
          <w:rFonts w:ascii="Times New Roman" w:hAnsi="Times New Roman" w:eastAsia="Times New Roman"/>
        </w:rPr>
        <w:t>”</w:t>
      </w:r>
      <w:r>
        <w:t>品牌传承创新发展，提升</w:t>
      </w:r>
      <w:r>
        <w:rPr>
          <w:rFonts w:ascii="Times New Roman" w:hAnsi="Times New Roman" w:eastAsia="Times New Roman"/>
        </w:rPr>
        <w:t>“</w:t>
      </w:r>
      <w:r>
        <w:t>老字号</w:t>
      </w:r>
      <w:r>
        <w:rPr>
          <w:rFonts w:ascii="Times New Roman" w:hAnsi="Times New Roman" w:eastAsia="Times New Roman"/>
        </w:rPr>
        <w:t>”</w:t>
      </w:r>
      <w:r>
        <w:t>品牌质量。采取多种形式和渠道扶持企业提高自主品牌的知名度</w:t>
      </w:r>
    </w:p>
    <w:p>
      <w:pPr>
        <w:spacing w:after="0" w:line="280" w:lineRule="auto"/>
        <w:jc w:val="both"/>
        <w:sectPr>
          <w:pgSz w:w="11910" w:h="16840"/>
          <w:pgMar w:top="1540" w:right="940" w:bottom="1380" w:left="1420" w:header="0" w:footer="1182" w:gutter="0"/>
        </w:sectPr>
      </w:pPr>
    </w:p>
    <w:p>
      <w:pPr>
        <w:pStyle w:val="3"/>
        <w:spacing w:before="3"/>
        <w:ind w:left="380"/>
      </w:pPr>
      <w:r>
        <w:t>和竞争力，加大对企业品牌的保护力度。</w:t>
      </w:r>
    </w:p>
    <w:p>
      <w:pPr>
        <w:pStyle w:val="7"/>
        <w:numPr>
          <w:ilvl w:val="0"/>
          <w:numId w:val="12"/>
        </w:numPr>
        <w:tabs>
          <w:tab w:val="left" w:pos="1264"/>
        </w:tabs>
        <w:spacing w:before="85" w:after="0" w:line="280" w:lineRule="auto"/>
        <w:ind w:left="380" w:right="699" w:firstLine="640"/>
        <w:jc w:val="left"/>
        <w:rPr>
          <w:sz w:val="32"/>
        </w:rPr>
      </w:pPr>
      <w:bookmarkStart w:id="30" w:name="4.塑造企业先进质量文化。持续推进质量知识进社区、进学校，深入开展“质量月”活动"/>
      <w:bookmarkEnd w:id="30"/>
      <w:bookmarkStart w:id="31" w:name="4.塑造企业先进质量文化。持续推进质量知识进社区、进学校，深入开展“质量月”活动"/>
      <w:bookmarkEnd w:id="31"/>
      <w:r>
        <w:rPr>
          <w:b/>
          <w:spacing w:val="2"/>
          <w:sz w:val="32"/>
        </w:rPr>
        <w:t>塑造企业先进质量文化。</w:t>
      </w:r>
      <w:r>
        <w:rPr>
          <w:sz w:val="32"/>
        </w:rPr>
        <w:t>持续推进质量知识进社区、进学校，深入开展</w:t>
      </w:r>
      <w:r>
        <w:rPr>
          <w:rFonts w:ascii="Times New Roman" w:hAnsi="Times New Roman" w:eastAsia="Times New Roman"/>
          <w:sz w:val="32"/>
        </w:rPr>
        <w:t>“</w:t>
      </w:r>
      <w:r>
        <w:rPr>
          <w:sz w:val="32"/>
        </w:rPr>
        <w:t>质量月</w:t>
      </w:r>
      <w:r>
        <w:rPr>
          <w:rFonts w:ascii="Times New Roman" w:hAnsi="Times New Roman" w:eastAsia="Times New Roman"/>
          <w:sz w:val="32"/>
        </w:rPr>
        <w:t>”</w:t>
      </w:r>
      <w:r>
        <w:rPr>
          <w:sz w:val="32"/>
        </w:rPr>
        <w:t>活动，提高全社会质量、诚信、</w:t>
      </w:r>
      <w:r>
        <w:rPr>
          <w:spacing w:val="-3"/>
          <w:sz w:val="32"/>
        </w:rPr>
        <w:t>责任意识，引导树立质量第一、效益优先，持续改进、追求</w:t>
      </w:r>
      <w:r>
        <w:rPr>
          <w:spacing w:val="-5"/>
          <w:sz w:val="32"/>
        </w:rPr>
        <w:t>卓越的质量意识，营造追求质量、崇尚质量、关心质量的浓厚氛围。大力培育全民工业文化素养，引导工业企业加强产</w:t>
      </w:r>
      <w:r>
        <w:rPr>
          <w:spacing w:val="-6"/>
          <w:sz w:val="32"/>
        </w:rPr>
        <w:t>品的质量提升和品牌培育，提高工业品的质量声誉和文化内</w:t>
      </w:r>
      <w:r>
        <w:rPr>
          <w:spacing w:val="-16"/>
          <w:w w:val="95"/>
          <w:sz w:val="32"/>
        </w:rPr>
        <w:t xml:space="preserve">涵。加强服务质量文化建设，更新服务理念，树立服务意识， </w:t>
      </w:r>
      <w:r>
        <w:rPr>
          <w:spacing w:val="-16"/>
          <w:sz w:val="32"/>
        </w:rPr>
        <w:t>提升服务品质。</w:t>
      </w:r>
    </w:p>
    <w:p>
      <w:pPr>
        <w:pStyle w:val="7"/>
        <w:numPr>
          <w:ilvl w:val="0"/>
          <w:numId w:val="12"/>
        </w:numPr>
        <w:tabs>
          <w:tab w:val="left" w:pos="1264"/>
        </w:tabs>
        <w:spacing w:before="0" w:after="0" w:line="495" w:lineRule="exact"/>
        <w:ind w:left="1263" w:right="0" w:hanging="244"/>
        <w:jc w:val="left"/>
        <w:rPr>
          <w:sz w:val="32"/>
        </w:rPr>
      </w:pPr>
      <w:bookmarkStart w:id="32" w:name="5.加强质量人才队伍建设。实施知识更新工程、技能提升行动，提高全民劳动意识、精品"/>
      <w:bookmarkEnd w:id="32"/>
      <w:bookmarkStart w:id="33" w:name="5.加强质量人才队伍建设。实施知识更新工程、技能提升行动，提高全民劳动意识、精品"/>
      <w:bookmarkEnd w:id="33"/>
      <w:r>
        <w:rPr>
          <w:b/>
          <w:spacing w:val="2"/>
          <w:sz w:val="32"/>
        </w:rPr>
        <w:t>加强质量人才队伍建设。</w:t>
      </w:r>
      <w:r>
        <w:rPr>
          <w:sz w:val="32"/>
        </w:rPr>
        <w:t>实施知识更新工程、技能提</w:t>
      </w:r>
    </w:p>
    <w:p>
      <w:pPr>
        <w:pStyle w:val="3"/>
        <w:spacing w:before="85" w:line="280" w:lineRule="auto"/>
        <w:ind w:left="380" w:right="845"/>
        <w:jc w:val="both"/>
      </w:pPr>
      <w:r>
        <w:pict>
          <v:shape id="_x0000_s1038" o:spid="_x0000_s1038" o:spt="202" type="#_x0000_t202" style="position:absolute;left:0pt;margin-left:76.8pt;margin-top:298.45pt;height:30.5pt;width:441.75pt;mso-position-horizontal-relative:page;z-index:-252371968;mso-width-relative:page;mso-height-relative:page;" filled="f" stroked="t" coordsize="21600,21600">
            <v:path/>
            <v:fill on="f" focussize="0,0"/>
            <v:stroke weight="0.48pt" color="#000000"/>
            <v:imagedata o:title=""/>
            <o:lock v:ext="edit"/>
            <v:textbox inset="0mm,0mm,0mm,0mm">
              <w:txbxContent>
                <w:p>
                  <w:pPr>
                    <w:tabs>
                      <w:tab w:val="left" w:pos="1048"/>
                    </w:tabs>
                    <w:spacing w:before="167" w:line="433" w:lineRule="exact"/>
                    <w:ind w:left="0" w:right="0" w:firstLine="0"/>
                    <w:jc w:val="center"/>
                    <w:rPr>
                      <w:rFonts w:hint="eastAsia" w:ascii="方正黑体_GBK" w:eastAsia="方正黑体_GBK"/>
                      <w:sz w:val="28"/>
                    </w:rPr>
                  </w:pPr>
                  <w:r>
                    <w:rPr>
                      <w:rFonts w:hint="eastAsia" w:ascii="方正黑体_GBK" w:eastAsia="方正黑体_GBK"/>
                      <w:sz w:val="28"/>
                    </w:rPr>
                    <w:t>专栏</w:t>
                  </w:r>
                  <w:r>
                    <w:rPr>
                      <w:rFonts w:hint="eastAsia" w:ascii="方正黑体_GBK" w:eastAsia="方正黑体_GBK"/>
                      <w:spacing w:val="-11"/>
                      <w:sz w:val="28"/>
                    </w:rPr>
                    <w:t xml:space="preserve"> </w:t>
                  </w:r>
                  <w:r>
                    <w:rPr>
                      <w:rFonts w:ascii="Times New Roman" w:eastAsia="Times New Roman"/>
                      <w:sz w:val="28"/>
                    </w:rPr>
                    <w:t>3</w:t>
                  </w:r>
                  <w:r>
                    <w:rPr>
                      <w:rFonts w:ascii="Times New Roman" w:eastAsia="Times New Roman"/>
                      <w:sz w:val="28"/>
                    </w:rPr>
                    <w:tab/>
                  </w:r>
                  <w:r>
                    <w:rPr>
                      <w:rFonts w:hint="eastAsia" w:ascii="方正黑体_GBK" w:eastAsia="方正黑体_GBK"/>
                      <w:sz w:val="28"/>
                    </w:rPr>
                    <w:t>实</w:t>
                  </w:r>
                  <w:r>
                    <w:rPr>
                      <w:rFonts w:hint="eastAsia" w:ascii="方正黑体_GBK" w:eastAsia="方正黑体_GBK"/>
                      <w:spacing w:val="-3"/>
                      <w:sz w:val="28"/>
                    </w:rPr>
                    <w:t>施</w:t>
                  </w:r>
                  <w:r>
                    <w:rPr>
                      <w:rFonts w:hint="eastAsia" w:ascii="方正黑体_GBK" w:eastAsia="方正黑体_GBK"/>
                      <w:sz w:val="28"/>
                    </w:rPr>
                    <w:t>质量</w:t>
                  </w:r>
                  <w:r>
                    <w:rPr>
                      <w:rFonts w:hint="eastAsia" w:ascii="方正黑体_GBK" w:eastAsia="方正黑体_GBK"/>
                      <w:spacing w:val="-3"/>
                      <w:sz w:val="28"/>
                    </w:rPr>
                    <w:t>管</w:t>
                  </w:r>
                  <w:r>
                    <w:rPr>
                      <w:rFonts w:hint="eastAsia" w:ascii="方正黑体_GBK" w:eastAsia="方正黑体_GBK"/>
                      <w:sz w:val="28"/>
                    </w:rPr>
                    <w:t>理现</w:t>
                  </w:r>
                  <w:r>
                    <w:rPr>
                      <w:rFonts w:hint="eastAsia" w:ascii="方正黑体_GBK" w:eastAsia="方正黑体_GBK"/>
                      <w:spacing w:val="-3"/>
                      <w:sz w:val="28"/>
                    </w:rPr>
                    <w:t>代</w:t>
                  </w:r>
                  <w:r>
                    <w:rPr>
                      <w:rFonts w:hint="eastAsia" w:ascii="方正黑体_GBK" w:eastAsia="方正黑体_GBK"/>
                      <w:sz w:val="28"/>
                    </w:rPr>
                    <w:t>化工程</w:t>
                  </w:r>
                </w:p>
              </w:txbxContent>
            </v:textbox>
          </v:shape>
        </w:pict>
      </w:r>
      <w:r>
        <w:rPr>
          <w:spacing w:val="-4"/>
        </w:rPr>
        <w:t>升行动，提高全民劳动意识、精品意识、服务意识和质量素质。实施</w:t>
      </w:r>
      <w:r>
        <w:rPr>
          <w:rFonts w:ascii="Times New Roman" w:hAnsi="Times New Roman" w:eastAsia="Times New Roman"/>
          <w:spacing w:val="-4"/>
        </w:rPr>
        <w:t>“</w:t>
      </w:r>
      <w:r>
        <w:rPr>
          <w:spacing w:val="-4"/>
        </w:rPr>
        <w:t>农工巧匠</w:t>
      </w:r>
      <w:r>
        <w:rPr>
          <w:rFonts w:ascii="Times New Roman" w:hAnsi="Times New Roman" w:eastAsia="Times New Roman"/>
          <w:spacing w:val="-4"/>
        </w:rPr>
        <w:t>”</w:t>
      </w:r>
      <w:r>
        <w:rPr>
          <w:spacing w:val="-4"/>
        </w:rPr>
        <w:t xml:space="preserve">行动，开展高素质农民培育，逐步提升新型农民质量素养。引导和鼓励企业实施首席质量官制度， </w:t>
      </w:r>
      <w:r>
        <w:rPr>
          <w:spacing w:val="-5"/>
        </w:rPr>
        <w:t>充分发挥企业特别是国有大中型企业作用，引进和培养一批</w:t>
      </w:r>
      <w:r>
        <w:rPr>
          <w:spacing w:val="-6"/>
        </w:rPr>
        <w:t>质量领军人才和高级管理人员，壮大质量工程师队伍。加强</w:t>
      </w:r>
      <w:r>
        <w:rPr>
          <w:spacing w:val="-7"/>
        </w:rPr>
        <w:t>建筑业从业人员职业技能培训，打造新型建筑工业化专业人才队伍。围绕家政服务、养老服务、托育服务、健康养生、医疗护理等民生领域服务需求，提升人员从业技能，增强服</w:t>
      </w:r>
      <w:r>
        <w:rPr>
          <w:spacing w:val="-16"/>
        </w:rPr>
        <w:t>务供需对接能力。加强质量学科建设，推动</w:t>
      </w:r>
      <w:r>
        <w:rPr>
          <w:rFonts w:ascii="Times New Roman" w:hAnsi="Times New Roman" w:eastAsia="Times New Roman"/>
        </w:rPr>
        <w:t>“</w:t>
      </w:r>
      <w:r>
        <w:t>质量管理</w:t>
      </w:r>
      <w:r>
        <w:rPr>
          <w:rFonts w:ascii="Times New Roman" w:hAnsi="Times New Roman" w:eastAsia="Times New Roman"/>
        </w:rPr>
        <w:t>+</w:t>
      </w:r>
      <w:r>
        <w:t>专业</w:t>
      </w:r>
      <w:r>
        <w:rPr>
          <w:rFonts w:ascii="Times New Roman" w:hAnsi="Times New Roman" w:eastAsia="Times New Roman"/>
        </w:rPr>
        <w:t xml:space="preserve">” </w:t>
      </w:r>
      <w:r>
        <w:t>职业教育模式，加强质量技术、质量管理职业教育。</w:t>
      </w:r>
    </w:p>
    <w:p>
      <w:pPr>
        <w:pStyle w:val="3"/>
        <w:spacing w:before="6"/>
        <w:rPr>
          <w:sz w:val="26"/>
        </w:rPr>
      </w:pPr>
      <w:r>
        <w:pict>
          <v:shape id="_x0000_s1039" o:spid="_x0000_s1039" o:spt="202" type="#_x0000_t202" style="position:absolute;left:0pt;margin-left:76.8pt;margin-top:23.45pt;height:60.9pt;width:441.75pt;mso-position-horizontal-relative:page;mso-wrap-distance-bottom:0pt;mso-wrap-distance-top:0pt;z-index:-251651072;mso-width-relative:page;mso-height-relative:page;" filled="f" stroked="t" coordsize="21600,21600">
            <v:path/>
            <v:fill on="f" focussize="0,0"/>
            <v:stroke weight="0.48pt" color="#000000"/>
            <v:imagedata o:title=""/>
            <o:lock v:ext="edit"/>
            <v:textbox inset="0mm,0mm,0mm,0mm">
              <w:txbxContent>
                <w:p>
                  <w:pPr>
                    <w:pStyle w:val="3"/>
                    <w:spacing w:before="47" w:line="590" w:lineRule="atLeast"/>
                    <w:ind w:left="103" w:right="99" w:firstLine="640"/>
                  </w:pPr>
                  <w:r>
                    <w:rPr>
                      <w:rFonts w:ascii="Times New Roman" w:eastAsia="Times New Roman"/>
                    </w:rPr>
                    <w:t>1.</w:t>
                  </w:r>
                  <w:r>
                    <w:t>培育质量创新融合发展标杆。坚持科技创新与质量提升</w:t>
                  </w:r>
                  <w:r>
                    <w:rPr>
                      <w:w w:val="95"/>
                    </w:rPr>
                    <w:t>协同发展，培育一批质量、创新、专利、标准、品牌等要素协</w:t>
                  </w:r>
                </w:p>
              </w:txbxContent>
            </v:textbox>
            <w10:wrap type="topAndBottom"/>
          </v:shape>
        </w:pict>
      </w:r>
    </w:p>
    <w:p>
      <w:pPr>
        <w:spacing w:after="0"/>
        <w:rPr>
          <w:sz w:val="26"/>
        </w:rPr>
        <w:sectPr>
          <w:pgSz w:w="11910" w:h="16840"/>
          <w:pgMar w:top="1540" w:right="940" w:bottom="1380" w:left="1420" w:header="0" w:footer="1182" w:gutter="0"/>
        </w:sectPr>
      </w:pPr>
    </w:p>
    <w:p>
      <w:pPr>
        <w:pStyle w:val="3"/>
        <w:spacing w:before="11"/>
        <w:rPr>
          <w:sz w:val="6"/>
        </w:rPr>
      </w:pPr>
    </w:p>
    <w:p>
      <w:pPr>
        <w:pStyle w:val="3"/>
        <w:spacing w:before="25" w:line="280" w:lineRule="auto"/>
        <w:ind w:left="224" w:right="574"/>
        <w:jc w:val="both"/>
      </w:pPr>
      <w:r>
        <w:pict>
          <v:shape id="_x0000_s1040" o:spid="_x0000_s1040" style="position:absolute;left:0pt;margin-left:76.55pt;margin-top:127.85pt;height:564.75pt;width:442.25pt;mso-position-horizontal-relative:page;z-index:-252370944;mso-width-relative:page;mso-height-relative:page;" filled="f" stroked="t" coordorigin="1531,2558" coordsize="8845,11295" path="m1531,-101l10376,-101m1531,11189l10376,11189m1536,-106l1536,11184m10371,-106l10371,11184e">
            <v:path arrowok="t"/>
            <v:fill on="f" focussize="0,0"/>
            <v:stroke weight="0.48pt" color="#000000"/>
            <v:imagedata o:title=""/>
            <o:lock v:ext="edit"/>
          </v:shape>
        </w:pict>
      </w:r>
      <w:r>
        <w:rPr>
          <w:spacing w:val="4"/>
        </w:rPr>
        <w:t xml:space="preserve">同发展示范企业。全县高新技术企业数量达到 </w:t>
      </w:r>
      <w:r>
        <w:rPr>
          <w:rFonts w:ascii="Times New Roman" w:eastAsia="Times New Roman"/>
        </w:rPr>
        <w:t>5</w:t>
      </w:r>
      <w:r>
        <w:rPr>
          <w:rFonts w:ascii="Times New Roman" w:eastAsia="Times New Roman"/>
          <w:spacing w:val="76"/>
        </w:rPr>
        <w:t xml:space="preserve"> </w:t>
      </w:r>
      <w:r>
        <w:rPr>
          <w:spacing w:val="4"/>
        </w:rPr>
        <w:t>家以上；研</w:t>
      </w:r>
      <w:r>
        <w:rPr>
          <w:spacing w:val="5"/>
        </w:rPr>
        <w:t xml:space="preserve">究与试验发展经费投入达到 </w:t>
      </w:r>
      <w:r>
        <w:rPr>
          <w:rFonts w:ascii="Times New Roman" w:eastAsia="Times New Roman"/>
        </w:rPr>
        <w:t xml:space="preserve">0.3 </w:t>
      </w:r>
      <w:r>
        <w:rPr>
          <w:spacing w:val="-7"/>
        </w:rPr>
        <w:t xml:space="preserve">亿元以上，年均增长 </w:t>
      </w:r>
      <w:r>
        <w:rPr>
          <w:rFonts w:ascii="Times New Roman" w:eastAsia="Times New Roman"/>
        </w:rPr>
        <w:t>16.7%</w:t>
      </w:r>
      <w:r>
        <w:t xml:space="preserve">； </w:t>
      </w:r>
      <w:r>
        <w:rPr>
          <w:spacing w:val="-4"/>
        </w:rPr>
        <w:t xml:space="preserve">每万人口高价值发明专利拥有量达到 </w:t>
      </w:r>
      <w:r>
        <w:rPr>
          <w:rFonts w:ascii="Times New Roman" w:eastAsia="Times New Roman"/>
        </w:rPr>
        <w:t xml:space="preserve">0.2 </w:t>
      </w:r>
      <w:r>
        <w:t>件</w:t>
      </w:r>
      <w:r>
        <w:rPr>
          <w:spacing w:val="5"/>
        </w:rPr>
        <w:t>（</w:t>
      </w:r>
      <w:r>
        <w:t>预期性指标</w:t>
      </w:r>
      <w:r>
        <w:rPr>
          <w:spacing w:val="2"/>
        </w:rPr>
        <w:t>），</w:t>
      </w:r>
    </w:p>
    <w:p>
      <w:pPr>
        <w:pStyle w:val="3"/>
        <w:spacing w:line="507" w:lineRule="exact"/>
        <w:ind w:left="224"/>
        <w:jc w:val="both"/>
      </w:pPr>
      <w:r>
        <w:t xml:space="preserve">有效注册商标拥有量超过 </w:t>
      </w:r>
      <w:r>
        <w:rPr>
          <w:rFonts w:ascii="Times New Roman" w:eastAsia="Times New Roman"/>
        </w:rPr>
        <w:t xml:space="preserve">1250 </w:t>
      </w:r>
      <w:r>
        <w:t>件（预期性指标）。</w:t>
      </w:r>
    </w:p>
    <w:p>
      <w:pPr>
        <w:pStyle w:val="7"/>
        <w:numPr>
          <w:ilvl w:val="0"/>
          <w:numId w:val="13"/>
        </w:numPr>
        <w:tabs>
          <w:tab w:val="left" w:pos="1107"/>
        </w:tabs>
        <w:spacing w:before="205" w:after="0" w:line="280" w:lineRule="auto"/>
        <w:ind w:left="224" w:right="701" w:firstLine="640"/>
        <w:jc w:val="both"/>
        <w:rPr>
          <w:sz w:val="32"/>
        </w:rPr>
      </w:pPr>
      <w:r>
        <w:rPr>
          <w:sz w:val="32"/>
        </w:rPr>
        <w:t>推动服务企业质量管理升级。在服务业企业推广先进质</w:t>
      </w:r>
      <w:r>
        <w:rPr>
          <w:spacing w:val="-4"/>
          <w:w w:val="95"/>
          <w:sz w:val="32"/>
        </w:rPr>
        <w:t xml:space="preserve">量管理方法，持续改进服务流程、服务时效，加快信息技术应 </w:t>
      </w:r>
      <w:r>
        <w:rPr>
          <w:spacing w:val="-4"/>
          <w:sz w:val="32"/>
        </w:rPr>
        <w:t>用，提高企业质量管理成熟度。</w:t>
      </w:r>
    </w:p>
    <w:p>
      <w:pPr>
        <w:pStyle w:val="7"/>
        <w:numPr>
          <w:ilvl w:val="0"/>
          <w:numId w:val="13"/>
        </w:numPr>
        <w:tabs>
          <w:tab w:val="left" w:pos="1107"/>
        </w:tabs>
        <w:spacing w:before="112" w:after="0" w:line="280" w:lineRule="auto"/>
        <w:ind w:left="224" w:right="697" w:firstLine="640"/>
        <w:jc w:val="both"/>
        <w:rPr>
          <w:sz w:val="32"/>
        </w:rPr>
      </w:pPr>
      <w:r>
        <w:rPr>
          <w:sz w:val="32"/>
        </w:rPr>
        <w:t>开展中小企业质量技术服务。健全中小企业质量提升工</w:t>
      </w:r>
      <w:r>
        <w:rPr>
          <w:spacing w:val="-4"/>
          <w:sz w:val="32"/>
        </w:rPr>
        <w:t>作机制，组织开展质量、计量、标准、检验检测、认证认可等方面的</w:t>
      </w:r>
      <w:r>
        <w:rPr>
          <w:rFonts w:ascii="Times New Roman" w:hAnsi="Times New Roman" w:eastAsia="Times New Roman"/>
          <w:spacing w:val="-4"/>
          <w:sz w:val="32"/>
        </w:rPr>
        <w:t>“</w:t>
      </w:r>
      <w:r>
        <w:rPr>
          <w:spacing w:val="-2"/>
          <w:sz w:val="32"/>
        </w:rPr>
        <w:t>质量巡诊</w:t>
      </w:r>
      <w:r>
        <w:rPr>
          <w:rFonts w:ascii="Times New Roman" w:hAnsi="Times New Roman" w:eastAsia="Times New Roman"/>
          <w:sz w:val="32"/>
        </w:rPr>
        <w:t>”“</w:t>
      </w:r>
      <w:r>
        <w:rPr>
          <w:sz w:val="32"/>
        </w:rPr>
        <w:t>质量问诊</w:t>
      </w:r>
      <w:r>
        <w:rPr>
          <w:rFonts w:ascii="Times New Roman" w:hAnsi="Times New Roman" w:eastAsia="Times New Roman"/>
          <w:sz w:val="32"/>
        </w:rPr>
        <w:t>”</w:t>
      </w:r>
      <w:r>
        <w:rPr>
          <w:sz w:val="32"/>
        </w:rPr>
        <w:t>和协同服务、公益培训，为中小</w:t>
      </w:r>
      <w:r>
        <w:rPr>
          <w:spacing w:val="-6"/>
          <w:sz w:val="32"/>
        </w:rPr>
        <w:t xml:space="preserve">企业提供质量技术服务 </w:t>
      </w:r>
      <w:r>
        <w:rPr>
          <w:rFonts w:ascii="Times New Roman" w:hAnsi="Times New Roman" w:eastAsia="Times New Roman"/>
          <w:sz w:val="32"/>
        </w:rPr>
        <w:t>20</w:t>
      </w:r>
      <w:r>
        <w:rPr>
          <w:rFonts w:ascii="Times New Roman" w:hAnsi="Times New Roman" w:eastAsia="Times New Roman"/>
          <w:spacing w:val="-2"/>
          <w:sz w:val="32"/>
        </w:rPr>
        <w:t xml:space="preserve"> </w:t>
      </w:r>
      <w:r>
        <w:rPr>
          <w:sz w:val="32"/>
        </w:rPr>
        <w:t>家（次）以上。</w:t>
      </w:r>
    </w:p>
    <w:p>
      <w:pPr>
        <w:pStyle w:val="7"/>
        <w:numPr>
          <w:ilvl w:val="0"/>
          <w:numId w:val="13"/>
        </w:numPr>
        <w:tabs>
          <w:tab w:val="left" w:pos="1107"/>
        </w:tabs>
        <w:spacing w:before="0" w:after="0" w:line="280" w:lineRule="auto"/>
        <w:ind w:left="224" w:right="699" w:firstLine="640"/>
        <w:jc w:val="both"/>
        <w:rPr>
          <w:sz w:val="32"/>
        </w:rPr>
      </w:pPr>
      <w:r>
        <w:rPr>
          <w:sz w:val="32"/>
        </w:rPr>
        <w:t>推进企业质量管理数字化转型。推动质量领先企业在技</w:t>
      </w:r>
      <w:r>
        <w:rPr>
          <w:spacing w:val="-5"/>
          <w:sz w:val="32"/>
        </w:rPr>
        <w:t>术标准、生产工艺、质量管理、检验检测、可靠性工程等方面开展数字化转型升级，树立质量管理数字化转型标杆。</w:t>
      </w:r>
    </w:p>
    <w:p>
      <w:pPr>
        <w:pStyle w:val="7"/>
        <w:numPr>
          <w:ilvl w:val="0"/>
          <w:numId w:val="13"/>
        </w:numPr>
        <w:tabs>
          <w:tab w:val="left" w:pos="1107"/>
        </w:tabs>
        <w:spacing w:before="102" w:after="0" w:line="280" w:lineRule="auto"/>
        <w:ind w:left="224" w:right="699" w:firstLine="640"/>
        <w:jc w:val="both"/>
        <w:rPr>
          <w:sz w:val="32"/>
        </w:rPr>
      </w:pPr>
      <w:r>
        <w:rPr>
          <w:sz w:val="32"/>
        </w:rPr>
        <w:t>加快劳动者质量知识和技能更新。分类推进农业、工业</w:t>
      </w:r>
      <w:r>
        <w:rPr>
          <w:spacing w:val="-1"/>
          <w:sz w:val="32"/>
        </w:rPr>
        <w:t>和服务业领域劳动者质量意识和技能培训，强化旅游从业人员</w:t>
      </w:r>
      <w:r>
        <w:rPr>
          <w:spacing w:val="-4"/>
          <w:w w:val="95"/>
          <w:sz w:val="32"/>
        </w:rPr>
        <w:t xml:space="preserve">职业素养和职业技能，开展旅行社、餐饮、住宿、交通、景区 </w:t>
      </w:r>
      <w:r>
        <w:rPr>
          <w:spacing w:val="-4"/>
          <w:sz w:val="32"/>
        </w:rPr>
        <w:t>景点、礼品店等各环节旅游从业人员培训。</w:t>
      </w:r>
    </w:p>
    <w:p>
      <w:pPr>
        <w:pStyle w:val="3"/>
        <w:spacing w:before="7"/>
        <w:rPr>
          <w:sz w:val="6"/>
        </w:rPr>
      </w:pPr>
    </w:p>
    <w:p>
      <w:pPr>
        <w:pStyle w:val="3"/>
        <w:spacing w:before="29"/>
        <w:ind w:left="1020"/>
        <w:rPr>
          <w:rFonts w:hint="eastAsia" w:ascii="方正楷体_GBK" w:eastAsia="方正楷体_GBK"/>
        </w:rPr>
      </w:pPr>
      <w:bookmarkStart w:id="34" w:name="_bookmark16"/>
      <w:bookmarkEnd w:id="34"/>
      <w:bookmarkStart w:id="35" w:name="（四）实施质量治理效能提升工程"/>
      <w:bookmarkEnd w:id="35"/>
      <w:r>
        <w:rPr>
          <w:rFonts w:hint="eastAsia" w:ascii="方正楷体_GBK" w:eastAsia="方正楷体_GBK"/>
        </w:rPr>
        <w:t>（四）实施质量治理效能提升工程</w:t>
      </w:r>
    </w:p>
    <w:p>
      <w:pPr>
        <w:pStyle w:val="7"/>
        <w:numPr>
          <w:ilvl w:val="1"/>
          <w:numId w:val="13"/>
        </w:numPr>
        <w:tabs>
          <w:tab w:val="left" w:pos="1264"/>
        </w:tabs>
        <w:spacing w:before="99" w:after="0" w:line="280" w:lineRule="auto"/>
        <w:ind w:left="380" w:right="855" w:firstLine="640"/>
        <w:jc w:val="both"/>
        <w:rPr>
          <w:sz w:val="32"/>
        </w:rPr>
      </w:pPr>
      <w:bookmarkStart w:id="36" w:name="1.持续优化营商环境。深化市场准入制度改革，全面推进“证照分离”改革，推动实现企"/>
      <w:bookmarkEnd w:id="36"/>
      <w:bookmarkStart w:id="37" w:name="1.持续优化营商环境。深化市场准入制度改革，全面推进“证照分离”改革，推动实现企"/>
      <w:bookmarkEnd w:id="37"/>
      <w:r>
        <w:rPr>
          <w:b/>
          <w:spacing w:val="3"/>
          <w:w w:val="95"/>
          <w:sz w:val="32"/>
        </w:rPr>
        <w:t>持续优化营商环境。</w:t>
      </w:r>
      <w:r>
        <w:rPr>
          <w:spacing w:val="-1"/>
          <w:w w:val="95"/>
          <w:sz w:val="32"/>
        </w:rPr>
        <w:t xml:space="preserve">深化市场准入制度改革，全面推 </w:t>
      </w:r>
      <w:r>
        <w:rPr>
          <w:sz w:val="32"/>
        </w:rPr>
        <w:t>进</w:t>
      </w:r>
      <w:r>
        <w:rPr>
          <w:rFonts w:ascii="Times New Roman" w:hAnsi="Times New Roman" w:eastAsia="Times New Roman"/>
          <w:sz w:val="32"/>
        </w:rPr>
        <w:t>“</w:t>
      </w:r>
      <w:r>
        <w:rPr>
          <w:sz w:val="32"/>
        </w:rPr>
        <w:t>证照分离</w:t>
      </w:r>
      <w:r>
        <w:rPr>
          <w:rFonts w:ascii="Times New Roman" w:hAnsi="Times New Roman" w:eastAsia="Times New Roman"/>
          <w:sz w:val="32"/>
        </w:rPr>
        <w:t>”</w:t>
      </w:r>
      <w:r>
        <w:rPr>
          <w:sz w:val="32"/>
        </w:rPr>
        <w:t>改革，推动实现企业开办、行政审批、企业注销等政务服务事项</w:t>
      </w:r>
      <w:r>
        <w:rPr>
          <w:rFonts w:ascii="Times New Roman" w:hAnsi="Times New Roman" w:eastAsia="Times New Roman"/>
          <w:sz w:val="32"/>
        </w:rPr>
        <w:t>“</w:t>
      </w:r>
      <w:r>
        <w:rPr>
          <w:sz w:val="32"/>
        </w:rPr>
        <w:t>一网通办</w:t>
      </w:r>
      <w:r>
        <w:rPr>
          <w:rFonts w:ascii="Times New Roman" w:hAnsi="Times New Roman" w:eastAsia="Times New Roman"/>
          <w:spacing w:val="3"/>
          <w:sz w:val="32"/>
        </w:rPr>
        <w:t>”</w:t>
      </w:r>
      <w:r>
        <w:rPr>
          <w:sz w:val="32"/>
        </w:rPr>
        <w:t>，推行</w:t>
      </w:r>
      <w:r>
        <w:rPr>
          <w:rFonts w:ascii="Times New Roman" w:hAnsi="Times New Roman" w:eastAsia="Times New Roman"/>
          <w:sz w:val="32"/>
        </w:rPr>
        <w:t>“</w:t>
      </w:r>
      <w:r>
        <w:rPr>
          <w:spacing w:val="1"/>
          <w:sz w:val="32"/>
        </w:rPr>
        <w:t>不见面审批</w:t>
      </w:r>
      <w:r>
        <w:rPr>
          <w:rFonts w:ascii="Times New Roman" w:hAnsi="Times New Roman" w:eastAsia="Times New Roman"/>
          <w:sz w:val="32"/>
        </w:rPr>
        <w:t>”</w:t>
      </w:r>
      <w:r>
        <w:rPr>
          <w:sz w:val="32"/>
        </w:rPr>
        <w:t>。健全完</w:t>
      </w:r>
    </w:p>
    <w:p>
      <w:pPr>
        <w:spacing w:after="0" w:line="280" w:lineRule="auto"/>
        <w:jc w:val="both"/>
        <w:rPr>
          <w:sz w:val="32"/>
        </w:rPr>
        <w:sectPr>
          <w:pgSz w:w="11910" w:h="16840"/>
          <w:pgMar w:top="1420" w:right="940" w:bottom="1380" w:left="1420" w:header="0" w:footer="1182" w:gutter="0"/>
        </w:sectPr>
      </w:pPr>
    </w:p>
    <w:p>
      <w:pPr>
        <w:pStyle w:val="3"/>
        <w:spacing w:before="3" w:line="280" w:lineRule="auto"/>
        <w:ind w:left="380" w:right="857"/>
        <w:jc w:val="both"/>
      </w:pPr>
      <w:bookmarkStart w:id="38" w:name="_bookmark20"/>
      <w:bookmarkEnd w:id="38"/>
      <w:r>
        <w:rPr>
          <w:spacing w:val="19"/>
          <w:w w:val="95"/>
        </w:rPr>
        <w:t>善以市场主体和社会公众满意度为导向的营商环境</w:t>
      </w:r>
      <w:r>
        <w:rPr>
          <w:rFonts w:ascii="Times New Roman" w:hAnsi="Times New Roman" w:eastAsia="Times New Roman"/>
          <w:spacing w:val="19"/>
          <w:w w:val="95"/>
        </w:rPr>
        <w:t>“</w:t>
      </w:r>
      <w:r>
        <w:rPr>
          <w:spacing w:val="10"/>
          <w:w w:val="95"/>
        </w:rPr>
        <w:t>红黑 榜</w:t>
      </w:r>
      <w:r>
        <w:rPr>
          <w:rFonts w:ascii="Times New Roman" w:hAnsi="Times New Roman" w:eastAsia="Times New Roman"/>
          <w:spacing w:val="10"/>
          <w:w w:val="95"/>
        </w:rPr>
        <w:t>”</w:t>
      </w:r>
      <w:r>
        <w:rPr>
          <w:spacing w:val="-12"/>
          <w:w w:val="95"/>
        </w:rPr>
        <w:t>、政务服务</w:t>
      </w:r>
      <w:r>
        <w:rPr>
          <w:rFonts w:ascii="Times New Roman" w:hAnsi="Times New Roman" w:eastAsia="Times New Roman"/>
          <w:w w:val="95"/>
        </w:rPr>
        <w:t>“</w:t>
      </w:r>
      <w:r>
        <w:rPr>
          <w:w w:val="95"/>
        </w:rPr>
        <w:t>好差评</w:t>
      </w:r>
      <w:r>
        <w:rPr>
          <w:rFonts w:ascii="Times New Roman" w:hAnsi="Times New Roman" w:eastAsia="Times New Roman"/>
          <w:w w:val="95"/>
        </w:rPr>
        <w:t>”</w:t>
      </w:r>
      <w:r>
        <w:rPr>
          <w:spacing w:val="-8"/>
          <w:w w:val="95"/>
        </w:rPr>
        <w:t xml:space="preserve">制度，完善营商环境投诉举报回应制 </w:t>
      </w:r>
      <w:r>
        <w:rPr>
          <w:spacing w:val="-4"/>
          <w:w w:val="95"/>
        </w:rPr>
        <w:t xml:space="preserve">度，提高政务服务质量。落实公平竞争审查制度，建立健全 </w:t>
      </w:r>
      <w:r>
        <w:rPr>
          <w:spacing w:val="-5"/>
        </w:rPr>
        <w:t>公平竞争审查抽查、考核、举报处理回应机制，推行第三方评估。加强反垄断和反不正当竞争执法司法，平等保护各类市场主体合法权益。</w:t>
      </w:r>
    </w:p>
    <w:p>
      <w:pPr>
        <w:pStyle w:val="7"/>
        <w:numPr>
          <w:ilvl w:val="1"/>
          <w:numId w:val="13"/>
        </w:numPr>
        <w:tabs>
          <w:tab w:val="left" w:pos="1263"/>
        </w:tabs>
        <w:spacing w:before="0" w:after="0" w:line="500" w:lineRule="exact"/>
        <w:ind w:left="1262" w:right="0" w:hanging="243"/>
        <w:jc w:val="left"/>
        <w:rPr>
          <w:sz w:val="32"/>
        </w:rPr>
      </w:pPr>
      <w:bookmarkStart w:id="39" w:name="2.营造放心消费环境。积极开展诚信经营放心消费创建，着力优化消费环境，积极完善消"/>
      <w:bookmarkEnd w:id="39"/>
      <w:bookmarkStart w:id="40" w:name="2.营造放心消费环境。积极开展诚信经营放心消费创建，着力优化消费环境，积极完善消"/>
      <w:bookmarkEnd w:id="40"/>
      <w:r>
        <w:rPr>
          <w:b/>
          <w:spacing w:val="-12"/>
          <w:sz w:val="32"/>
        </w:rPr>
        <w:t>营造放心消费环境。</w:t>
      </w:r>
      <w:r>
        <w:rPr>
          <w:sz w:val="32"/>
        </w:rPr>
        <w:t>积极开展诚信经营放心消费创建，</w:t>
      </w:r>
    </w:p>
    <w:p>
      <w:pPr>
        <w:pStyle w:val="3"/>
        <w:spacing w:before="85" w:line="280" w:lineRule="auto"/>
        <w:ind w:left="380" w:right="699"/>
      </w:pPr>
      <w:r>
        <w:rPr>
          <w:spacing w:val="-2"/>
        </w:rPr>
        <w:t>着力优化消费环境，积极完善消费体制机制，落实经营者主</w:t>
      </w:r>
      <w:r>
        <w:rPr>
          <w:spacing w:val="-15"/>
          <w:w w:val="95"/>
        </w:rPr>
        <w:t xml:space="preserve">体责任，推动消费维权社会共治。倡导科学消费、理性消费、 </w:t>
      </w:r>
      <w:r>
        <w:rPr>
          <w:spacing w:val="-8"/>
        </w:rPr>
        <w:t>绿色消费，开展消费风险警示，提高消费者主体意识和维权</w:t>
      </w:r>
      <w:r>
        <w:rPr>
          <w:spacing w:val="-6"/>
        </w:rPr>
        <w:t>能力。健全消费者权益保护工作部门协作机制，加强预付式</w:t>
      </w:r>
      <w:r>
        <w:rPr>
          <w:spacing w:val="-11"/>
        </w:rPr>
        <w:t xml:space="preserve">消费监管和消费维权案件查处，推进 </w:t>
      </w:r>
      <w:r>
        <w:rPr>
          <w:rFonts w:ascii="Times New Roman" w:eastAsia="Times New Roman"/>
        </w:rPr>
        <w:t xml:space="preserve">12315 </w:t>
      </w:r>
      <w:r>
        <w:t>消费维权服务站</w:t>
      </w:r>
      <w:r>
        <w:rPr>
          <w:spacing w:val="-1"/>
        </w:rPr>
        <w:t>及消费纠纷在线解决机制建设，探索建立纠纷多元化解决机制，完善诉调解对接机制。</w:t>
      </w:r>
    </w:p>
    <w:p>
      <w:pPr>
        <w:pStyle w:val="7"/>
        <w:numPr>
          <w:ilvl w:val="1"/>
          <w:numId w:val="13"/>
        </w:numPr>
        <w:tabs>
          <w:tab w:val="left" w:pos="1264"/>
        </w:tabs>
        <w:spacing w:before="0" w:after="0" w:line="497" w:lineRule="exact"/>
        <w:ind w:left="1263" w:right="0" w:hanging="244"/>
        <w:jc w:val="left"/>
        <w:rPr>
          <w:sz w:val="32"/>
        </w:rPr>
      </w:pPr>
      <w:bookmarkStart w:id="41" w:name="3.改进质量监管方式。推进生产流通领域统一监管和线上线下一体化监管。探索信用风险"/>
      <w:bookmarkEnd w:id="41"/>
      <w:bookmarkStart w:id="42" w:name="3.改进质量监管方式。推进生产流通领域统一监管和线上线下一体化监管。探索信用风险"/>
      <w:bookmarkEnd w:id="42"/>
      <w:r>
        <w:rPr>
          <w:b/>
          <w:spacing w:val="3"/>
          <w:sz w:val="32"/>
        </w:rPr>
        <w:t>改进质量监管方式。</w:t>
      </w:r>
      <w:r>
        <w:rPr>
          <w:sz w:val="32"/>
        </w:rPr>
        <w:t>推进生产流通领域统一监管和线</w:t>
      </w:r>
    </w:p>
    <w:p>
      <w:pPr>
        <w:pStyle w:val="3"/>
        <w:spacing w:before="85" w:line="280" w:lineRule="auto"/>
        <w:ind w:left="380" w:right="855"/>
        <w:jc w:val="both"/>
      </w:pPr>
      <w:r>
        <w:rPr>
          <w:spacing w:val="-13"/>
        </w:rPr>
        <w:t>上线下一体化监管。探索信用风险分级分类监管，推行</w:t>
      </w:r>
      <w:r>
        <w:rPr>
          <w:rFonts w:ascii="Times New Roman" w:hAnsi="Times New Roman" w:eastAsia="Times New Roman"/>
        </w:rPr>
        <w:t>“</w:t>
      </w:r>
      <w:r>
        <w:t>双随</w:t>
      </w:r>
      <w:r>
        <w:rPr>
          <w:spacing w:val="-12"/>
        </w:rPr>
        <w:t>机、一公开</w:t>
      </w:r>
      <w:r>
        <w:rPr>
          <w:rFonts w:ascii="Times New Roman" w:hAnsi="Times New Roman" w:eastAsia="Times New Roman"/>
        </w:rPr>
        <w:t>”</w:t>
      </w:r>
      <w:r>
        <w:rPr>
          <w:spacing w:val="-11"/>
        </w:rPr>
        <w:t>监管，实施信用约束和联合惩戒，提升信用监管</w:t>
      </w:r>
      <w:r>
        <w:rPr>
          <w:spacing w:val="-6"/>
        </w:rPr>
        <w:t>水平。建立重点监管清单制度，依法依规实行全过程质量监</w:t>
      </w:r>
      <w:r>
        <w:rPr>
          <w:spacing w:val="-14"/>
        </w:rPr>
        <w:t>管。建立包容审慎监管目录库，实行包容审慎监管。推进</w:t>
      </w:r>
      <w:r>
        <w:rPr>
          <w:rFonts w:ascii="Times New Roman" w:hAnsi="Times New Roman" w:eastAsia="Times New Roman"/>
        </w:rPr>
        <w:t>“</w:t>
      </w:r>
      <w:r>
        <w:t>互联网</w:t>
      </w:r>
      <w:r>
        <w:rPr>
          <w:rFonts w:ascii="Times New Roman" w:hAnsi="Times New Roman" w:eastAsia="Times New Roman"/>
        </w:rPr>
        <w:t>+”</w:t>
      </w:r>
      <w:r>
        <w:rPr>
          <w:spacing w:val="-3"/>
        </w:rPr>
        <w:t>智慧监管，加快实现质量监管各类业务应用数字化全</w:t>
      </w:r>
      <w:r>
        <w:rPr>
          <w:spacing w:val="-5"/>
        </w:rPr>
        <w:t>覆盖、全流程打通、数据全融合。加强产品伤害监测及预防干预，落实产品质量安全事故强制报告与调查制度，探索推行产品质量担保制度。</w:t>
      </w:r>
    </w:p>
    <w:p>
      <w:pPr>
        <w:spacing w:after="0" w:line="280" w:lineRule="auto"/>
        <w:jc w:val="both"/>
        <w:sectPr>
          <w:pgSz w:w="11910" w:h="16840"/>
          <w:pgMar w:top="1540" w:right="940" w:bottom="1380" w:left="1420" w:header="0" w:footer="1182" w:gutter="0"/>
        </w:sectPr>
      </w:pPr>
    </w:p>
    <w:p>
      <w:pPr>
        <w:pStyle w:val="7"/>
        <w:numPr>
          <w:ilvl w:val="1"/>
          <w:numId w:val="13"/>
        </w:numPr>
        <w:tabs>
          <w:tab w:val="left" w:pos="1271"/>
        </w:tabs>
        <w:spacing w:before="3" w:after="0" w:line="280" w:lineRule="auto"/>
        <w:ind w:left="380" w:right="845" w:firstLine="640"/>
        <w:jc w:val="both"/>
        <w:rPr>
          <w:sz w:val="32"/>
        </w:rPr>
      </w:pPr>
      <w:bookmarkStart w:id="43" w:name="4.加强重点领域质量监管。认真落实“管行业必须管安全、管业务必须管安全、管生产经"/>
      <w:bookmarkEnd w:id="43"/>
      <w:bookmarkStart w:id="44" w:name="4.加强重点领域质量监管。认真落实“管行业必须管安全、管业务必须管安全、管生产经"/>
      <w:bookmarkEnd w:id="44"/>
      <w:r>
        <w:rPr>
          <w:b/>
          <w:spacing w:val="12"/>
          <w:w w:val="95"/>
          <w:sz w:val="32"/>
        </w:rPr>
        <w:t>加强重点领域质量监管。</w:t>
      </w:r>
      <w:r>
        <w:rPr>
          <w:spacing w:val="9"/>
          <w:w w:val="95"/>
          <w:sz w:val="32"/>
        </w:rPr>
        <w:t>认真落实</w:t>
      </w:r>
      <w:r>
        <w:rPr>
          <w:rFonts w:ascii="Times New Roman" w:hAnsi="Times New Roman" w:eastAsia="Times New Roman"/>
          <w:spacing w:val="9"/>
          <w:w w:val="95"/>
          <w:sz w:val="32"/>
        </w:rPr>
        <w:t>“</w:t>
      </w:r>
      <w:r>
        <w:rPr>
          <w:spacing w:val="7"/>
          <w:w w:val="95"/>
          <w:sz w:val="32"/>
        </w:rPr>
        <w:t xml:space="preserve">管行业必须管安 </w:t>
      </w:r>
      <w:r>
        <w:rPr>
          <w:spacing w:val="-11"/>
          <w:sz w:val="32"/>
        </w:rPr>
        <w:t>全、管业务必须管安全、管生产经营必须管安全</w:t>
      </w:r>
      <w:r>
        <w:rPr>
          <w:rFonts w:ascii="Times New Roman" w:hAnsi="Times New Roman" w:eastAsia="Times New Roman"/>
          <w:sz w:val="32"/>
        </w:rPr>
        <w:t>”</w:t>
      </w:r>
      <w:r>
        <w:rPr>
          <w:spacing w:val="-11"/>
          <w:sz w:val="32"/>
        </w:rPr>
        <w:t>要求，深化</w:t>
      </w:r>
      <w:r>
        <w:rPr>
          <w:spacing w:val="-8"/>
          <w:sz w:val="32"/>
        </w:rPr>
        <w:t>主要农产品、食品、药品、工业产品、工程建设等重点行业领域安全专项监管。围绕社会热点和消费者关注的产品，加大产品质量监督抽查、执法检查力度。加强旅游市场整治， 持续推进</w:t>
      </w:r>
      <w:r>
        <w:rPr>
          <w:rFonts w:ascii="Times New Roman" w:hAnsi="Times New Roman" w:eastAsia="Times New Roman"/>
          <w:spacing w:val="-8"/>
          <w:sz w:val="32"/>
        </w:rPr>
        <w:t>“</w:t>
      </w:r>
      <w:r>
        <w:rPr>
          <w:spacing w:val="-8"/>
          <w:sz w:val="32"/>
        </w:rPr>
        <w:t>整治乱象</w:t>
      </w:r>
      <w:r>
        <w:rPr>
          <w:rFonts w:ascii="Times New Roman" w:hAnsi="Times New Roman" w:eastAsia="Times New Roman"/>
          <w:spacing w:val="-8"/>
          <w:sz w:val="32"/>
        </w:rPr>
        <w:t>”</w:t>
      </w:r>
      <w:r>
        <w:rPr>
          <w:spacing w:val="-8"/>
          <w:sz w:val="32"/>
        </w:rPr>
        <w:t xml:space="preserve">，完善旅游购物退货机制，维护旅游市场秩序和游客合法权益。完善特种设备动态监管信息系统， </w:t>
      </w:r>
      <w:r>
        <w:rPr>
          <w:spacing w:val="11"/>
          <w:w w:val="95"/>
          <w:sz w:val="32"/>
        </w:rPr>
        <w:t xml:space="preserve">建立特种设备安全风险分级管控和隐患排查治理双重预防 </w:t>
      </w:r>
      <w:r>
        <w:rPr>
          <w:spacing w:val="-1"/>
          <w:sz w:val="32"/>
        </w:rPr>
        <w:t>工作信息系统，建设气瓶质量安全追溯平台。落实建设工程</w:t>
      </w:r>
      <w:r>
        <w:rPr>
          <w:spacing w:val="-3"/>
          <w:sz w:val="32"/>
        </w:rPr>
        <w:t xml:space="preserve">参建各方工程质量主体责任，突出建设单位首要责任，完善建设工程质量安全责任终身追究机制。加大设备监理工作， </w:t>
      </w:r>
      <w:r>
        <w:rPr>
          <w:spacing w:val="-5"/>
          <w:sz w:val="32"/>
        </w:rPr>
        <w:t>鼓励有条件的企业、机构培养设备监理人才，提供社会化监</w:t>
      </w:r>
      <w:r>
        <w:rPr>
          <w:spacing w:val="-6"/>
          <w:sz w:val="32"/>
        </w:rPr>
        <w:t>理服务。集中整治网络交易市场突出问题，净化网络交易市场环境。</w:t>
      </w:r>
    </w:p>
    <w:p>
      <w:pPr>
        <w:pStyle w:val="7"/>
        <w:numPr>
          <w:ilvl w:val="1"/>
          <w:numId w:val="13"/>
        </w:numPr>
        <w:tabs>
          <w:tab w:val="left" w:pos="1264"/>
        </w:tabs>
        <w:spacing w:before="0" w:after="0" w:line="479" w:lineRule="exact"/>
        <w:ind w:left="1263" w:right="0" w:hanging="244"/>
        <w:jc w:val="left"/>
        <w:rPr>
          <w:sz w:val="32"/>
        </w:rPr>
      </w:pPr>
      <w:bookmarkStart w:id="45" w:name="5.构建质量多元共治格局。推动行业协会、商会建立健全行业经营自律规范、自律公约和"/>
      <w:bookmarkEnd w:id="45"/>
      <w:bookmarkStart w:id="46" w:name="5.构建质量多元共治格局。推动行业协会、商会建立健全行业经营自律规范、自律公约和"/>
      <w:bookmarkEnd w:id="46"/>
      <w:r>
        <w:rPr>
          <w:b/>
          <w:spacing w:val="2"/>
          <w:sz w:val="32"/>
        </w:rPr>
        <w:t>构建质量多元共治格局。</w:t>
      </w:r>
      <w:r>
        <w:rPr>
          <w:sz w:val="32"/>
        </w:rPr>
        <w:t>推动行业协会、商会建立健</w:t>
      </w:r>
    </w:p>
    <w:p>
      <w:pPr>
        <w:pStyle w:val="3"/>
        <w:spacing w:before="85" w:line="280" w:lineRule="auto"/>
        <w:ind w:left="380" w:right="857"/>
        <w:jc w:val="both"/>
      </w:pPr>
      <w:r>
        <w:pict>
          <v:shape id="_x0000_s1041" o:spid="_x0000_s1041" o:spt="202" type="#_x0000_t202" style="position:absolute;left:0pt;margin-left:76.8pt;margin-top:178.45pt;height:30.5pt;width:441.75pt;mso-position-horizontal-relative:page;z-index:-252368896;mso-width-relative:page;mso-height-relative:page;" filled="f" stroked="t" coordsize="21600,21600">
            <v:path/>
            <v:fill on="f" focussize="0,0"/>
            <v:stroke weight="0.48pt" color="#000000"/>
            <v:imagedata o:title=""/>
            <o:lock v:ext="edit"/>
            <v:textbox inset="0mm,0mm,0mm,0mm">
              <w:txbxContent>
                <w:p>
                  <w:pPr>
                    <w:tabs>
                      <w:tab w:val="left" w:pos="1048"/>
                    </w:tabs>
                    <w:spacing w:before="167" w:line="433" w:lineRule="exact"/>
                    <w:ind w:left="0" w:right="0" w:firstLine="0"/>
                    <w:jc w:val="center"/>
                    <w:rPr>
                      <w:rFonts w:hint="eastAsia" w:ascii="方正黑体_GBK" w:eastAsia="方正黑体_GBK"/>
                      <w:sz w:val="28"/>
                    </w:rPr>
                  </w:pPr>
                  <w:r>
                    <w:rPr>
                      <w:rFonts w:hint="eastAsia" w:ascii="方正黑体_GBK" w:eastAsia="方正黑体_GBK"/>
                      <w:sz w:val="28"/>
                    </w:rPr>
                    <w:t>专栏</w:t>
                  </w:r>
                  <w:r>
                    <w:rPr>
                      <w:rFonts w:hint="eastAsia" w:ascii="方正黑体_GBK" w:eastAsia="方正黑体_GBK"/>
                      <w:spacing w:val="-11"/>
                      <w:sz w:val="28"/>
                    </w:rPr>
                    <w:t xml:space="preserve"> </w:t>
                  </w:r>
                  <w:r>
                    <w:rPr>
                      <w:rFonts w:ascii="Times New Roman" w:eastAsia="Times New Roman"/>
                      <w:sz w:val="28"/>
                    </w:rPr>
                    <w:t>4</w:t>
                  </w:r>
                  <w:r>
                    <w:rPr>
                      <w:rFonts w:ascii="Times New Roman" w:eastAsia="Times New Roman"/>
                      <w:sz w:val="28"/>
                    </w:rPr>
                    <w:tab/>
                  </w:r>
                  <w:r>
                    <w:rPr>
                      <w:rFonts w:hint="eastAsia" w:ascii="方正黑体_GBK" w:eastAsia="方正黑体_GBK"/>
                      <w:sz w:val="28"/>
                    </w:rPr>
                    <w:t>实</w:t>
                  </w:r>
                  <w:r>
                    <w:rPr>
                      <w:rFonts w:hint="eastAsia" w:ascii="方正黑体_GBK" w:eastAsia="方正黑体_GBK"/>
                      <w:spacing w:val="-3"/>
                      <w:sz w:val="28"/>
                    </w:rPr>
                    <w:t>施</w:t>
                  </w:r>
                  <w:r>
                    <w:rPr>
                      <w:rFonts w:hint="eastAsia" w:ascii="方正黑体_GBK" w:eastAsia="方正黑体_GBK"/>
                      <w:sz w:val="28"/>
                    </w:rPr>
                    <w:t>质量</w:t>
                  </w:r>
                  <w:r>
                    <w:rPr>
                      <w:rFonts w:hint="eastAsia" w:ascii="方正黑体_GBK" w:eastAsia="方正黑体_GBK"/>
                      <w:spacing w:val="-3"/>
                      <w:sz w:val="28"/>
                    </w:rPr>
                    <w:t>治</w:t>
                  </w:r>
                  <w:r>
                    <w:rPr>
                      <w:rFonts w:hint="eastAsia" w:ascii="方正黑体_GBK" w:eastAsia="方正黑体_GBK"/>
                      <w:sz w:val="28"/>
                    </w:rPr>
                    <w:t>理效</w:t>
                  </w:r>
                  <w:r>
                    <w:rPr>
                      <w:rFonts w:hint="eastAsia" w:ascii="方正黑体_GBK" w:eastAsia="方正黑体_GBK"/>
                      <w:spacing w:val="-3"/>
                      <w:sz w:val="28"/>
                    </w:rPr>
                    <w:t>能</w:t>
                  </w:r>
                  <w:r>
                    <w:rPr>
                      <w:rFonts w:hint="eastAsia" w:ascii="方正黑体_GBK" w:eastAsia="方正黑体_GBK"/>
                      <w:sz w:val="28"/>
                    </w:rPr>
                    <w:t>提升</w:t>
                  </w:r>
                  <w:r>
                    <w:rPr>
                      <w:rFonts w:hint="eastAsia" w:ascii="方正黑体_GBK" w:eastAsia="方正黑体_GBK"/>
                      <w:spacing w:val="-3"/>
                      <w:sz w:val="28"/>
                    </w:rPr>
                    <w:t>工</w:t>
                  </w:r>
                  <w:r>
                    <w:rPr>
                      <w:rFonts w:hint="eastAsia" w:ascii="方正黑体_GBK" w:eastAsia="方正黑体_GBK"/>
                      <w:sz w:val="28"/>
                    </w:rPr>
                    <w:t>程</w:t>
                  </w:r>
                </w:p>
              </w:txbxContent>
            </v:textbox>
          </v:shape>
        </w:pict>
      </w:r>
      <w:r>
        <w:rPr>
          <w:spacing w:val="-2"/>
        </w:rPr>
        <w:t>全行业经营自律规范、自律公约和职业道德准则，加强行业</w:t>
      </w:r>
      <w:r>
        <w:rPr>
          <w:spacing w:val="-4"/>
          <w:w w:val="95"/>
        </w:rPr>
        <w:t xml:space="preserve">诚信自律，规范市场竞争秩序，引导和督促企业坚守商业道 德，落实质量主体责任，自觉保证产品和服务质量。健全社 </w:t>
      </w:r>
      <w:r>
        <w:rPr>
          <w:spacing w:val="-4"/>
        </w:rPr>
        <w:t>会监督机制，建立</w:t>
      </w:r>
      <w:r>
        <w:rPr>
          <w:rFonts w:ascii="Times New Roman" w:hAnsi="Times New Roman" w:eastAsia="Times New Roman"/>
          <w:spacing w:val="-4"/>
        </w:rPr>
        <w:t>“</w:t>
      </w:r>
      <w:r>
        <w:rPr>
          <w:spacing w:val="-4"/>
        </w:rPr>
        <w:t>吹哨人</w:t>
      </w:r>
      <w:r>
        <w:rPr>
          <w:rFonts w:ascii="Times New Roman" w:hAnsi="Times New Roman" w:eastAsia="Times New Roman"/>
          <w:spacing w:val="-4"/>
        </w:rPr>
        <w:t>”</w:t>
      </w:r>
      <w:r>
        <w:rPr>
          <w:spacing w:val="-4"/>
        </w:rPr>
        <w:t>、内部举报人等制度，发挥新闻</w:t>
      </w:r>
      <w:r>
        <w:rPr>
          <w:spacing w:val="-6"/>
        </w:rPr>
        <w:t>媒体质量舆论宣传、舆情引导作用，及时回应处置群众举报投诉、新闻媒体反映的问题，依法公开处理结果。</w:t>
      </w:r>
    </w:p>
    <w:p>
      <w:pPr>
        <w:pStyle w:val="3"/>
        <w:rPr>
          <w:sz w:val="27"/>
        </w:rPr>
      </w:pPr>
      <w:r>
        <w:pict>
          <v:shape id="_x0000_s1042" o:spid="_x0000_s1042" o:spt="202" type="#_x0000_t202" style="position:absolute;left:0pt;margin-left:76.8pt;margin-top:23.95pt;height:30.9pt;width:441.75pt;mso-position-horizontal-relative:page;mso-wrap-distance-bottom:0pt;mso-wrap-distance-top:0pt;z-index:-251648000;mso-width-relative:page;mso-height-relative:page;" filled="f" stroked="t" coordsize="21600,21600">
            <v:path/>
            <v:fill on="f" focussize="0,0"/>
            <v:stroke weight="0.48pt" color="#000000"/>
            <v:imagedata o:title=""/>
            <o:lock v:ext="edit"/>
            <v:textbox inset="0mm,0mm,0mm,0mm">
              <w:txbxContent>
                <w:p>
                  <w:pPr>
                    <w:pStyle w:val="3"/>
                    <w:spacing w:before="122" w:line="486" w:lineRule="exact"/>
                    <w:ind w:left="743"/>
                  </w:pPr>
                  <w:r>
                    <w:rPr>
                      <w:rFonts w:ascii="Times New Roman" w:hAnsi="Times New Roman" w:eastAsia="Times New Roman"/>
                    </w:rPr>
                    <w:t>1.</w:t>
                  </w:r>
                  <w:r>
                    <w:t>开展放心消费行动。围绕世界一流</w:t>
                  </w:r>
                  <w:r>
                    <w:rPr>
                      <w:rFonts w:ascii="Times New Roman" w:hAnsi="Times New Roman" w:eastAsia="Times New Roman"/>
                    </w:rPr>
                    <w:t>“</w:t>
                  </w:r>
                  <w:r>
                    <w:t>三张牌</w:t>
                  </w:r>
                  <w:r>
                    <w:rPr>
                      <w:rFonts w:ascii="Times New Roman" w:hAnsi="Times New Roman" w:eastAsia="Times New Roman"/>
                    </w:rPr>
                    <w:t>”</w:t>
                  </w:r>
                  <w:r>
                    <w:t>加强认证检</w:t>
                  </w:r>
                </w:p>
              </w:txbxContent>
            </v:textbox>
            <w10:wrap type="topAndBottom"/>
          </v:shape>
        </w:pict>
      </w:r>
    </w:p>
    <w:p>
      <w:pPr>
        <w:spacing w:after="0"/>
        <w:rPr>
          <w:sz w:val="27"/>
        </w:rPr>
        <w:sectPr>
          <w:pgSz w:w="11910" w:h="16840"/>
          <w:pgMar w:top="1540" w:right="940" w:bottom="1380" w:left="1420" w:header="0" w:footer="1182" w:gutter="0"/>
        </w:sectPr>
      </w:pPr>
    </w:p>
    <w:p>
      <w:pPr>
        <w:pStyle w:val="3"/>
        <w:spacing w:before="14"/>
        <w:rPr>
          <w:sz w:val="6"/>
        </w:rPr>
      </w:pPr>
    </w:p>
    <w:p>
      <w:pPr>
        <w:pStyle w:val="3"/>
        <w:spacing w:before="22" w:line="280" w:lineRule="auto"/>
        <w:ind w:left="224" w:right="542"/>
      </w:pPr>
      <w:r>
        <w:pict>
          <v:shape id="_x0000_s1043" o:spid="_x0000_s1043" style="position:absolute;left:0pt;margin-left:76.55pt;margin-top:103.7pt;height:588.75pt;width:442.25pt;mso-position-horizontal-relative:page;z-index:-252367872;mso-width-relative:page;mso-height-relative:page;" filled="f" stroked="t" coordorigin="1531,2075" coordsize="8845,11775" path="m1531,-104l10376,-104m1531,11666l10376,11666m1536,-109l1536,11661m10371,-109l10371,11661e">
            <v:path arrowok="t"/>
            <v:fill on="f" focussize="0,0"/>
            <v:stroke weight="0.48pt" color="#000000"/>
            <v:imagedata o:title=""/>
            <o:lock v:ext="edit"/>
          </v:shape>
        </w:pict>
      </w:r>
      <w:r>
        <w:rPr>
          <w:spacing w:val="-15"/>
        </w:rPr>
        <w:t xml:space="preserve">测机构监管，整治认证检测乱象。深入开展民生计量专项行动， </w:t>
      </w:r>
      <w:r>
        <w:t>加强眼镜配制场所、电子计价秤、</w:t>
      </w:r>
      <w:r>
        <w:rPr>
          <w:rFonts w:ascii="Times New Roman" w:hAnsi="Times New Roman" w:eastAsia="Times New Roman"/>
        </w:rPr>
        <w:t>“</w:t>
      </w:r>
      <w:r>
        <w:t>民用三表</w:t>
      </w:r>
      <w:r>
        <w:rPr>
          <w:rFonts w:ascii="Times New Roman" w:hAnsi="Times New Roman" w:eastAsia="Times New Roman"/>
        </w:rPr>
        <w:t>”</w:t>
      </w:r>
      <w:r>
        <w:t xml:space="preserve">、能源计量器具的计量监管。在食品、药品、疫苗、新能源汽车等产品领域， </w:t>
      </w:r>
      <w:r>
        <w:rPr>
          <w:spacing w:val="-4"/>
        </w:rPr>
        <w:t>旅游、餐饮、外卖、网络购物等服务领域，商场、农贸市场等</w:t>
      </w:r>
      <w:r>
        <w:rPr>
          <w:spacing w:val="-6"/>
        </w:rPr>
        <w:t>重点消费场所开展放心消费行动，培育放心消费示范企业、示</w:t>
      </w:r>
      <w:r>
        <w:rPr>
          <w:spacing w:val="-5"/>
        </w:rPr>
        <w:t>范街区。保障消费者合法权益，营造诚信便捷消费环境，消费</w:t>
      </w:r>
      <w:r>
        <w:rPr>
          <w:spacing w:val="-12"/>
        </w:rPr>
        <w:t xml:space="preserve">者投诉办结率达到 </w:t>
      </w:r>
      <w:r>
        <w:rPr>
          <w:rFonts w:ascii="Times New Roman" w:hAnsi="Times New Roman" w:eastAsia="Times New Roman"/>
        </w:rPr>
        <w:t>95%</w:t>
      </w:r>
      <w:r>
        <w:t>以上。</w:t>
      </w:r>
    </w:p>
    <w:p>
      <w:pPr>
        <w:pStyle w:val="7"/>
        <w:numPr>
          <w:ilvl w:val="0"/>
          <w:numId w:val="14"/>
        </w:numPr>
        <w:tabs>
          <w:tab w:val="left" w:pos="1107"/>
        </w:tabs>
        <w:spacing w:before="102" w:after="0" w:line="280" w:lineRule="auto"/>
        <w:ind w:left="224" w:right="545" w:firstLine="640"/>
        <w:jc w:val="left"/>
        <w:rPr>
          <w:sz w:val="32"/>
        </w:rPr>
      </w:pPr>
      <w:r>
        <w:rPr>
          <w:sz w:val="32"/>
        </w:rPr>
        <w:t>推进质量监管智能化。开展质量追溯体系建设，重点场</w:t>
      </w:r>
      <w:r>
        <w:rPr>
          <w:spacing w:val="-1"/>
          <w:sz w:val="32"/>
        </w:rPr>
        <w:t>所和重点产品率先实现质量追溯全程监管。推进食品安全追溯体系建设，完善</w:t>
      </w:r>
      <w:r>
        <w:rPr>
          <w:rFonts w:ascii="Times New Roman" w:hAnsi="Times New Roman" w:eastAsia="Times New Roman"/>
          <w:spacing w:val="-1"/>
          <w:sz w:val="32"/>
        </w:rPr>
        <w:t>“</w:t>
      </w:r>
      <w:r>
        <w:rPr>
          <w:spacing w:val="-1"/>
          <w:sz w:val="32"/>
        </w:rPr>
        <w:t>云智溯</w:t>
      </w:r>
      <w:r>
        <w:rPr>
          <w:rFonts w:ascii="Times New Roman" w:hAnsi="Times New Roman" w:eastAsia="Times New Roman"/>
          <w:spacing w:val="-1"/>
          <w:sz w:val="32"/>
        </w:rPr>
        <w:t>”</w:t>
      </w:r>
      <w:r>
        <w:rPr>
          <w:spacing w:val="-1"/>
          <w:sz w:val="32"/>
        </w:rPr>
        <w:t>管理平台。食用农产品和食品抽检量</w:t>
      </w:r>
      <w:r>
        <w:rPr>
          <w:spacing w:val="-10"/>
          <w:sz w:val="32"/>
        </w:rPr>
        <w:t xml:space="preserve">达到 </w:t>
      </w:r>
      <w:r>
        <w:rPr>
          <w:rFonts w:ascii="Times New Roman" w:hAnsi="Times New Roman" w:eastAsia="Times New Roman"/>
          <w:sz w:val="32"/>
        </w:rPr>
        <w:t>4</w:t>
      </w:r>
      <w:r>
        <w:rPr>
          <w:rFonts w:ascii="Times New Roman" w:hAnsi="Times New Roman" w:eastAsia="Times New Roman"/>
          <w:spacing w:val="15"/>
          <w:sz w:val="32"/>
        </w:rPr>
        <w:t xml:space="preserve"> </w:t>
      </w:r>
      <w:r>
        <w:rPr>
          <w:spacing w:val="22"/>
          <w:sz w:val="32"/>
        </w:rPr>
        <w:t>批次</w:t>
      </w:r>
      <w:r>
        <w:rPr>
          <w:rFonts w:ascii="Times New Roman" w:hAnsi="Times New Roman" w:eastAsia="Times New Roman"/>
          <w:spacing w:val="21"/>
          <w:sz w:val="32"/>
        </w:rPr>
        <w:t>/</w:t>
      </w:r>
      <w:r>
        <w:rPr>
          <w:spacing w:val="19"/>
          <w:sz w:val="32"/>
        </w:rPr>
        <w:t>千人，食品生产经营企业风险分级监管率达到</w:t>
      </w:r>
      <w:r>
        <w:rPr>
          <w:rFonts w:ascii="Times New Roman" w:hAnsi="Times New Roman" w:eastAsia="Times New Roman"/>
          <w:spacing w:val="19"/>
          <w:sz w:val="32"/>
        </w:rPr>
        <w:t>99%</w:t>
      </w:r>
      <w:r>
        <w:rPr>
          <w:spacing w:val="15"/>
          <w:sz w:val="32"/>
        </w:rPr>
        <w:t xml:space="preserve">。重点监控特种设备监管率和严重隐患治理率达到 </w:t>
      </w:r>
      <w:r>
        <w:rPr>
          <w:rFonts w:ascii="Times New Roman" w:hAnsi="Times New Roman" w:eastAsia="Times New Roman"/>
          <w:sz w:val="32"/>
        </w:rPr>
        <w:t>100%</w:t>
      </w:r>
      <w:r>
        <w:rPr>
          <w:sz w:val="32"/>
        </w:rPr>
        <w:t>。健全完善疫苗监管制度和电子追溯体系。</w:t>
      </w:r>
    </w:p>
    <w:p>
      <w:pPr>
        <w:pStyle w:val="7"/>
        <w:numPr>
          <w:ilvl w:val="0"/>
          <w:numId w:val="14"/>
        </w:numPr>
        <w:tabs>
          <w:tab w:val="left" w:pos="1107"/>
        </w:tabs>
        <w:spacing w:before="105" w:after="0" w:line="280" w:lineRule="auto"/>
        <w:ind w:left="224" w:right="701" w:firstLine="640"/>
        <w:jc w:val="both"/>
        <w:rPr>
          <w:sz w:val="32"/>
        </w:rPr>
      </w:pPr>
      <w:r>
        <w:rPr>
          <w:sz w:val="32"/>
        </w:rPr>
        <w:t>扩大品牌影响力。加强质量品牌建设，打造一批具有较</w:t>
      </w:r>
      <w:r>
        <w:rPr>
          <w:spacing w:val="-9"/>
          <w:sz w:val="32"/>
        </w:rPr>
        <w:t>强辐射带动能力的园区标杆。开展地理标志产品培育计划，</w:t>
      </w:r>
      <w:r>
        <w:rPr>
          <w:rFonts w:ascii="Times New Roman" w:hAnsi="Times New Roman" w:eastAsia="Times New Roman"/>
          <w:spacing w:val="-41"/>
          <w:sz w:val="32"/>
        </w:rPr>
        <w:t>“</w:t>
      </w:r>
      <w:r>
        <w:rPr>
          <w:sz w:val="32"/>
        </w:rPr>
        <w:t>三品一标</w:t>
      </w:r>
      <w:r>
        <w:rPr>
          <w:rFonts w:ascii="Times New Roman" w:hAnsi="Times New Roman" w:eastAsia="Times New Roman"/>
          <w:sz w:val="32"/>
        </w:rPr>
        <w:t>”</w:t>
      </w:r>
      <w:r>
        <w:rPr>
          <w:spacing w:val="-14"/>
          <w:sz w:val="32"/>
        </w:rPr>
        <w:t xml:space="preserve">产品达到 </w:t>
      </w:r>
      <w:r>
        <w:rPr>
          <w:rFonts w:ascii="Times New Roman" w:hAnsi="Times New Roman" w:eastAsia="Times New Roman"/>
          <w:sz w:val="32"/>
        </w:rPr>
        <w:t>40</w:t>
      </w:r>
      <w:r>
        <w:rPr>
          <w:rFonts w:ascii="Times New Roman" w:hAnsi="Times New Roman" w:eastAsia="Times New Roman"/>
          <w:spacing w:val="-7"/>
          <w:sz w:val="32"/>
        </w:rPr>
        <w:t xml:space="preserve"> </w:t>
      </w:r>
      <w:r>
        <w:rPr>
          <w:sz w:val="32"/>
        </w:rPr>
        <w:t>个以上。培育区域优质品牌，打造省级以</w:t>
      </w:r>
      <w:r>
        <w:rPr>
          <w:spacing w:val="-6"/>
          <w:sz w:val="32"/>
        </w:rPr>
        <w:t xml:space="preserve">上农产品区域公用品牌 </w:t>
      </w:r>
      <w:r>
        <w:rPr>
          <w:rFonts w:ascii="Times New Roman" w:hAnsi="Times New Roman" w:eastAsia="Times New Roman"/>
          <w:sz w:val="32"/>
        </w:rPr>
        <w:t>1</w:t>
      </w:r>
      <w:r>
        <w:rPr>
          <w:rFonts w:ascii="Times New Roman" w:hAnsi="Times New Roman" w:eastAsia="Times New Roman"/>
          <w:spacing w:val="-1"/>
          <w:sz w:val="32"/>
        </w:rPr>
        <w:t xml:space="preserve"> </w:t>
      </w:r>
      <w:r>
        <w:rPr>
          <w:sz w:val="32"/>
        </w:rPr>
        <w:t>个。持续组织动员企业参评</w:t>
      </w:r>
      <w:r>
        <w:rPr>
          <w:rFonts w:ascii="Times New Roman" w:hAnsi="Times New Roman" w:eastAsia="Times New Roman"/>
          <w:sz w:val="32"/>
        </w:rPr>
        <w:t>“10</w:t>
      </w:r>
      <w:r>
        <w:rPr>
          <w:rFonts w:ascii="Times New Roman" w:hAnsi="Times New Roman" w:eastAsia="Times New Roman"/>
          <w:spacing w:val="-1"/>
          <w:sz w:val="32"/>
        </w:rPr>
        <w:t xml:space="preserve"> </w:t>
      </w:r>
      <w:r>
        <w:rPr>
          <w:spacing w:val="-3"/>
          <w:sz w:val="32"/>
        </w:rPr>
        <w:t>大名</w:t>
      </w:r>
      <w:r>
        <w:rPr>
          <w:sz w:val="32"/>
        </w:rPr>
        <w:t>品</w:t>
      </w:r>
      <w:r>
        <w:rPr>
          <w:rFonts w:ascii="Times New Roman" w:hAnsi="Times New Roman" w:eastAsia="Times New Roman"/>
          <w:spacing w:val="4"/>
          <w:sz w:val="32"/>
        </w:rPr>
        <w:t>”</w:t>
      </w:r>
      <w:r>
        <w:rPr>
          <w:spacing w:val="1"/>
          <w:sz w:val="32"/>
        </w:rPr>
        <w:t>和绿色食品</w:t>
      </w:r>
      <w:r>
        <w:rPr>
          <w:rFonts w:ascii="Times New Roman" w:hAnsi="Times New Roman" w:eastAsia="Times New Roman"/>
          <w:sz w:val="32"/>
        </w:rPr>
        <w:t>“10</w:t>
      </w:r>
      <w:r>
        <w:rPr>
          <w:rFonts w:ascii="Times New Roman" w:hAnsi="Times New Roman" w:eastAsia="Times New Roman"/>
          <w:spacing w:val="3"/>
          <w:sz w:val="32"/>
        </w:rPr>
        <w:t xml:space="preserve"> </w:t>
      </w:r>
      <w:r>
        <w:rPr>
          <w:spacing w:val="1"/>
          <w:sz w:val="32"/>
        </w:rPr>
        <w:t>强企业</w:t>
      </w:r>
      <w:r>
        <w:rPr>
          <w:rFonts w:ascii="Times New Roman" w:hAnsi="Times New Roman" w:eastAsia="Times New Roman"/>
          <w:sz w:val="32"/>
        </w:rPr>
        <w:t>”“20</w:t>
      </w:r>
      <w:r>
        <w:rPr>
          <w:rFonts w:ascii="Times New Roman" w:hAnsi="Times New Roman" w:eastAsia="Times New Roman"/>
          <w:spacing w:val="4"/>
          <w:sz w:val="32"/>
        </w:rPr>
        <w:t xml:space="preserve"> </w:t>
      </w:r>
      <w:r>
        <w:rPr>
          <w:spacing w:val="1"/>
          <w:sz w:val="32"/>
        </w:rPr>
        <w:t>佳创新企业</w:t>
      </w:r>
      <w:r>
        <w:rPr>
          <w:rFonts w:ascii="Times New Roman" w:hAnsi="Times New Roman" w:eastAsia="Times New Roman"/>
          <w:sz w:val="32"/>
        </w:rPr>
        <w:t>”</w:t>
      </w:r>
      <w:r>
        <w:rPr>
          <w:sz w:val="32"/>
        </w:rPr>
        <w:t>。遴选工业企业质</w:t>
      </w:r>
      <w:r>
        <w:rPr>
          <w:spacing w:val="-17"/>
          <w:sz w:val="32"/>
        </w:rPr>
        <w:t xml:space="preserve">量标杆 </w:t>
      </w:r>
      <w:r>
        <w:rPr>
          <w:rFonts w:ascii="Times New Roman" w:hAnsi="Times New Roman" w:eastAsia="Times New Roman"/>
          <w:sz w:val="32"/>
        </w:rPr>
        <w:t xml:space="preserve">2 </w:t>
      </w:r>
      <w:r>
        <w:rPr>
          <w:sz w:val="32"/>
        </w:rPr>
        <w:t>个以上。</w:t>
      </w:r>
    </w:p>
    <w:p>
      <w:pPr>
        <w:pStyle w:val="3"/>
        <w:spacing w:before="126"/>
        <w:ind w:left="1020"/>
        <w:rPr>
          <w:rFonts w:hint="eastAsia" w:ascii="方正楷体_GBK" w:eastAsia="方正楷体_GBK"/>
        </w:rPr>
      </w:pPr>
      <w:bookmarkStart w:id="47" w:name="_bookmark22"/>
      <w:bookmarkEnd w:id="47"/>
      <w:bookmarkStart w:id="48" w:name="（五）实施质量基础设施强化工程"/>
      <w:bookmarkEnd w:id="48"/>
      <w:r>
        <w:rPr>
          <w:rFonts w:hint="eastAsia" w:ascii="方正楷体_GBK" w:eastAsia="方正楷体_GBK"/>
        </w:rPr>
        <w:t>（五）实施质量基础设施强化工程</w:t>
      </w:r>
    </w:p>
    <w:p>
      <w:pPr>
        <w:pStyle w:val="7"/>
        <w:numPr>
          <w:ilvl w:val="1"/>
          <w:numId w:val="14"/>
        </w:numPr>
        <w:tabs>
          <w:tab w:val="left" w:pos="1263"/>
        </w:tabs>
        <w:spacing w:before="100" w:after="0" w:line="278" w:lineRule="auto"/>
        <w:ind w:left="380" w:right="698" w:firstLine="640"/>
        <w:jc w:val="left"/>
        <w:rPr>
          <w:sz w:val="32"/>
        </w:rPr>
      </w:pPr>
      <w:bookmarkStart w:id="49" w:name="1.加快质量基础设施体系建设。构建产业计量服务体系，推进社会公用计量标准升级换代"/>
      <w:bookmarkEnd w:id="49"/>
      <w:bookmarkStart w:id="50" w:name="1.加快质量基础设施体系建设。构建产业计量服务体系，推进社会公用计量标准升级换代"/>
      <w:bookmarkEnd w:id="50"/>
      <w:r>
        <w:rPr>
          <w:b/>
          <w:spacing w:val="-9"/>
          <w:w w:val="95"/>
          <w:sz w:val="32"/>
        </w:rPr>
        <w:t>加快质量基础设施体系建设。</w:t>
      </w:r>
      <w:r>
        <w:rPr>
          <w:w w:val="95"/>
          <w:sz w:val="32"/>
        </w:rPr>
        <w:t xml:space="preserve">构建产业计量服务体系， </w:t>
      </w:r>
      <w:r>
        <w:rPr>
          <w:spacing w:val="-1"/>
          <w:sz w:val="32"/>
        </w:rPr>
        <w:t>推进社会公用计量标准升级换代和规范管理。围绕盈江县自</w:t>
      </w:r>
    </w:p>
    <w:p>
      <w:pPr>
        <w:spacing w:after="0" w:line="278" w:lineRule="auto"/>
        <w:jc w:val="left"/>
        <w:rPr>
          <w:sz w:val="32"/>
        </w:rPr>
        <w:sectPr>
          <w:pgSz w:w="11910" w:h="16840"/>
          <w:pgMar w:top="1420" w:right="940" w:bottom="1380" w:left="1420" w:header="0" w:footer="1182" w:gutter="0"/>
        </w:sectPr>
      </w:pPr>
    </w:p>
    <w:p>
      <w:pPr>
        <w:pStyle w:val="3"/>
        <w:spacing w:before="3" w:line="280" w:lineRule="auto"/>
        <w:ind w:left="380" w:right="857"/>
        <w:jc w:val="both"/>
      </w:pPr>
      <w:r>
        <w:rPr>
          <w:spacing w:val="-3"/>
        </w:rPr>
        <w:t>然条件、风俗习惯制定地方标准，鼓励企业和社会团体制定满足高层次市场需求的先进标准。实施企业标准</w:t>
      </w:r>
      <w:r>
        <w:rPr>
          <w:rFonts w:ascii="Times New Roman" w:hAnsi="Times New Roman" w:eastAsia="Times New Roman"/>
          <w:spacing w:val="-3"/>
        </w:rPr>
        <w:t>“</w:t>
      </w:r>
      <w:r>
        <w:rPr>
          <w:spacing w:val="-3"/>
        </w:rPr>
        <w:t>领跑者</w:t>
      </w:r>
      <w:r>
        <w:rPr>
          <w:rFonts w:ascii="Times New Roman" w:hAnsi="Times New Roman" w:eastAsia="Times New Roman"/>
          <w:spacing w:val="-3"/>
        </w:rPr>
        <w:t>”</w:t>
      </w:r>
      <w:r>
        <w:rPr>
          <w:spacing w:val="-3"/>
        </w:rPr>
        <w:t>制</w:t>
      </w:r>
      <w:r>
        <w:rPr>
          <w:spacing w:val="-4"/>
          <w:w w:val="95"/>
        </w:rPr>
        <w:t xml:space="preserve">度，推进团体标准制定工作。着力构建具有盈江特色的检验 检测体系。鼓励企业参与自愿性认证，推行企业承诺制，在 </w:t>
      </w:r>
      <w:r>
        <w:rPr>
          <w:spacing w:val="-5"/>
          <w:w w:val="95"/>
        </w:rPr>
        <w:t xml:space="preserve">市场采购、行业管理、行政监管、社会治理等领域广泛采信 </w:t>
      </w:r>
      <w:r>
        <w:rPr>
          <w:spacing w:val="-5"/>
        </w:rPr>
        <w:t>认证结果。</w:t>
      </w:r>
    </w:p>
    <w:p>
      <w:pPr>
        <w:pStyle w:val="7"/>
        <w:numPr>
          <w:ilvl w:val="1"/>
          <w:numId w:val="14"/>
        </w:numPr>
        <w:tabs>
          <w:tab w:val="left" w:pos="1264"/>
        </w:tabs>
        <w:spacing w:before="0" w:after="0" w:line="500" w:lineRule="exact"/>
        <w:ind w:left="1263" w:right="0" w:hanging="244"/>
        <w:jc w:val="left"/>
        <w:rPr>
          <w:sz w:val="32"/>
        </w:rPr>
      </w:pPr>
      <w:bookmarkStart w:id="51" w:name="2.深化质量基础设施集成应用。加快推进质量基础设施在高原特色现代农业、先进制造业"/>
      <w:bookmarkEnd w:id="51"/>
      <w:bookmarkStart w:id="52" w:name="2.深化质量基础设施集成应用。加快推进质量基础设施在高原特色现代农业、先进制造业"/>
      <w:bookmarkEnd w:id="52"/>
      <w:r>
        <w:rPr>
          <w:b/>
          <w:spacing w:val="1"/>
          <w:sz w:val="32"/>
        </w:rPr>
        <w:t>深化质量基础设施集成应用。</w:t>
      </w:r>
      <w:r>
        <w:rPr>
          <w:sz w:val="32"/>
        </w:rPr>
        <w:t>加快推进质量基础设施</w:t>
      </w:r>
    </w:p>
    <w:p>
      <w:pPr>
        <w:pStyle w:val="3"/>
        <w:spacing w:before="85" w:line="280" w:lineRule="auto"/>
        <w:ind w:left="380" w:right="845"/>
        <w:jc w:val="both"/>
      </w:pPr>
      <w:r>
        <w:t>在高原特色现代农业、先进制造业、现代服务业、社会治理领域集成应用。完善高原特色农产品等领域标准体系，推动新型农业生产经营主体全流程按标生产，健全农产品检验检测技术体系，加强绿色食品、有机农产品认证和管理。以工业全产业链质量提升为重点，推动工业质量基础设施创新发展。完善服务质量标准体系，开展优质服务认证，提升服务质量基础设施能力。加快质量基础设施在城市规划和管理、社会治理和公共服务等领域运用，提高城市管理和社会治理标准化、规范化水平。</w:t>
      </w:r>
    </w:p>
    <w:p>
      <w:pPr>
        <w:pStyle w:val="7"/>
        <w:numPr>
          <w:ilvl w:val="1"/>
          <w:numId w:val="14"/>
        </w:numPr>
        <w:tabs>
          <w:tab w:val="left" w:pos="1264"/>
        </w:tabs>
        <w:spacing w:before="0" w:after="0" w:line="492" w:lineRule="exact"/>
        <w:ind w:left="1263" w:right="0" w:hanging="244"/>
        <w:jc w:val="left"/>
        <w:rPr>
          <w:sz w:val="32"/>
        </w:rPr>
      </w:pPr>
      <w:bookmarkStart w:id="53" w:name="3.推进质量基础设施服务平台建设。强化质量基础设施建设，围绕重点消费品、重点产业"/>
      <w:bookmarkEnd w:id="53"/>
      <w:bookmarkStart w:id="54" w:name="3.推进质量基础设施服务平台建设。强化质量基础设施建设，围绕重点消费品、重点产业"/>
      <w:bookmarkEnd w:id="54"/>
      <w:r>
        <w:rPr>
          <w:b/>
          <w:sz w:val="32"/>
        </w:rPr>
        <w:t>推进质量基础设施服务平台建设。</w:t>
      </w:r>
      <w:r>
        <w:rPr>
          <w:sz w:val="32"/>
        </w:rPr>
        <w:t>强化质量基础设施</w:t>
      </w:r>
    </w:p>
    <w:p>
      <w:pPr>
        <w:pStyle w:val="3"/>
        <w:spacing w:before="85" w:line="280" w:lineRule="auto"/>
        <w:ind w:left="380" w:right="845"/>
        <w:jc w:val="both"/>
      </w:pPr>
      <w:r>
        <w:rPr>
          <w:spacing w:val="-18"/>
        </w:rPr>
        <w:t>建设，围绕重点消费品、重点产业链、重点区域打造</w:t>
      </w:r>
      <w:r>
        <w:rPr>
          <w:rFonts w:ascii="Times New Roman" w:hAnsi="Times New Roman" w:eastAsia="Times New Roman"/>
        </w:rPr>
        <w:t>“</w:t>
      </w:r>
      <w:r>
        <w:t>一站式</w:t>
      </w:r>
      <w:r>
        <w:rPr>
          <w:rFonts w:ascii="Times New Roman" w:hAnsi="Times New Roman" w:eastAsia="Times New Roman"/>
        </w:rPr>
        <w:t xml:space="preserve">” </w:t>
      </w:r>
      <w:r>
        <w:t>服务综合体，提供全过程、全方位质量基础设施综合服务。</w:t>
      </w:r>
      <w:r>
        <w:rPr>
          <w:spacing w:val="-2"/>
        </w:rPr>
        <w:t>增强知识产权综合服务能力。鼓励引导企业整合质量基础信</w:t>
      </w:r>
      <w:r>
        <w:rPr>
          <w:spacing w:val="-4"/>
        </w:rPr>
        <w:t>息和服务资源，向社会提供快速便捷、性价比高的质量基础设施服务。</w:t>
      </w:r>
    </w:p>
    <w:p>
      <w:pPr>
        <w:pStyle w:val="7"/>
        <w:numPr>
          <w:ilvl w:val="1"/>
          <w:numId w:val="14"/>
        </w:numPr>
        <w:tabs>
          <w:tab w:val="left" w:pos="1264"/>
        </w:tabs>
        <w:spacing w:before="0" w:after="0" w:line="502" w:lineRule="exact"/>
        <w:ind w:left="1263" w:right="0" w:hanging="244"/>
        <w:jc w:val="left"/>
        <w:rPr>
          <w:sz w:val="32"/>
        </w:rPr>
      </w:pPr>
      <w:bookmarkStart w:id="55" w:name="4.加强质量基础设施国际化合作。发挥区位优势，加强与周边国家质量基础设施合作，促"/>
      <w:bookmarkEnd w:id="55"/>
      <w:bookmarkStart w:id="56" w:name="4.加强质量基础设施国际化合作。发挥区位优势，加强与周边国家质量基础设施合作，促"/>
      <w:bookmarkEnd w:id="56"/>
      <w:r>
        <w:rPr>
          <w:b/>
          <w:spacing w:val="1"/>
          <w:sz w:val="32"/>
        </w:rPr>
        <w:t>加强质量基础设施国际化合作。</w:t>
      </w:r>
      <w:r>
        <w:rPr>
          <w:sz w:val="32"/>
        </w:rPr>
        <w:t>发挥区位优势，加强</w:t>
      </w:r>
    </w:p>
    <w:p>
      <w:pPr>
        <w:spacing w:after="0" w:line="502" w:lineRule="exact"/>
        <w:jc w:val="left"/>
        <w:rPr>
          <w:sz w:val="32"/>
        </w:rPr>
        <w:sectPr>
          <w:pgSz w:w="11910" w:h="16840"/>
          <w:pgMar w:top="1540" w:right="940" w:bottom="1380" w:left="1420" w:header="0" w:footer="1182" w:gutter="0"/>
        </w:sectPr>
      </w:pPr>
    </w:p>
    <w:p>
      <w:pPr>
        <w:pStyle w:val="3"/>
        <w:spacing w:before="3" w:line="280" w:lineRule="auto"/>
        <w:ind w:left="380" w:right="855"/>
        <w:jc w:val="both"/>
      </w:pPr>
      <w:r>
        <w:pict>
          <v:shape id="_x0000_s1044" o:spid="_x0000_s1044" style="position:absolute;left:0pt;margin-left:84.35pt;margin-top:-0.3pt;height:452.35pt;width:453.55pt;mso-position-horizontal-relative:page;z-index:-252366848;mso-width-relative:page;mso-height-relative:page;" filled="f" stroked="t" coordorigin="1687,-7" coordsize="9071,9047" path="m1687,4687l10758,4687m1687,5311l10758,5311m1687,13729l10758,13729m1692,4682l1692,13724m10753,4682l10753,13724e">
            <v:path arrowok="t"/>
            <v:fill on="f" focussize="0,0"/>
            <v:stroke weight="0.48pt" color="#000000"/>
            <v:imagedata o:title=""/>
            <o:lock v:ext="edit"/>
          </v:shape>
        </w:pict>
      </w:r>
      <w:r>
        <w:rPr>
          <w:spacing w:val="-2"/>
        </w:rPr>
        <w:t>与周边国家质量基础设施合作，促进内外贸法律法规、监管</w:t>
      </w:r>
      <w:r>
        <w:rPr>
          <w:spacing w:val="-3"/>
        </w:rPr>
        <w:t>体制、经营资质、质量标准、检验检疫、认证认可等相互衔</w:t>
      </w:r>
      <w:r>
        <w:rPr>
          <w:spacing w:val="-4"/>
          <w:w w:val="95"/>
        </w:rPr>
        <w:t xml:space="preserve">接。加强先进质量基础设施国际互认，鼓励检验检测机构辐 </w:t>
      </w:r>
      <w:r>
        <w:rPr>
          <w:spacing w:val="-4"/>
        </w:rPr>
        <w:t>射周边国家，助推产品、服务</w:t>
      </w:r>
      <w:r>
        <w:rPr>
          <w:rFonts w:ascii="Times New Roman" w:hAnsi="Times New Roman" w:eastAsia="Times New Roman"/>
          <w:spacing w:val="-4"/>
        </w:rPr>
        <w:t>“</w:t>
      </w:r>
      <w:r>
        <w:rPr>
          <w:spacing w:val="-4"/>
        </w:rPr>
        <w:t>走出去</w:t>
      </w:r>
      <w:r>
        <w:rPr>
          <w:rFonts w:ascii="Times New Roman" w:hAnsi="Times New Roman" w:eastAsia="Times New Roman"/>
          <w:spacing w:val="-4"/>
        </w:rPr>
        <w:t>”</w:t>
      </w:r>
      <w:r>
        <w:rPr>
          <w:spacing w:val="-4"/>
        </w:rPr>
        <w:t>。完善质量安全风险</w:t>
      </w:r>
      <w:r>
        <w:rPr>
          <w:spacing w:val="-5"/>
        </w:rPr>
        <w:t>预警和快速反应监管体系，强化贸易质量风险管控，优化对企政策指导、融资服务、法律援助等公共服务。加强国际贸</w:t>
      </w:r>
      <w:r>
        <w:rPr>
          <w:spacing w:val="-7"/>
        </w:rPr>
        <w:t>易知识产权纠纷应对指导，强化国外信息服务平台建设，助力企业开拓海外市场。</w:t>
      </w:r>
    </w:p>
    <w:p>
      <w:pPr>
        <w:tabs>
          <w:tab w:val="left" w:pos="1106"/>
        </w:tabs>
        <w:spacing w:before="34"/>
        <w:ind w:left="58" w:right="0" w:firstLine="0"/>
        <w:jc w:val="center"/>
        <w:rPr>
          <w:rFonts w:hint="eastAsia" w:ascii="方正黑体_GBK" w:eastAsia="方正黑体_GBK"/>
          <w:sz w:val="28"/>
        </w:rPr>
      </w:pPr>
      <w:r>
        <w:rPr>
          <w:rFonts w:hint="eastAsia" w:ascii="方正黑体_GBK" w:eastAsia="方正黑体_GBK"/>
          <w:sz w:val="28"/>
        </w:rPr>
        <w:t>专栏</w:t>
      </w:r>
      <w:r>
        <w:rPr>
          <w:rFonts w:hint="eastAsia" w:ascii="方正黑体_GBK" w:eastAsia="方正黑体_GBK"/>
          <w:spacing w:val="-11"/>
          <w:sz w:val="28"/>
        </w:rPr>
        <w:t xml:space="preserve"> </w:t>
      </w:r>
      <w:r>
        <w:rPr>
          <w:rFonts w:ascii="Times New Roman" w:eastAsia="Times New Roman"/>
          <w:sz w:val="28"/>
        </w:rPr>
        <w:t>5</w:t>
      </w:r>
      <w:r>
        <w:rPr>
          <w:rFonts w:ascii="Times New Roman" w:eastAsia="Times New Roman"/>
          <w:sz w:val="28"/>
        </w:rPr>
        <w:tab/>
      </w:r>
      <w:r>
        <w:rPr>
          <w:rFonts w:hint="eastAsia" w:ascii="方正黑体_GBK" w:eastAsia="方正黑体_GBK"/>
          <w:sz w:val="28"/>
        </w:rPr>
        <w:t>实</w:t>
      </w:r>
      <w:r>
        <w:rPr>
          <w:rFonts w:hint="eastAsia" w:ascii="方正黑体_GBK" w:eastAsia="方正黑体_GBK"/>
          <w:spacing w:val="-3"/>
          <w:sz w:val="28"/>
        </w:rPr>
        <w:t>施</w:t>
      </w:r>
      <w:r>
        <w:rPr>
          <w:rFonts w:hint="eastAsia" w:ascii="方正黑体_GBK" w:eastAsia="方正黑体_GBK"/>
          <w:sz w:val="28"/>
        </w:rPr>
        <w:t>质量</w:t>
      </w:r>
      <w:r>
        <w:rPr>
          <w:rFonts w:hint="eastAsia" w:ascii="方正黑体_GBK" w:eastAsia="方正黑体_GBK"/>
          <w:spacing w:val="-3"/>
          <w:sz w:val="28"/>
        </w:rPr>
        <w:t>基</w:t>
      </w:r>
      <w:r>
        <w:rPr>
          <w:rFonts w:hint="eastAsia" w:ascii="方正黑体_GBK" w:eastAsia="方正黑体_GBK"/>
          <w:sz w:val="28"/>
        </w:rPr>
        <w:t>础设</w:t>
      </w:r>
      <w:r>
        <w:rPr>
          <w:rFonts w:hint="eastAsia" w:ascii="方正黑体_GBK" w:eastAsia="方正黑体_GBK"/>
          <w:spacing w:val="-3"/>
          <w:sz w:val="28"/>
        </w:rPr>
        <w:t>施</w:t>
      </w:r>
      <w:r>
        <w:rPr>
          <w:rFonts w:hint="eastAsia" w:ascii="方正黑体_GBK" w:eastAsia="方正黑体_GBK"/>
          <w:sz w:val="28"/>
        </w:rPr>
        <w:t>强化</w:t>
      </w:r>
      <w:r>
        <w:rPr>
          <w:rFonts w:hint="eastAsia" w:ascii="方正黑体_GBK" w:eastAsia="方正黑体_GBK"/>
          <w:spacing w:val="-3"/>
          <w:sz w:val="28"/>
        </w:rPr>
        <w:t>工</w:t>
      </w:r>
      <w:r>
        <w:rPr>
          <w:rFonts w:hint="eastAsia" w:ascii="方正黑体_GBK" w:eastAsia="方正黑体_GBK"/>
          <w:sz w:val="28"/>
        </w:rPr>
        <w:t>程</w:t>
      </w:r>
    </w:p>
    <w:p>
      <w:pPr>
        <w:pStyle w:val="7"/>
        <w:numPr>
          <w:ilvl w:val="0"/>
          <w:numId w:val="15"/>
        </w:numPr>
        <w:tabs>
          <w:tab w:val="left" w:pos="1263"/>
        </w:tabs>
        <w:spacing w:before="137" w:after="0" w:line="280" w:lineRule="auto"/>
        <w:ind w:left="380" w:right="320" w:firstLine="640"/>
        <w:jc w:val="both"/>
        <w:rPr>
          <w:sz w:val="32"/>
        </w:rPr>
      </w:pPr>
      <w:r>
        <w:rPr>
          <w:spacing w:val="-3"/>
          <w:w w:val="95"/>
          <w:sz w:val="32"/>
        </w:rPr>
        <w:t xml:space="preserve">推进质量基础设施融合发展。改革创新质量基础设施一体 </w:t>
      </w:r>
      <w:r>
        <w:rPr>
          <w:spacing w:val="-11"/>
          <w:w w:val="95"/>
          <w:sz w:val="32"/>
        </w:rPr>
        <w:t xml:space="preserve">化规划、建设和应用体制机制，加快构建质量、计量、标准、检  </w:t>
      </w:r>
      <w:r>
        <w:rPr>
          <w:spacing w:val="-12"/>
          <w:w w:val="95"/>
          <w:sz w:val="32"/>
        </w:rPr>
        <w:t xml:space="preserve">验检测、认证认可等要素有机融合，省、州、县高效协同，适应  </w:t>
      </w:r>
      <w:r>
        <w:rPr>
          <w:spacing w:val="6"/>
          <w:w w:val="95"/>
          <w:sz w:val="32"/>
        </w:rPr>
        <w:t xml:space="preserve">现代产业体系建设和社会治理新需求的现代化质量基础设施体 </w:t>
      </w:r>
      <w:r>
        <w:rPr>
          <w:spacing w:val="-9"/>
          <w:w w:val="95"/>
          <w:sz w:val="32"/>
        </w:rPr>
        <w:t xml:space="preserve">系。推动在合金铝、稀贵金属新材料、节能减排、种质资源、中 </w:t>
      </w:r>
      <w:r>
        <w:rPr>
          <w:spacing w:val="-15"/>
          <w:sz w:val="32"/>
        </w:rPr>
        <w:t>药材等主打产业领域、主要产业聚集区规划筹建国家质量标准实验室。</w:t>
      </w:r>
    </w:p>
    <w:p>
      <w:pPr>
        <w:pStyle w:val="7"/>
        <w:numPr>
          <w:ilvl w:val="0"/>
          <w:numId w:val="15"/>
        </w:numPr>
        <w:tabs>
          <w:tab w:val="left" w:pos="1266"/>
        </w:tabs>
        <w:spacing w:before="0" w:after="0" w:line="497" w:lineRule="exact"/>
        <w:ind w:left="1265" w:right="0" w:hanging="246"/>
        <w:jc w:val="left"/>
        <w:rPr>
          <w:sz w:val="32"/>
        </w:rPr>
      </w:pPr>
      <w:r>
        <w:rPr>
          <w:spacing w:val="5"/>
          <w:sz w:val="32"/>
        </w:rPr>
        <w:t>提升质量基础设施体系能力。坚持</w:t>
      </w:r>
      <w:r>
        <w:rPr>
          <w:rFonts w:ascii="Times New Roman" w:hAnsi="Times New Roman" w:eastAsia="Times New Roman"/>
          <w:spacing w:val="4"/>
          <w:sz w:val="32"/>
        </w:rPr>
        <w:t>“</w:t>
      </w:r>
      <w:r>
        <w:rPr>
          <w:spacing w:val="4"/>
          <w:sz w:val="32"/>
        </w:rPr>
        <w:t>市场化、国际化、专</w:t>
      </w:r>
    </w:p>
    <w:p>
      <w:pPr>
        <w:pStyle w:val="3"/>
        <w:spacing w:before="85" w:line="280" w:lineRule="auto"/>
        <w:ind w:left="380" w:right="317"/>
        <w:jc w:val="both"/>
      </w:pPr>
      <w:r>
        <w:t>业化、集约化、规范化</w:t>
      </w:r>
      <w:r>
        <w:rPr>
          <w:rFonts w:ascii="Times New Roman" w:hAnsi="Times New Roman" w:eastAsia="Times New Roman"/>
        </w:rPr>
        <w:t>”</w:t>
      </w:r>
      <w:r>
        <w:t>发展，采用先进标准，推进乡村振兴、</w:t>
      </w:r>
      <w:r>
        <w:rPr>
          <w:spacing w:val="-10"/>
        </w:rPr>
        <w:t>高原特色现代农业、现代服务业、旅游业、新型城镇化标准化示范区建设。</w:t>
      </w:r>
    </w:p>
    <w:p>
      <w:pPr>
        <w:pStyle w:val="7"/>
        <w:numPr>
          <w:ilvl w:val="0"/>
          <w:numId w:val="15"/>
        </w:numPr>
        <w:tabs>
          <w:tab w:val="left" w:pos="1263"/>
        </w:tabs>
        <w:spacing w:before="0" w:after="0" w:line="280" w:lineRule="auto"/>
        <w:ind w:left="380" w:right="206" w:firstLine="640"/>
        <w:jc w:val="both"/>
        <w:rPr>
          <w:sz w:val="32"/>
        </w:rPr>
      </w:pPr>
      <w:r>
        <w:rPr>
          <w:spacing w:val="-3"/>
          <w:sz w:val="32"/>
        </w:rPr>
        <w:t>发展质量基础设施公共服务。构建与产业发展相适应的质</w:t>
      </w:r>
      <w:r>
        <w:rPr>
          <w:spacing w:val="-10"/>
          <w:sz w:val="32"/>
        </w:rPr>
        <w:t>量基础设施协同服务平台，有机融合质量、计量、标准、检验检</w:t>
      </w:r>
      <w:r>
        <w:rPr>
          <w:spacing w:val="-11"/>
          <w:sz w:val="32"/>
        </w:rPr>
        <w:t>测、认证认可等要素资源，面向中小企业提供全链条、全方位、</w:t>
      </w:r>
    </w:p>
    <w:p>
      <w:pPr>
        <w:spacing w:after="0" w:line="280" w:lineRule="auto"/>
        <w:jc w:val="both"/>
        <w:rPr>
          <w:sz w:val="32"/>
        </w:rPr>
        <w:sectPr>
          <w:pgSz w:w="11910" w:h="16840"/>
          <w:pgMar w:top="1540" w:right="940" w:bottom="1380" w:left="1420" w:header="0" w:footer="1182" w:gutter="0"/>
        </w:sectPr>
      </w:pPr>
    </w:p>
    <w:p>
      <w:pPr>
        <w:pStyle w:val="3"/>
        <w:ind w:left="267"/>
        <w:rPr>
          <w:sz w:val="20"/>
        </w:rPr>
      </w:pPr>
      <w:r>
        <w:rPr>
          <w:sz w:val="20"/>
        </w:rPr>
        <w:pict>
          <v:shape id="_x0000_s1045" o:spid="_x0000_s1045" o:spt="202" type="#_x0000_t202" style="height:120.5pt;width:453.05pt;" filled="f" stroked="t" coordsize="21600,21600">
            <v:path/>
            <v:fill on="f" focussize="0,0"/>
            <v:stroke weight="0.48pt" color="#000000"/>
            <v:imagedata o:title=""/>
            <o:lock v:ext="edit"/>
            <v:textbox inset="0mm,0mm,0mm,0mm">
              <w:txbxContent>
                <w:p>
                  <w:pPr>
                    <w:pStyle w:val="3"/>
                    <w:spacing w:before="121"/>
                    <w:ind w:left="103"/>
                  </w:pPr>
                  <w:r>
                    <w:t>全过程的质量基础设施综合服务。</w:t>
                  </w:r>
                </w:p>
                <w:p>
                  <w:pPr>
                    <w:pStyle w:val="3"/>
                    <w:spacing w:line="600" w:lineRule="atLeast"/>
                    <w:ind w:left="103" w:right="102" w:firstLine="640"/>
                    <w:jc w:val="both"/>
                  </w:pPr>
                  <w:r>
                    <w:rPr>
                      <w:rFonts w:ascii="Times New Roman" w:eastAsia="Times New Roman"/>
                      <w:w w:val="95"/>
                    </w:rPr>
                    <w:t>4.</w:t>
                  </w:r>
                  <w:r>
                    <w:rPr>
                      <w:spacing w:val="-4"/>
                      <w:w w:val="95"/>
                    </w:rPr>
                    <w:t>加强质量基础设施国际合作。对标国际先进质量基础设施 水</w:t>
                  </w:r>
                  <w:r>
                    <w:rPr>
                      <w:spacing w:val="-4"/>
                    </w:rPr>
                    <w:t>平，增强质量、计量、标准、检验检测、认证认可等质量基础设施辐射能力，促进贸易自由化便利化。</w:t>
                  </w:r>
                </w:p>
              </w:txbxContent>
            </v:textbox>
            <w10:wrap type="none"/>
            <w10:anchorlock/>
          </v:shape>
        </w:pict>
      </w:r>
    </w:p>
    <w:p>
      <w:pPr>
        <w:pStyle w:val="3"/>
        <w:spacing w:before="85"/>
        <w:ind w:left="1020"/>
        <w:rPr>
          <w:rFonts w:hint="eastAsia" w:ascii="方正黑体_GBK" w:eastAsia="方正黑体_GBK"/>
        </w:rPr>
      </w:pPr>
      <w:bookmarkStart w:id="57" w:name="_bookmark27"/>
      <w:bookmarkEnd w:id="57"/>
      <w:bookmarkStart w:id="58" w:name="四、保障措施"/>
      <w:bookmarkEnd w:id="58"/>
      <w:r>
        <w:rPr>
          <w:rFonts w:hint="eastAsia" w:ascii="方正黑体_GBK" w:eastAsia="方正黑体_GBK"/>
        </w:rPr>
        <w:t>四、保障措施</w:t>
      </w:r>
    </w:p>
    <w:p>
      <w:pPr>
        <w:pStyle w:val="3"/>
        <w:spacing w:before="107"/>
        <w:ind w:left="1020"/>
        <w:rPr>
          <w:rFonts w:hint="eastAsia" w:ascii="方正楷体_GBK" w:eastAsia="方正楷体_GBK"/>
        </w:rPr>
      </w:pPr>
      <w:bookmarkStart w:id="59" w:name="（一）加强组织领导"/>
      <w:bookmarkEnd w:id="59"/>
      <w:bookmarkStart w:id="60" w:name="_bookmark28"/>
      <w:bookmarkEnd w:id="60"/>
      <w:r>
        <w:rPr>
          <w:rFonts w:hint="eastAsia" w:ascii="方正楷体_GBK" w:eastAsia="方正楷体_GBK"/>
        </w:rPr>
        <w:t>（一）加强组织领导</w:t>
      </w:r>
    </w:p>
    <w:p>
      <w:pPr>
        <w:pStyle w:val="3"/>
        <w:spacing w:before="98" w:line="280" w:lineRule="auto"/>
        <w:ind w:left="380" w:right="699" w:firstLine="640"/>
      </w:pPr>
      <w:r>
        <w:rPr>
          <w:spacing w:val="-1"/>
        </w:rPr>
        <w:t>建立健全党领导下的质量强县建设体制机制，强化党对</w:t>
      </w:r>
      <w:r>
        <w:rPr>
          <w:spacing w:val="-6"/>
        </w:rPr>
        <w:t>质量强县建设的统筹规划和组织领导，完善</w:t>
      </w:r>
      <w:r>
        <w:rPr>
          <w:rFonts w:ascii="Times New Roman" w:hAnsi="Times New Roman" w:eastAsia="Times New Roman"/>
        </w:rPr>
        <w:t>“</w:t>
      </w:r>
      <w:r>
        <w:rPr>
          <w:spacing w:val="-12"/>
        </w:rPr>
        <w:t>党委领导、政府</w:t>
      </w:r>
      <w:r>
        <w:rPr>
          <w:spacing w:val="-13"/>
        </w:rPr>
        <w:t>主导、部门联合、企业主责、社会参与</w:t>
      </w:r>
      <w:r>
        <w:rPr>
          <w:rFonts w:ascii="Times New Roman" w:hAnsi="Times New Roman" w:eastAsia="Times New Roman"/>
        </w:rPr>
        <w:t>”</w:t>
      </w:r>
      <w:r>
        <w:rPr>
          <w:spacing w:val="-5"/>
        </w:rPr>
        <w:t>的质量工作格局。发</w:t>
      </w:r>
      <w:r>
        <w:rPr>
          <w:spacing w:val="11"/>
        </w:rPr>
        <w:t>挥盈江县实施品牌和质量强县战略领导小组对质量工作的</w:t>
      </w:r>
      <w:r>
        <w:rPr>
          <w:spacing w:val="-7"/>
          <w:w w:val="95"/>
        </w:rPr>
        <w:t xml:space="preserve">统筹规划和组织领导作用，健全工作推进、交流、宣传机制， </w:t>
      </w:r>
      <w:r>
        <w:rPr>
          <w:spacing w:val="-6"/>
        </w:rPr>
        <w:t>强化部门、政企、政社联动。推进质量课程进党校、进行政学院，培育各级领导干部</w:t>
      </w:r>
      <w:r>
        <w:rPr>
          <w:rFonts w:ascii="Times New Roman" w:hAnsi="Times New Roman" w:eastAsia="Times New Roman"/>
          <w:spacing w:val="-6"/>
        </w:rPr>
        <w:t>“</w:t>
      </w:r>
      <w:r>
        <w:rPr>
          <w:spacing w:val="-6"/>
        </w:rPr>
        <w:t>质量第一</w:t>
      </w:r>
      <w:r>
        <w:rPr>
          <w:rFonts w:ascii="Times New Roman" w:hAnsi="Times New Roman" w:eastAsia="Times New Roman"/>
          <w:spacing w:val="-6"/>
        </w:rPr>
        <w:t>”</w:t>
      </w:r>
      <w:r>
        <w:rPr>
          <w:spacing w:val="-6"/>
        </w:rPr>
        <w:t>的强烈意识。</w:t>
      </w:r>
    </w:p>
    <w:p>
      <w:pPr>
        <w:pStyle w:val="3"/>
        <w:spacing w:line="485" w:lineRule="exact"/>
        <w:ind w:left="1020"/>
        <w:rPr>
          <w:rFonts w:hint="eastAsia" w:ascii="方正楷体_GBK" w:eastAsia="方正楷体_GBK"/>
        </w:rPr>
      </w:pPr>
      <w:bookmarkStart w:id="61" w:name="_bookmark29"/>
      <w:bookmarkEnd w:id="61"/>
      <w:bookmarkStart w:id="62" w:name="（二）完善政策措施"/>
      <w:bookmarkEnd w:id="62"/>
      <w:r>
        <w:rPr>
          <w:rFonts w:hint="eastAsia" w:ascii="方正楷体_GBK" w:eastAsia="方正楷体_GBK"/>
        </w:rPr>
        <w:t>（二）完善政策措施</w:t>
      </w:r>
    </w:p>
    <w:p>
      <w:pPr>
        <w:pStyle w:val="3"/>
        <w:spacing w:before="97" w:line="280" w:lineRule="auto"/>
        <w:ind w:left="380" w:right="699" w:firstLine="640"/>
        <w:jc w:val="both"/>
      </w:pPr>
      <w:r>
        <w:rPr>
          <w:spacing w:val="-1"/>
        </w:rPr>
        <w:t>各成员单位要强化规划落实的刚性约束，围绕本规划提</w:t>
      </w:r>
      <w:r>
        <w:rPr>
          <w:spacing w:val="-3"/>
        </w:rPr>
        <w:t>出的目标任务，制定相应配套政策措施、工作方案或专项计</w:t>
      </w:r>
      <w:r>
        <w:rPr>
          <w:spacing w:val="-4"/>
        </w:rPr>
        <w:t>划，做好细化分解，认真组织实施。鼓励各有关部门聚焦重点行业、重要领域，开展试点示范、率先突破，及时总结形</w:t>
      </w:r>
      <w:r>
        <w:rPr>
          <w:spacing w:val="-5"/>
        </w:rPr>
        <w:t>成一批可复制可推广的先进经验、典型做法。探索设立质量</w:t>
      </w:r>
      <w:r>
        <w:rPr>
          <w:spacing w:val="-6"/>
        </w:rPr>
        <w:t>发展基金，加大对涉及质量工作相关资金的统筹协调，做好</w:t>
      </w:r>
      <w:r>
        <w:rPr>
          <w:spacing w:val="-16"/>
          <w:w w:val="95"/>
        </w:rPr>
        <w:t>质量提升、质量创新研究、质量宣传教育等方面的经费保障。</w:t>
      </w:r>
    </w:p>
    <w:p>
      <w:pPr>
        <w:pStyle w:val="3"/>
        <w:spacing w:line="485" w:lineRule="exact"/>
        <w:ind w:left="1020"/>
        <w:rPr>
          <w:rFonts w:hint="eastAsia" w:ascii="方正楷体_GBK" w:eastAsia="方正楷体_GBK"/>
        </w:rPr>
      </w:pPr>
      <w:bookmarkStart w:id="63" w:name="（三）强化考核评估"/>
      <w:bookmarkEnd w:id="63"/>
      <w:bookmarkStart w:id="64" w:name="_bookmark30"/>
      <w:bookmarkEnd w:id="64"/>
      <w:r>
        <w:rPr>
          <w:rFonts w:hint="eastAsia" w:ascii="方正楷体_GBK" w:eastAsia="方正楷体_GBK"/>
        </w:rPr>
        <w:t>（三）强化考核评估</w:t>
      </w:r>
    </w:p>
    <w:p>
      <w:pPr>
        <w:pStyle w:val="3"/>
        <w:spacing w:before="98"/>
        <w:ind w:left="1020"/>
      </w:pPr>
      <w:r>
        <w:t>科学设置考核指标体系，深入推进政府质量工作考核，</w:t>
      </w:r>
    </w:p>
    <w:p>
      <w:pPr>
        <w:spacing w:after="0"/>
        <w:sectPr>
          <w:pgSz w:w="11910" w:h="16840"/>
          <w:pgMar w:top="1420" w:right="940" w:bottom="1380" w:left="1420" w:header="0" w:footer="1182" w:gutter="0"/>
        </w:sectPr>
      </w:pPr>
    </w:p>
    <w:p>
      <w:pPr>
        <w:pStyle w:val="3"/>
        <w:spacing w:before="3" w:line="280" w:lineRule="auto"/>
        <w:ind w:left="380" w:right="845"/>
        <w:jc w:val="both"/>
      </w:pPr>
      <w:r>
        <w:t>强化考核结果的反馈和运用，将其作为对领导班子、领导干部综合考核评价内容。探索建立质量督查工作机制，质量主管部门会同有关单位加强对本规划实施情况的跟踪分析，建立主要目标任务反馈机制，适时组织规划中期、末期评估。各成员单位应建立落实本规划的工作责任制，对规划的实施情况进行检查考核，及时报送有关情况。</w: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3"/>
        <w:rPr>
          <w:sz w:val="26"/>
        </w:rPr>
      </w:pPr>
      <w:r>
        <w:pict>
          <v:line id="_x0000_s1046" o:spid="_x0000_s1046" o:spt="20" style="position:absolute;left:0pt;margin-left:96.2pt;margin-top:24.2pt;height:0pt;width:423.4pt;mso-position-horizontal-relative:page;mso-wrap-distance-bottom:0pt;mso-wrap-distance-top:0pt;z-index:-251642880;mso-width-relative:page;mso-height-relative:page;" stroked="t" coordsize="21600,21600">
            <v:path arrowok="t"/>
            <v:fill focussize="0,0"/>
            <v:stroke weight="2.4pt" color="#000000"/>
            <v:imagedata o:title=""/>
            <o:lock v:ext="edit"/>
            <w10:wrap type="topAndBottom"/>
          </v:line>
        </w:pict>
      </w:r>
    </w:p>
    <w:p>
      <w:pPr>
        <w:spacing w:before="21"/>
        <w:ind w:left="939" w:right="0" w:firstLine="0"/>
        <w:jc w:val="left"/>
        <w:rPr>
          <w:sz w:val="28"/>
        </w:rPr>
      </w:pPr>
      <w:r>
        <w:rPr>
          <w:sz w:val="28"/>
        </w:rPr>
        <w:t>抄送：县委办，县人大常委会办，县政协办，</w:t>
      </w:r>
    </w:p>
    <w:p>
      <w:pPr>
        <w:spacing w:before="49" w:line="266" w:lineRule="auto"/>
        <w:ind w:left="1776" w:right="766" w:firstLine="0"/>
        <w:jc w:val="both"/>
        <w:rPr>
          <w:sz w:val="28"/>
        </w:rPr>
      </w:pPr>
      <w:r>
        <w:pict>
          <v:line id="_x0000_s1047" o:spid="_x0000_s1047" o:spt="20" style="position:absolute;left:0pt;margin-left:97.05pt;margin-top:224.9pt;height:0pt;width:418.8pt;mso-position-horizontal-relative:page;z-index:-252362752;mso-width-relative:page;mso-height-relative:page;" stroked="t" coordsize="21600,21600">
            <v:path arrowok="t"/>
            <v:fill focussize="0,0"/>
            <v:stroke weight="1.5pt" color="#000000"/>
            <v:imagedata o:title=""/>
            <o:lock v:ext="edit"/>
          </v:line>
        </w:pict>
      </w:r>
      <w:r>
        <w:rPr>
          <w:spacing w:val="-12"/>
          <w:sz w:val="28"/>
        </w:rPr>
        <w:t>县委组织部、县委宣传部、县委政策研究室，县政府督查室、县发展和改革局、县市场监督管理局、县工业和商务科技局、县文化和旅游局、县农业农村局、县住房和城乡</w:t>
      </w:r>
      <w:r>
        <w:rPr>
          <w:spacing w:val="-11"/>
          <w:sz w:val="28"/>
        </w:rPr>
        <w:t>建设局、县交通运输局、县水利局、县林业和草原局、县</w:t>
      </w:r>
      <w:r>
        <w:rPr>
          <w:spacing w:val="-3"/>
          <w:sz w:val="28"/>
        </w:rPr>
        <w:t>卫生健康局、县应急管理局、县教育体育局、县公安局、</w:t>
      </w:r>
      <w:r>
        <w:rPr>
          <w:spacing w:val="-10"/>
          <w:sz w:val="28"/>
        </w:rPr>
        <w:t>县财政局、县人力资源和社会保障局、县自然资源局、县</w:t>
      </w:r>
      <w:r>
        <w:rPr>
          <w:spacing w:val="-12"/>
          <w:sz w:val="28"/>
        </w:rPr>
        <w:t>统计局、县民政局、县司法局、县政务服务管理局、州生</w:t>
      </w:r>
      <w:r>
        <w:rPr>
          <w:spacing w:val="-11"/>
          <w:sz w:val="28"/>
        </w:rPr>
        <w:t>态环境局盈江分局，县总工会、团县委、县工商联，县税</w:t>
      </w:r>
      <w:r>
        <w:rPr>
          <w:spacing w:val="-5"/>
          <w:sz w:val="28"/>
        </w:rPr>
        <w:t>务局、盈江海关，县邮政分公司、人行盈江支行。</w:t>
      </w:r>
    </w:p>
    <w:p>
      <w:pPr>
        <w:tabs>
          <w:tab w:val="left" w:pos="5839"/>
        </w:tabs>
        <w:spacing w:before="46"/>
        <w:ind w:left="660" w:right="0" w:firstLine="0"/>
        <w:jc w:val="both"/>
        <w:rPr>
          <w:sz w:val="28"/>
        </w:rPr>
      </w:pPr>
      <w:r>
        <w:pict>
          <v:line id="_x0000_s1048" o:spid="_x0000_s1048" o:spt="20" style="position:absolute;left:0pt;margin-left:97.05pt;margin-top:30pt;height:0pt;width:421.8pt;mso-position-horizontal-relative:page;mso-wrap-distance-bottom:0pt;mso-wrap-distance-top:0pt;z-index:-251641856;mso-width-relative:page;mso-height-relative:page;" stroked="t" coordsize="21600,21600">
            <v:path arrowok="t"/>
            <v:fill focussize="0,0"/>
            <v:stroke weight="1.09pt" color="#000000"/>
            <v:imagedata o:title=""/>
            <o:lock v:ext="edit"/>
            <w10:wrap type="topAndBottom"/>
          </v:line>
        </w:pict>
      </w:r>
      <w:r>
        <w:rPr>
          <w:sz w:val="28"/>
        </w:rPr>
        <w:t>盈</w:t>
      </w:r>
      <w:r>
        <w:rPr>
          <w:spacing w:val="-3"/>
          <w:sz w:val="28"/>
        </w:rPr>
        <w:t>江</w:t>
      </w:r>
      <w:r>
        <w:rPr>
          <w:sz w:val="28"/>
        </w:rPr>
        <w:t>县人</w:t>
      </w:r>
      <w:r>
        <w:rPr>
          <w:spacing w:val="-3"/>
          <w:sz w:val="28"/>
        </w:rPr>
        <w:t>民</w:t>
      </w:r>
      <w:r>
        <w:rPr>
          <w:sz w:val="28"/>
        </w:rPr>
        <w:t>政府</w:t>
      </w:r>
      <w:r>
        <w:rPr>
          <w:spacing w:val="-3"/>
          <w:sz w:val="28"/>
        </w:rPr>
        <w:t>办</w:t>
      </w:r>
      <w:r>
        <w:rPr>
          <w:sz w:val="28"/>
        </w:rPr>
        <w:t>公室</w:t>
      </w:r>
      <w:r>
        <w:rPr>
          <w:sz w:val="28"/>
        </w:rPr>
        <w:tab/>
      </w:r>
      <w:r>
        <w:rPr>
          <w:rFonts w:ascii="Times New Roman" w:eastAsia="Times New Roman"/>
          <w:sz w:val="28"/>
        </w:rPr>
        <w:t>2022</w:t>
      </w:r>
      <w:r>
        <w:rPr>
          <w:rFonts w:ascii="Times New Roman" w:eastAsia="Times New Roman"/>
          <w:spacing w:val="-2"/>
          <w:sz w:val="28"/>
        </w:rPr>
        <w:t xml:space="preserve"> </w:t>
      </w:r>
      <w:r>
        <w:rPr>
          <w:sz w:val="28"/>
        </w:rPr>
        <w:t>年</w:t>
      </w:r>
      <w:r>
        <w:rPr>
          <w:spacing w:val="-56"/>
          <w:sz w:val="28"/>
        </w:rPr>
        <w:t xml:space="preserve"> </w:t>
      </w:r>
      <w:r>
        <w:rPr>
          <w:rFonts w:ascii="Times New Roman" w:eastAsia="Times New Roman"/>
          <w:sz w:val="28"/>
        </w:rPr>
        <w:t xml:space="preserve">4 </w:t>
      </w:r>
      <w:r>
        <w:rPr>
          <w:sz w:val="28"/>
        </w:rPr>
        <w:t>月</w:t>
      </w:r>
      <w:r>
        <w:rPr>
          <w:spacing w:val="-56"/>
          <w:sz w:val="28"/>
        </w:rPr>
        <w:t xml:space="preserve"> </w:t>
      </w:r>
      <w:r>
        <w:rPr>
          <w:rFonts w:ascii="Times New Roman" w:eastAsia="Times New Roman"/>
          <w:sz w:val="28"/>
        </w:rPr>
        <w:t>20</w:t>
      </w:r>
      <w:r>
        <w:rPr>
          <w:rFonts w:ascii="Times New Roman" w:eastAsia="Times New Roman"/>
          <w:spacing w:val="-2"/>
          <w:sz w:val="28"/>
        </w:rPr>
        <w:t xml:space="preserve"> </w:t>
      </w:r>
      <w:r>
        <w:rPr>
          <w:sz w:val="28"/>
        </w:rPr>
        <w:t>日</w:t>
      </w:r>
      <w:r>
        <w:rPr>
          <w:spacing w:val="-3"/>
          <w:sz w:val="28"/>
        </w:rPr>
        <w:t>印</w:t>
      </w:r>
      <w:r>
        <w:rPr>
          <w:sz w:val="28"/>
        </w:rPr>
        <w:t>发</w:t>
      </w:r>
    </w:p>
    <w:sectPr>
      <w:footerReference r:id="rId9" w:type="even"/>
      <w:pgSz w:w="11910" w:h="16840"/>
      <w:pgMar w:top="1540" w:right="940" w:bottom="1380" w:left="1420" w:header="0" w:footer="1182" w:gutter="0"/>
      <w:pgNumType w:start="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49" o:spid="_x0000_s2049" o:spt="202" type="#_x0000_t202" style="position:absolute;left:0pt;margin-left:453.2pt;margin-top:771.75pt;height:16.05pt;width:37pt;mso-position-horizontal-relative:page;mso-position-vertical-relative:page;z-index:-252380160;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1</w:t>
                </w:r>
                <w:r>
                  <w:fldChar w:fldCharType="end"/>
                </w:r>
                <w:r>
                  <w:rPr>
                    <w:rFonts w:ascii="宋体"/>
                    <w:sz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0" o:spid="_x0000_s2050" o:spt="202" type="#_x0000_t202" style="position:absolute;left:0pt;margin-left:105.15pt;margin-top:771.75pt;height:16.05pt;width:37pt;mso-position-horizontal-relative:page;mso-position-vertical-relative:page;z-index:-252379136;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2</w:t>
                </w:r>
                <w:r>
                  <w:fldChar w:fldCharType="end"/>
                </w:r>
                <w:r>
                  <w:rPr>
                    <w:rFonts w:ascii="宋体"/>
                    <w:sz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2" o:spid="_x0000_s2052" o:spt="202" type="#_x0000_t202" style="position:absolute;left:0pt;margin-left:446.2pt;margin-top:771.75pt;height:16.05pt;width:43.95pt;mso-position-horizontal-relative:page;mso-position-vertical-relative:page;z-index:-252377088;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11</w:t>
                </w:r>
                <w:r>
                  <w:fldChar w:fldCharType="end"/>
                </w:r>
                <w:r>
                  <w:rPr>
                    <w:rFonts w:ascii="宋体"/>
                    <w:sz w:val="28"/>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1" o:spid="_x0000_s2051" o:spt="202" type="#_x0000_t202" style="position:absolute;left:0pt;margin-left:105.15pt;margin-top:771.75pt;height:16.05pt;width:43.95pt;mso-position-horizontal-relative:page;mso-position-vertical-relative:page;z-index:-252378112;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10</w:t>
                </w:r>
                <w:r>
                  <w:fldChar w:fldCharType="end"/>
                </w:r>
                <w:r>
                  <w:rPr>
                    <w:rFonts w:ascii="宋体"/>
                    <w:sz w:val="28"/>
                  </w:rPr>
                  <w:t xml:space="preserve"> -</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4" o:spid="_x0000_s2054" o:spt="202" type="#_x0000_t202" style="position:absolute;left:0pt;margin-left:446.2pt;margin-top:771.75pt;height:16.05pt;width:43.95pt;mso-position-horizontal-relative:page;mso-position-vertical-relative:page;z-index:-252375040;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21</w:t>
                </w:r>
                <w:r>
                  <w:fldChar w:fldCharType="end"/>
                </w:r>
                <w:r>
                  <w:rPr>
                    <w:rFonts w:ascii="宋体"/>
                    <w:sz w:val="28"/>
                  </w:rPr>
                  <w:t xml:space="preserve"> -</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3" o:spid="_x0000_s2053" o:spt="202" type="#_x0000_t202" style="position:absolute;left:0pt;margin-left:105.15pt;margin-top:771.75pt;height:16.05pt;width:43.95pt;mso-position-horizontal-relative:page;mso-position-vertical-relative:page;z-index:-252376064;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20</w:t>
                </w:r>
                <w:r>
                  <w:fldChar w:fldCharType="end"/>
                </w:r>
                <w:r>
                  <w:rPr>
                    <w:rFonts w:ascii="宋体"/>
                    <w:sz w:val="28"/>
                  </w:rPr>
                  <w:t xml:space="preserve"> -</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5" o:spid="_x0000_s2055" o:spt="202" type="#_x0000_t202" style="position:absolute;left:0pt;margin-left:105.15pt;margin-top:771.75pt;height:16.05pt;width:43.95pt;mso-position-horizontal-relative:page;mso-position-vertical-relative:page;z-index:-252374016;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30</w:t>
                </w:r>
                <w:r>
                  <w:fldChar w:fldCharType="end"/>
                </w:r>
                <w:r>
                  <w:rPr>
                    <w:rFonts w:ascii="宋体"/>
                    <w:sz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88B902"/>
    <w:multiLevelType w:val="multilevel"/>
    <w:tmpl w:val="9288B902"/>
    <w:lvl w:ilvl="0" w:tentative="0">
      <w:start w:val="2"/>
      <w:numFmt w:val="decimal"/>
      <w:lvlText w:val="%1."/>
      <w:lvlJc w:val="left"/>
      <w:pPr>
        <w:ind w:left="224" w:hanging="242"/>
        <w:jc w:val="left"/>
      </w:pPr>
      <w:rPr>
        <w:rFonts w:hint="default" w:ascii="Times New Roman" w:hAnsi="Times New Roman" w:eastAsia="Times New Roman" w:cs="Times New Roman"/>
        <w:spacing w:val="-1"/>
        <w:w w:val="99"/>
        <w:sz w:val="30"/>
        <w:szCs w:val="30"/>
        <w:lang w:val="zh-CN" w:eastAsia="zh-CN" w:bidi="zh-CN"/>
      </w:rPr>
    </w:lvl>
    <w:lvl w:ilvl="1" w:tentative="0">
      <w:start w:val="1"/>
      <w:numFmt w:val="decimal"/>
      <w:lvlText w:val="%2."/>
      <w:lvlJc w:val="left"/>
      <w:pPr>
        <w:ind w:left="380" w:hanging="242"/>
        <w:jc w:val="left"/>
      </w:pPr>
      <w:rPr>
        <w:rFonts w:hint="default" w:ascii="Times New Roman" w:hAnsi="Times New Roman" w:eastAsia="Times New Roman" w:cs="Times New Roman"/>
        <w:b/>
        <w:bCs/>
        <w:spacing w:val="-1"/>
        <w:w w:val="99"/>
        <w:sz w:val="30"/>
        <w:szCs w:val="30"/>
        <w:lang w:val="zh-CN" w:eastAsia="zh-CN" w:bidi="zh-CN"/>
      </w:rPr>
    </w:lvl>
    <w:lvl w:ilvl="2" w:tentative="0">
      <w:start w:val="0"/>
      <w:numFmt w:val="bullet"/>
      <w:lvlText w:val="•"/>
      <w:lvlJc w:val="left"/>
      <w:pPr>
        <w:ind w:left="1398" w:hanging="242"/>
      </w:pPr>
      <w:rPr>
        <w:rFonts w:hint="default"/>
        <w:lang w:val="zh-CN" w:eastAsia="zh-CN" w:bidi="zh-CN"/>
      </w:rPr>
    </w:lvl>
    <w:lvl w:ilvl="3" w:tentative="0">
      <w:start w:val="0"/>
      <w:numFmt w:val="bullet"/>
      <w:lvlText w:val="•"/>
      <w:lvlJc w:val="left"/>
      <w:pPr>
        <w:ind w:left="2416" w:hanging="242"/>
      </w:pPr>
      <w:rPr>
        <w:rFonts w:hint="default"/>
        <w:lang w:val="zh-CN" w:eastAsia="zh-CN" w:bidi="zh-CN"/>
      </w:rPr>
    </w:lvl>
    <w:lvl w:ilvl="4" w:tentative="0">
      <w:start w:val="0"/>
      <w:numFmt w:val="bullet"/>
      <w:lvlText w:val="•"/>
      <w:lvlJc w:val="left"/>
      <w:pPr>
        <w:ind w:left="3435" w:hanging="242"/>
      </w:pPr>
      <w:rPr>
        <w:rFonts w:hint="default"/>
        <w:lang w:val="zh-CN" w:eastAsia="zh-CN" w:bidi="zh-CN"/>
      </w:rPr>
    </w:lvl>
    <w:lvl w:ilvl="5" w:tentative="0">
      <w:start w:val="0"/>
      <w:numFmt w:val="bullet"/>
      <w:lvlText w:val="•"/>
      <w:lvlJc w:val="left"/>
      <w:pPr>
        <w:ind w:left="4453" w:hanging="242"/>
      </w:pPr>
      <w:rPr>
        <w:rFonts w:hint="default"/>
        <w:lang w:val="zh-CN" w:eastAsia="zh-CN" w:bidi="zh-CN"/>
      </w:rPr>
    </w:lvl>
    <w:lvl w:ilvl="6" w:tentative="0">
      <w:start w:val="0"/>
      <w:numFmt w:val="bullet"/>
      <w:lvlText w:val="•"/>
      <w:lvlJc w:val="left"/>
      <w:pPr>
        <w:ind w:left="5472" w:hanging="242"/>
      </w:pPr>
      <w:rPr>
        <w:rFonts w:hint="default"/>
        <w:lang w:val="zh-CN" w:eastAsia="zh-CN" w:bidi="zh-CN"/>
      </w:rPr>
    </w:lvl>
    <w:lvl w:ilvl="7" w:tentative="0">
      <w:start w:val="0"/>
      <w:numFmt w:val="bullet"/>
      <w:lvlText w:val="•"/>
      <w:lvlJc w:val="left"/>
      <w:pPr>
        <w:ind w:left="6490" w:hanging="242"/>
      </w:pPr>
      <w:rPr>
        <w:rFonts w:hint="default"/>
        <w:lang w:val="zh-CN" w:eastAsia="zh-CN" w:bidi="zh-CN"/>
      </w:rPr>
    </w:lvl>
    <w:lvl w:ilvl="8" w:tentative="0">
      <w:start w:val="0"/>
      <w:numFmt w:val="bullet"/>
      <w:lvlText w:val="•"/>
      <w:lvlJc w:val="left"/>
      <w:pPr>
        <w:ind w:left="7509" w:hanging="242"/>
      </w:pPr>
      <w:rPr>
        <w:rFonts w:hint="default"/>
        <w:lang w:val="zh-CN" w:eastAsia="zh-CN" w:bidi="zh-CN"/>
      </w:rPr>
    </w:lvl>
  </w:abstractNum>
  <w:abstractNum w:abstractNumId="1">
    <w:nsid w:val="9C8AC8EF"/>
    <w:multiLevelType w:val="multilevel"/>
    <w:tmpl w:val="9C8AC8EF"/>
    <w:lvl w:ilvl="0" w:tentative="0">
      <w:start w:val="1"/>
      <w:numFmt w:val="decimal"/>
      <w:lvlText w:val="%1."/>
      <w:lvlJc w:val="left"/>
      <w:pPr>
        <w:ind w:left="1461" w:hanging="242"/>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2268" w:hanging="242"/>
      </w:pPr>
      <w:rPr>
        <w:rFonts w:hint="default"/>
        <w:lang w:val="zh-CN" w:eastAsia="zh-CN" w:bidi="zh-CN"/>
      </w:rPr>
    </w:lvl>
    <w:lvl w:ilvl="2" w:tentative="0">
      <w:start w:val="0"/>
      <w:numFmt w:val="bullet"/>
      <w:lvlText w:val="•"/>
      <w:lvlJc w:val="left"/>
      <w:pPr>
        <w:ind w:left="3077" w:hanging="242"/>
      </w:pPr>
      <w:rPr>
        <w:rFonts w:hint="default"/>
        <w:lang w:val="zh-CN" w:eastAsia="zh-CN" w:bidi="zh-CN"/>
      </w:rPr>
    </w:lvl>
    <w:lvl w:ilvl="3" w:tentative="0">
      <w:start w:val="0"/>
      <w:numFmt w:val="bullet"/>
      <w:lvlText w:val="•"/>
      <w:lvlJc w:val="left"/>
      <w:pPr>
        <w:ind w:left="3885" w:hanging="242"/>
      </w:pPr>
      <w:rPr>
        <w:rFonts w:hint="default"/>
        <w:lang w:val="zh-CN" w:eastAsia="zh-CN" w:bidi="zh-CN"/>
      </w:rPr>
    </w:lvl>
    <w:lvl w:ilvl="4" w:tentative="0">
      <w:start w:val="0"/>
      <w:numFmt w:val="bullet"/>
      <w:lvlText w:val="•"/>
      <w:lvlJc w:val="left"/>
      <w:pPr>
        <w:ind w:left="4694" w:hanging="242"/>
      </w:pPr>
      <w:rPr>
        <w:rFonts w:hint="default"/>
        <w:lang w:val="zh-CN" w:eastAsia="zh-CN" w:bidi="zh-CN"/>
      </w:rPr>
    </w:lvl>
    <w:lvl w:ilvl="5" w:tentative="0">
      <w:start w:val="0"/>
      <w:numFmt w:val="bullet"/>
      <w:lvlText w:val="•"/>
      <w:lvlJc w:val="left"/>
      <w:pPr>
        <w:ind w:left="5503" w:hanging="242"/>
      </w:pPr>
      <w:rPr>
        <w:rFonts w:hint="default"/>
        <w:lang w:val="zh-CN" w:eastAsia="zh-CN" w:bidi="zh-CN"/>
      </w:rPr>
    </w:lvl>
    <w:lvl w:ilvl="6" w:tentative="0">
      <w:start w:val="0"/>
      <w:numFmt w:val="bullet"/>
      <w:lvlText w:val="•"/>
      <w:lvlJc w:val="left"/>
      <w:pPr>
        <w:ind w:left="6311" w:hanging="242"/>
      </w:pPr>
      <w:rPr>
        <w:rFonts w:hint="default"/>
        <w:lang w:val="zh-CN" w:eastAsia="zh-CN" w:bidi="zh-CN"/>
      </w:rPr>
    </w:lvl>
    <w:lvl w:ilvl="7" w:tentative="0">
      <w:start w:val="0"/>
      <w:numFmt w:val="bullet"/>
      <w:lvlText w:val="•"/>
      <w:lvlJc w:val="left"/>
      <w:pPr>
        <w:ind w:left="7120" w:hanging="242"/>
      </w:pPr>
      <w:rPr>
        <w:rFonts w:hint="default"/>
        <w:lang w:val="zh-CN" w:eastAsia="zh-CN" w:bidi="zh-CN"/>
      </w:rPr>
    </w:lvl>
    <w:lvl w:ilvl="8" w:tentative="0">
      <w:start w:val="0"/>
      <w:numFmt w:val="bullet"/>
      <w:lvlText w:val="•"/>
      <w:lvlJc w:val="left"/>
      <w:pPr>
        <w:ind w:left="7928" w:hanging="242"/>
      </w:pPr>
      <w:rPr>
        <w:rFonts w:hint="default"/>
        <w:lang w:val="zh-CN" w:eastAsia="zh-CN" w:bidi="zh-CN"/>
      </w:rPr>
    </w:lvl>
  </w:abstractNum>
  <w:abstractNum w:abstractNumId="2">
    <w:nsid w:val="B0F1ACD9"/>
    <w:multiLevelType w:val="multilevel"/>
    <w:tmpl w:val="B0F1ACD9"/>
    <w:lvl w:ilvl="0" w:tentative="0">
      <w:start w:val="1"/>
      <w:numFmt w:val="decimal"/>
      <w:lvlText w:val="%1."/>
      <w:lvlJc w:val="left"/>
      <w:pPr>
        <w:ind w:left="380" w:hanging="242"/>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1296" w:hanging="242"/>
      </w:pPr>
      <w:rPr>
        <w:rFonts w:hint="default"/>
        <w:lang w:val="zh-CN" w:eastAsia="zh-CN" w:bidi="zh-CN"/>
      </w:rPr>
    </w:lvl>
    <w:lvl w:ilvl="2" w:tentative="0">
      <w:start w:val="0"/>
      <w:numFmt w:val="bullet"/>
      <w:lvlText w:val="•"/>
      <w:lvlJc w:val="left"/>
      <w:pPr>
        <w:ind w:left="2213" w:hanging="242"/>
      </w:pPr>
      <w:rPr>
        <w:rFonts w:hint="default"/>
        <w:lang w:val="zh-CN" w:eastAsia="zh-CN" w:bidi="zh-CN"/>
      </w:rPr>
    </w:lvl>
    <w:lvl w:ilvl="3" w:tentative="0">
      <w:start w:val="0"/>
      <w:numFmt w:val="bullet"/>
      <w:lvlText w:val="•"/>
      <w:lvlJc w:val="left"/>
      <w:pPr>
        <w:ind w:left="3129" w:hanging="242"/>
      </w:pPr>
      <w:rPr>
        <w:rFonts w:hint="default"/>
        <w:lang w:val="zh-CN" w:eastAsia="zh-CN" w:bidi="zh-CN"/>
      </w:rPr>
    </w:lvl>
    <w:lvl w:ilvl="4" w:tentative="0">
      <w:start w:val="0"/>
      <w:numFmt w:val="bullet"/>
      <w:lvlText w:val="•"/>
      <w:lvlJc w:val="left"/>
      <w:pPr>
        <w:ind w:left="4046" w:hanging="242"/>
      </w:pPr>
      <w:rPr>
        <w:rFonts w:hint="default"/>
        <w:lang w:val="zh-CN" w:eastAsia="zh-CN" w:bidi="zh-CN"/>
      </w:rPr>
    </w:lvl>
    <w:lvl w:ilvl="5" w:tentative="0">
      <w:start w:val="0"/>
      <w:numFmt w:val="bullet"/>
      <w:lvlText w:val="•"/>
      <w:lvlJc w:val="left"/>
      <w:pPr>
        <w:ind w:left="4963" w:hanging="242"/>
      </w:pPr>
      <w:rPr>
        <w:rFonts w:hint="default"/>
        <w:lang w:val="zh-CN" w:eastAsia="zh-CN" w:bidi="zh-CN"/>
      </w:rPr>
    </w:lvl>
    <w:lvl w:ilvl="6" w:tentative="0">
      <w:start w:val="0"/>
      <w:numFmt w:val="bullet"/>
      <w:lvlText w:val="•"/>
      <w:lvlJc w:val="left"/>
      <w:pPr>
        <w:ind w:left="5879" w:hanging="242"/>
      </w:pPr>
      <w:rPr>
        <w:rFonts w:hint="default"/>
        <w:lang w:val="zh-CN" w:eastAsia="zh-CN" w:bidi="zh-CN"/>
      </w:rPr>
    </w:lvl>
    <w:lvl w:ilvl="7" w:tentative="0">
      <w:start w:val="0"/>
      <w:numFmt w:val="bullet"/>
      <w:lvlText w:val="•"/>
      <w:lvlJc w:val="left"/>
      <w:pPr>
        <w:ind w:left="6796" w:hanging="242"/>
      </w:pPr>
      <w:rPr>
        <w:rFonts w:hint="default"/>
        <w:lang w:val="zh-CN" w:eastAsia="zh-CN" w:bidi="zh-CN"/>
      </w:rPr>
    </w:lvl>
    <w:lvl w:ilvl="8" w:tentative="0">
      <w:start w:val="0"/>
      <w:numFmt w:val="bullet"/>
      <w:lvlText w:val="•"/>
      <w:lvlJc w:val="left"/>
      <w:pPr>
        <w:ind w:left="7712" w:hanging="242"/>
      </w:pPr>
      <w:rPr>
        <w:rFonts w:hint="default"/>
        <w:lang w:val="zh-CN" w:eastAsia="zh-CN" w:bidi="zh-CN"/>
      </w:rPr>
    </w:lvl>
  </w:abstractNum>
  <w:abstractNum w:abstractNumId="3">
    <w:nsid w:val="BE923771"/>
    <w:multiLevelType w:val="multilevel"/>
    <w:tmpl w:val="BE923771"/>
    <w:lvl w:ilvl="0" w:tentative="0">
      <w:start w:val="1"/>
      <w:numFmt w:val="decimal"/>
      <w:lvlText w:val="%1."/>
      <w:lvlJc w:val="left"/>
      <w:pPr>
        <w:ind w:left="380" w:hanging="243"/>
        <w:jc w:val="left"/>
      </w:pPr>
      <w:rPr>
        <w:rFonts w:hint="default" w:ascii="Times New Roman" w:hAnsi="Times New Roman" w:eastAsia="Times New Roman" w:cs="Times New Roman"/>
        <w:b/>
        <w:bCs/>
        <w:spacing w:val="1"/>
        <w:w w:val="99"/>
        <w:sz w:val="30"/>
        <w:szCs w:val="30"/>
        <w:lang w:val="zh-CN" w:eastAsia="zh-CN" w:bidi="zh-CN"/>
      </w:rPr>
    </w:lvl>
    <w:lvl w:ilvl="1" w:tentative="0">
      <w:start w:val="0"/>
      <w:numFmt w:val="bullet"/>
      <w:lvlText w:val="•"/>
      <w:lvlJc w:val="left"/>
      <w:pPr>
        <w:ind w:left="1296" w:hanging="243"/>
      </w:pPr>
      <w:rPr>
        <w:rFonts w:hint="default"/>
        <w:lang w:val="zh-CN" w:eastAsia="zh-CN" w:bidi="zh-CN"/>
      </w:rPr>
    </w:lvl>
    <w:lvl w:ilvl="2" w:tentative="0">
      <w:start w:val="0"/>
      <w:numFmt w:val="bullet"/>
      <w:lvlText w:val="•"/>
      <w:lvlJc w:val="left"/>
      <w:pPr>
        <w:ind w:left="2213" w:hanging="243"/>
      </w:pPr>
      <w:rPr>
        <w:rFonts w:hint="default"/>
        <w:lang w:val="zh-CN" w:eastAsia="zh-CN" w:bidi="zh-CN"/>
      </w:rPr>
    </w:lvl>
    <w:lvl w:ilvl="3" w:tentative="0">
      <w:start w:val="0"/>
      <w:numFmt w:val="bullet"/>
      <w:lvlText w:val="•"/>
      <w:lvlJc w:val="left"/>
      <w:pPr>
        <w:ind w:left="3129" w:hanging="243"/>
      </w:pPr>
      <w:rPr>
        <w:rFonts w:hint="default"/>
        <w:lang w:val="zh-CN" w:eastAsia="zh-CN" w:bidi="zh-CN"/>
      </w:rPr>
    </w:lvl>
    <w:lvl w:ilvl="4" w:tentative="0">
      <w:start w:val="0"/>
      <w:numFmt w:val="bullet"/>
      <w:lvlText w:val="•"/>
      <w:lvlJc w:val="left"/>
      <w:pPr>
        <w:ind w:left="4046" w:hanging="243"/>
      </w:pPr>
      <w:rPr>
        <w:rFonts w:hint="default"/>
        <w:lang w:val="zh-CN" w:eastAsia="zh-CN" w:bidi="zh-CN"/>
      </w:rPr>
    </w:lvl>
    <w:lvl w:ilvl="5" w:tentative="0">
      <w:start w:val="0"/>
      <w:numFmt w:val="bullet"/>
      <w:lvlText w:val="•"/>
      <w:lvlJc w:val="left"/>
      <w:pPr>
        <w:ind w:left="4963" w:hanging="243"/>
      </w:pPr>
      <w:rPr>
        <w:rFonts w:hint="default"/>
        <w:lang w:val="zh-CN" w:eastAsia="zh-CN" w:bidi="zh-CN"/>
      </w:rPr>
    </w:lvl>
    <w:lvl w:ilvl="6" w:tentative="0">
      <w:start w:val="0"/>
      <w:numFmt w:val="bullet"/>
      <w:lvlText w:val="•"/>
      <w:lvlJc w:val="left"/>
      <w:pPr>
        <w:ind w:left="5879" w:hanging="243"/>
      </w:pPr>
      <w:rPr>
        <w:rFonts w:hint="default"/>
        <w:lang w:val="zh-CN" w:eastAsia="zh-CN" w:bidi="zh-CN"/>
      </w:rPr>
    </w:lvl>
    <w:lvl w:ilvl="7" w:tentative="0">
      <w:start w:val="0"/>
      <w:numFmt w:val="bullet"/>
      <w:lvlText w:val="•"/>
      <w:lvlJc w:val="left"/>
      <w:pPr>
        <w:ind w:left="6796" w:hanging="243"/>
      </w:pPr>
      <w:rPr>
        <w:rFonts w:hint="default"/>
        <w:lang w:val="zh-CN" w:eastAsia="zh-CN" w:bidi="zh-CN"/>
      </w:rPr>
    </w:lvl>
    <w:lvl w:ilvl="8" w:tentative="0">
      <w:start w:val="0"/>
      <w:numFmt w:val="bullet"/>
      <w:lvlText w:val="•"/>
      <w:lvlJc w:val="left"/>
      <w:pPr>
        <w:ind w:left="7712" w:hanging="243"/>
      </w:pPr>
      <w:rPr>
        <w:rFonts w:hint="default"/>
        <w:lang w:val="zh-CN" w:eastAsia="zh-CN" w:bidi="zh-CN"/>
      </w:rPr>
    </w:lvl>
  </w:abstractNum>
  <w:abstractNum w:abstractNumId="4">
    <w:nsid w:val="D7F9FE59"/>
    <w:multiLevelType w:val="multilevel"/>
    <w:tmpl w:val="D7F9FE59"/>
    <w:lvl w:ilvl="0" w:tentative="0">
      <w:start w:val="1"/>
      <w:numFmt w:val="decimal"/>
      <w:lvlText w:val="%1."/>
      <w:lvlJc w:val="left"/>
      <w:pPr>
        <w:ind w:left="1461" w:hanging="242"/>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2268" w:hanging="242"/>
      </w:pPr>
      <w:rPr>
        <w:rFonts w:hint="default"/>
        <w:lang w:val="zh-CN" w:eastAsia="zh-CN" w:bidi="zh-CN"/>
      </w:rPr>
    </w:lvl>
    <w:lvl w:ilvl="2" w:tentative="0">
      <w:start w:val="0"/>
      <w:numFmt w:val="bullet"/>
      <w:lvlText w:val="•"/>
      <w:lvlJc w:val="left"/>
      <w:pPr>
        <w:ind w:left="3077" w:hanging="242"/>
      </w:pPr>
      <w:rPr>
        <w:rFonts w:hint="default"/>
        <w:lang w:val="zh-CN" w:eastAsia="zh-CN" w:bidi="zh-CN"/>
      </w:rPr>
    </w:lvl>
    <w:lvl w:ilvl="3" w:tentative="0">
      <w:start w:val="0"/>
      <w:numFmt w:val="bullet"/>
      <w:lvlText w:val="•"/>
      <w:lvlJc w:val="left"/>
      <w:pPr>
        <w:ind w:left="3885" w:hanging="242"/>
      </w:pPr>
      <w:rPr>
        <w:rFonts w:hint="default"/>
        <w:lang w:val="zh-CN" w:eastAsia="zh-CN" w:bidi="zh-CN"/>
      </w:rPr>
    </w:lvl>
    <w:lvl w:ilvl="4" w:tentative="0">
      <w:start w:val="0"/>
      <w:numFmt w:val="bullet"/>
      <w:lvlText w:val="•"/>
      <w:lvlJc w:val="left"/>
      <w:pPr>
        <w:ind w:left="4694" w:hanging="242"/>
      </w:pPr>
      <w:rPr>
        <w:rFonts w:hint="default"/>
        <w:lang w:val="zh-CN" w:eastAsia="zh-CN" w:bidi="zh-CN"/>
      </w:rPr>
    </w:lvl>
    <w:lvl w:ilvl="5" w:tentative="0">
      <w:start w:val="0"/>
      <w:numFmt w:val="bullet"/>
      <w:lvlText w:val="•"/>
      <w:lvlJc w:val="left"/>
      <w:pPr>
        <w:ind w:left="5503" w:hanging="242"/>
      </w:pPr>
      <w:rPr>
        <w:rFonts w:hint="default"/>
        <w:lang w:val="zh-CN" w:eastAsia="zh-CN" w:bidi="zh-CN"/>
      </w:rPr>
    </w:lvl>
    <w:lvl w:ilvl="6" w:tentative="0">
      <w:start w:val="0"/>
      <w:numFmt w:val="bullet"/>
      <w:lvlText w:val="•"/>
      <w:lvlJc w:val="left"/>
      <w:pPr>
        <w:ind w:left="6311" w:hanging="242"/>
      </w:pPr>
      <w:rPr>
        <w:rFonts w:hint="default"/>
        <w:lang w:val="zh-CN" w:eastAsia="zh-CN" w:bidi="zh-CN"/>
      </w:rPr>
    </w:lvl>
    <w:lvl w:ilvl="7" w:tentative="0">
      <w:start w:val="0"/>
      <w:numFmt w:val="bullet"/>
      <w:lvlText w:val="•"/>
      <w:lvlJc w:val="left"/>
      <w:pPr>
        <w:ind w:left="7120" w:hanging="242"/>
      </w:pPr>
      <w:rPr>
        <w:rFonts w:hint="default"/>
        <w:lang w:val="zh-CN" w:eastAsia="zh-CN" w:bidi="zh-CN"/>
      </w:rPr>
    </w:lvl>
    <w:lvl w:ilvl="8" w:tentative="0">
      <w:start w:val="0"/>
      <w:numFmt w:val="bullet"/>
      <w:lvlText w:val="•"/>
      <w:lvlJc w:val="left"/>
      <w:pPr>
        <w:ind w:left="7928" w:hanging="242"/>
      </w:pPr>
      <w:rPr>
        <w:rFonts w:hint="default"/>
        <w:lang w:val="zh-CN" w:eastAsia="zh-CN" w:bidi="zh-CN"/>
      </w:rPr>
    </w:lvl>
  </w:abstractNum>
  <w:abstractNum w:abstractNumId="5">
    <w:nsid w:val="DCBA6B53"/>
    <w:multiLevelType w:val="multilevel"/>
    <w:tmpl w:val="DCBA6B53"/>
    <w:lvl w:ilvl="0" w:tentative="0">
      <w:start w:val="1"/>
      <w:numFmt w:val="decimal"/>
      <w:lvlText w:val="%1."/>
      <w:lvlJc w:val="left"/>
      <w:pPr>
        <w:ind w:left="1461" w:hanging="242"/>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2268" w:hanging="242"/>
      </w:pPr>
      <w:rPr>
        <w:rFonts w:hint="default"/>
        <w:lang w:val="zh-CN" w:eastAsia="zh-CN" w:bidi="zh-CN"/>
      </w:rPr>
    </w:lvl>
    <w:lvl w:ilvl="2" w:tentative="0">
      <w:start w:val="0"/>
      <w:numFmt w:val="bullet"/>
      <w:lvlText w:val="•"/>
      <w:lvlJc w:val="left"/>
      <w:pPr>
        <w:ind w:left="3077" w:hanging="242"/>
      </w:pPr>
      <w:rPr>
        <w:rFonts w:hint="default"/>
        <w:lang w:val="zh-CN" w:eastAsia="zh-CN" w:bidi="zh-CN"/>
      </w:rPr>
    </w:lvl>
    <w:lvl w:ilvl="3" w:tentative="0">
      <w:start w:val="0"/>
      <w:numFmt w:val="bullet"/>
      <w:lvlText w:val="•"/>
      <w:lvlJc w:val="left"/>
      <w:pPr>
        <w:ind w:left="3885" w:hanging="242"/>
      </w:pPr>
      <w:rPr>
        <w:rFonts w:hint="default"/>
        <w:lang w:val="zh-CN" w:eastAsia="zh-CN" w:bidi="zh-CN"/>
      </w:rPr>
    </w:lvl>
    <w:lvl w:ilvl="4" w:tentative="0">
      <w:start w:val="0"/>
      <w:numFmt w:val="bullet"/>
      <w:lvlText w:val="•"/>
      <w:lvlJc w:val="left"/>
      <w:pPr>
        <w:ind w:left="4694" w:hanging="242"/>
      </w:pPr>
      <w:rPr>
        <w:rFonts w:hint="default"/>
        <w:lang w:val="zh-CN" w:eastAsia="zh-CN" w:bidi="zh-CN"/>
      </w:rPr>
    </w:lvl>
    <w:lvl w:ilvl="5" w:tentative="0">
      <w:start w:val="0"/>
      <w:numFmt w:val="bullet"/>
      <w:lvlText w:val="•"/>
      <w:lvlJc w:val="left"/>
      <w:pPr>
        <w:ind w:left="5503" w:hanging="242"/>
      </w:pPr>
      <w:rPr>
        <w:rFonts w:hint="default"/>
        <w:lang w:val="zh-CN" w:eastAsia="zh-CN" w:bidi="zh-CN"/>
      </w:rPr>
    </w:lvl>
    <w:lvl w:ilvl="6" w:tentative="0">
      <w:start w:val="0"/>
      <w:numFmt w:val="bullet"/>
      <w:lvlText w:val="•"/>
      <w:lvlJc w:val="left"/>
      <w:pPr>
        <w:ind w:left="6311" w:hanging="242"/>
      </w:pPr>
      <w:rPr>
        <w:rFonts w:hint="default"/>
        <w:lang w:val="zh-CN" w:eastAsia="zh-CN" w:bidi="zh-CN"/>
      </w:rPr>
    </w:lvl>
    <w:lvl w:ilvl="7" w:tentative="0">
      <w:start w:val="0"/>
      <w:numFmt w:val="bullet"/>
      <w:lvlText w:val="•"/>
      <w:lvlJc w:val="left"/>
      <w:pPr>
        <w:ind w:left="7120" w:hanging="242"/>
      </w:pPr>
      <w:rPr>
        <w:rFonts w:hint="default"/>
        <w:lang w:val="zh-CN" w:eastAsia="zh-CN" w:bidi="zh-CN"/>
      </w:rPr>
    </w:lvl>
    <w:lvl w:ilvl="8" w:tentative="0">
      <w:start w:val="0"/>
      <w:numFmt w:val="bullet"/>
      <w:lvlText w:val="•"/>
      <w:lvlJc w:val="left"/>
      <w:pPr>
        <w:ind w:left="7928" w:hanging="242"/>
      </w:pPr>
      <w:rPr>
        <w:rFonts w:hint="default"/>
        <w:lang w:val="zh-CN" w:eastAsia="zh-CN" w:bidi="zh-CN"/>
      </w:rPr>
    </w:lvl>
  </w:abstractNum>
  <w:abstractNum w:abstractNumId="6">
    <w:nsid w:val="0E640482"/>
    <w:multiLevelType w:val="multilevel"/>
    <w:tmpl w:val="0E640482"/>
    <w:lvl w:ilvl="0" w:tentative="0">
      <w:start w:val="1"/>
      <w:numFmt w:val="decimal"/>
      <w:lvlText w:val="%1."/>
      <w:lvlJc w:val="left"/>
      <w:pPr>
        <w:ind w:left="1262" w:hanging="242"/>
        <w:jc w:val="left"/>
      </w:pPr>
      <w:rPr>
        <w:rFonts w:hint="default" w:ascii="Times New Roman" w:hAnsi="Times New Roman" w:eastAsia="Times New Roman" w:cs="Times New Roman"/>
        <w:b/>
        <w:bCs/>
        <w:spacing w:val="-1"/>
        <w:w w:val="99"/>
        <w:sz w:val="30"/>
        <w:szCs w:val="30"/>
        <w:lang w:val="zh-CN" w:eastAsia="zh-CN" w:bidi="zh-CN"/>
      </w:rPr>
    </w:lvl>
    <w:lvl w:ilvl="1" w:tentative="0">
      <w:start w:val="0"/>
      <w:numFmt w:val="bullet"/>
      <w:lvlText w:val="•"/>
      <w:lvlJc w:val="left"/>
      <w:pPr>
        <w:ind w:left="2088" w:hanging="242"/>
      </w:pPr>
      <w:rPr>
        <w:rFonts w:hint="default"/>
        <w:lang w:val="zh-CN" w:eastAsia="zh-CN" w:bidi="zh-CN"/>
      </w:rPr>
    </w:lvl>
    <w:lvl w:ilvl="2" w:tentative="0">
      <w:start w:val="0"/>
      <w:numFmt w:val="bullet"/>
      <w:lvlText w:val="•"/>
      <w:lvlJc w:val="left"/>
      <w:pPr>
        <w:ind w:left="2917" w:hanging="242"/>
      </w:pPr>
      <w:rPr>
        <w:rFonts w:hint="default"/>
        <w:lang w:val="zh-CN" w:eastAsia="zh-CN" w:bidi="zh-CN"/>
      </w:rPr>
    </w:lvl>
    <w:lvl w:ilvl="3" w:tentative="0">
      <w:start w:val="0"/>
      <w:numFmt w:val="bullet"/>
      <w:lvlText w:val="•"/>
      <w:lvlJc w:val="left"/>
      <w:pPr>
        <w:ind w:left="3745" w:hanging="242"/>
      </w:pPr>
      <w:rPr>
        <w:rFonts w:hint="default"/>
        <w:lang w:val="zh-CN" w:eastAsia="zh-CN" w:bidi="zh-CN"/>
      </w:rPr>
    </w:lvl>
    <w:lvl w:ilvl="4" w:tentative="0">
      <w:start w:val="0"/>
      <w:numFmt w:val="bullet"/>
      <w:lvlText w:val="•"/>
      <w:lvlJc w:val="left"/>
      <w:pPr>
        <w:ind w:left="4574" w:hanging="242"/>
      </w:pPr>
      <w:rPr>
        <w:rFonts w:hint="default"/>
        <w:lang w:val="zh-CN" w:eastAsia="zh-CN" w:bidi="zh-CN"/>
      </w:rPr>
    </w:lvl>
    <w:lvl w:ilvl="5" w:tentative="0">
      <w:start w:val="0"/>
      <w:numFmt w:val="bullet"/>
      <w:lvlText w:val="•"/>
      <w:lvlJc w:val="left"/>
      <w:pPr>
        <w:ind w:left="5403" w:hanging="242"/>
      </w:pPr>
      <w:rPr>
        <w:rFonts w:hint="default"/>
        <w:lang w:val="zh-CN" w:eastAsia="zh-CN" w:bidi="zh-CN"/>
      </w:rPr>
    </w:lvl>
    <w:lvl w:ilvl="6" w:tentative="0">
      <w:start w:val="0"/>
      <w:numFmt w:val="bullet"/>
      <w:lvlText w:val="•"/>
      <w:lvlJc w:val="left"/>
      <w:pPr>
        <w:ind w:left="6231" w:hanging="242"/>
      </w:pPr>
      <w:rPr>
        <w:rFonts w:hint="default"/>
        <w:lang w:val="zh-CN" w:eastAsia="zh-CN" w:bidi="zh-CN"/>
      </w:rPr>
    </w:lvl>
    <w:lvl w:ilvl="7" w:tentative="0">
      <w:start w:val="0"/>
      <w:numFmt w:val="bullet"/>
      <w:lvlText w:val="•"/>
      <w:lvlJc w:val="left"/>
      <w:pPr>
        <w:ind w:left="7060" w:hanging="242"/>
      </w:pPr>
      <w:rPr>
        <w:rFonts w:hint="default"/>
        <w:lang w:val="zh-CN" w:eastAsia="zh-CN" w:bidi="zh-CN"/>
      </w:rPr>
    </w:lvl>
    <w:lvl w:ilvl="8" w:tentative="0">
      <w:start w:val="0"/>
      <w:numFmt w:val="bullet"/>
      <w:lvlText w:val="•"/>
      <w:lvlJc w:val="left"/>
      <w:pPr>
        <w:ind w:left="7888" w:hanging="242"/>
      </w:pPr>
      <w:rPr>
        <w:rFonts w:hint="default"/>
        <w:lang w:val="zh-CN" w:eastAsia="zh-CN" w:bidi="zh-CN"/>
      </w:rPr>
    </w:lvl>
  </w:abstractNum>
  <w:abstractNum w:abstractNumId="7">
    <w:nsid w:val="2470EC97"/>
    <w:multiLevelType w:val="multilevel"/>
    <w:tmpl w:val="2470EC97"/>
    <w:lvl w:ilvl="0" w:tentative="0">
      <w:start w:val="1"/>
      <w:numFmt w:val="decimal"/>
      <w:lvlText w:val="%1."/>
      <w:lvlJc w:val="left"/>
      <w:pPr>
        <w:ind w:left="1461" w:hanging="242"/>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2268" w:hanging="242"/>
      </w:pPr>
      <w:rPr>
        <w:rFonts w:hint="default"/>
        <w:lang w:val="zh-CN" w:eastAsia="zh-CN" w:bidi="zh-CN"/>
      </w:rPr>
    </w:lvl>
    <w:lvl w:ilvl="2" w:tentative="0">
      <w:start w:val="0"/>
      <w:numFmt w:val="bullet"/>
      <w:lvlText w:val="•"/>
      <w:lvlJc w:val="left"/>
      <w:pPr>
        <w:ind w:left="3077" w:hanging="242"/>
      </w:pPr>
      <w:rPr>
        <w:rFonts w:hint="default"/>
        <w:lang w:val="zh-CN" w:eastAsia="zh-CN" w:bidi="zh-CN"/>
      </w:rPr>
    </w:lvl>
    <w:lvl w:ilvl="3" w:tentative="0">
      <w:start w:val="0"/>
      <w:numFmt w:val="bullet"/>
      <w:lvlText w:val="•"/>
      <w:lvlJc w:val="left"/>
      <w:pPr>
        <w:ind w:left="3885" w:hanging="242"/>
      </w:pPr>
      <w:rPr>
        <w:rFonts w:hint="default"/>
        <w:lang w:val="zh-CN" w:eastAsia="zh-CN" w:bidi="zh-CN"/>
      </w:rPr>
    </w:lvl>
    <w:lvl w:ilvl="4" w:tentative="0">
      <w:start w:val="0"/>
      <w:numFmt w:val="bullet"/>
      <w:lvlText w:val="•"/>
      <w:lvlJc w:val="left"/>
      <w:pPr>
        <w:ind w:left="4694" w:hanging="242"/>
      </w:pPr>
      <w:rPr>
        <w:rFonts w:hint="default"/>
        <w:lang w:val="zh-CN" w:eastAsia="zh-CN" w:bidi="zh-CN"/>
      </w:rPr>
    </w:lvl>
    <w:lvl w:ilvl="5" w:tentative="0">
      <w:start w:val="0"/>
      <w:numFmt w:val="bullet"/>
      <w:lvlText w:val="•"/>
      <w:lvlJc w:val="left"/>
      <w:pPr>
        <w:ind w:left="5503" w:hanging="242"/>
      </w:pPr>
      <w:rPr>
        <w:rFonts w:hint="default"/>
        <w:lang w:val="zh-CN" w:eastAsia="zh-CN" w:bidi="zh-CN"/>
      </w:rPr>
    </w:lvl>
    <w:lvl w:ilvl="6" w:tentative="0">
      <w:start w:val="0"/>
      <w:numFmt w:val="bullet"/>
      <w:lvlText w:val="•"/>
      <w:lvlJc w:val="left"/>
      <w:pPr>
        <w:ind w:left="6311" w:hanging="242"/>
      </w:pPr>
      <w:rPr>
        <w:rFonts w:hint="default"/>
        <w:lang w:val="zh-CN" w:eastAsia="zh-CN" w:bidi="zh-CN"/>
      </w:rPr>
    </w:lvl>
    <w:lvl w:ilvl="7" w:tentative="0">
      <w:start w:val="0"/>
      <w:numFmt w:val="bullet"/>
      <w:lvlText w:val="•"/>
      <w:lvlJc w:val="left"/>
      <w:pPr>
        <w:ind w:left="7120" w:hanging="242"/>
      </w:pPr>
      <w:rPr>
        <w:rFonts w:hint="default"/>
        <w:lang w:val="zh-CN" w:eastAsia="zh-CN" w:bidi="zh-CN"/>
      </w:rPr>
    </w:lvl>
    <w:lvl w:ilvl="8" w:tentative="0">
      <w:start w:val="0"/>
      <w:numFmt w:val="bullet"/>
      <w:lvlText w:val="•"/>
      <w:lvlJc w:val="left"/>
      <w:pPr>
        <w:ind w:left="7928" w:hanging="242"/>
      </w:pPr>
      <w:rPr>
        <w:rFonts w:hint="default"/>
        <w:lang w:val="zh-CN" w:eastAsia="zh-CN" w:bidi="zh-CN"/>
      </w:rPr>
    </w:lvl>
  </w:abstractNum>
  <w:abstractNum w:abstractNumId="8">
    <w:nsid w:val="39A0D9AC"/>
    <w:multiLevelType w:val="multilevel"/>
    <w:tmpl w:val="39A0D9AC"/>
    <w:lvl w:ilvl="0" w:tentative="0">
      <w:start w:val="1"/>
      <w:numFmt w:val="decimal"/>
      <w:lvlText w:val="%1."/>
      <w:lvlJc w:val="left"/>
      <w:pPr>
        <w:ind w:left="380" w:hanging="242"/>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1296" w:hanging="242"/>
      </w:pPr>
      <w:rPr>
        <w:rFonts w:hint="default"/>
        <w:lang w:val="zh-CN" w:eastAsia="zh-CN" w:bidi="zh-CN"/>
      </w:rPr>
    </w:lvl>
    <w:lvl w:ilvl="2" w:tentative="0">
      <w:start w:val="0"/>
      <w:numFmt w:val="bullet"/>
      <w:lvlText w:val="•"/>
      <w:lvlJc w:val="left"/>
      <w:pPr>
        <w:ind w:left="2213" w:hanging="242"/>
      </w:pPr>
      <w:rPr>
        <w:rFonts w:hint="default"/>
        <w:lang w:val="zh-CN" w:eastAsia="zh-CN" w:bidi="zh-CN"/>
      </w:rPr>
    </w:lvl>
    <w:lvl w:ilvl="3" w:tentative="0">
      <w:start w:val="0"/>
      <w:numFmt w:val="bullet"/>
      <w:lvlText w:val="•"/>
      <w:lvlJc w:val="left"/>
      <w:pPr>
        <w:ind w:left="3129" w:hanging="242"/>
      </w:pPr>
      <w:rPr>
        <w:rFonts w:hint="default"/>
        <w:lang w:val="zh-CN" w:eastAsia="zh-CN" w:bidi="zh-CN"/>
      </w:rPr>
    </w:lvl>
    <w:lvl w:ilvl="4" w:tentative="0">
      <w:start w:val="0"/>
      <w:numFmt w:val="bullet"/>
      <w:lvlText w:val="•"/>
      <w:lvlJc w:val="left"/>
      <w:pPr>
        <w:ind w:left="4046" w:hanging="242"/>
      </w:pPr>
      <w:rPr>
        <w:rFonts w:hint="default"/>
        <w:lang w:val="zh-CN" w:eastAsia="zh-CN" w:bidi="zh-CN"/>
      </w:rPr>
    </w:lvl>
    <w:lvl w:ilvl="5" w:tentative="0">
      <w:start w:val="0"/>
      <w:numFmt w:val="bullet"/>
      <w:lvlText w:val="•"/>
      <w:lvlJc w:val="left"/>
      <w:pPr>
        <w:ind w:left="4963" w:hanging="242"/>
      </w:pPr>
      <w:rPr>
        <w:rFonts w:hint="default"/>
        <w:lang w:val="zh-CN" w:eastAsia="zh-CN" w:bidi="zh-CN"/>
      </w:rPr>
    </w:lvl>
    <w:lvl w:ilvl="6" w:tentative="0">
      <w:start w:val="0"/>
      <w:numFmt w:val="bullet"/>
      <w:lvlText w:val="•"/>
      <w:lvlJc w:val="left"/>
      <w:pPr>
        <w:ind w:left="5879" w:hanging="242"/>
      </w:pPr>
      <w:rPr>
        <w:rFonts w:hint="default"/>
        <w:lang w:val="zh-CN" w:eastAsia="zh-CN" w:bidi="zh-CN"/>
      </w:rPr>
    </w:lvl>
    <w:lvl w:ilvl="7" w:tentative="0">
      <w:start w:val="0"/>
      <w:numFmt w:val="bullet"/>
      <w:lvlText w:val="•"/>
      <w:lvlJc w:val="left"/>
      <w:pPr>
        <w:ind w:left="6796" w:hanging="242"/>
      </w:pPr>
      <w:rPr>
        <w:rFonts w:hint="default"/>
        <w:lang w:val="zh-CN" w:eastAsia="zh-CN" w:bidi="zh-CN"/>
      </w:rPr>
    </w:lvl>
    <w:lvl w:ilvl="8" w:tentative="0">
      <w:start w:val="0"/>
      <w:numFmt w:val="bullet"/>
      <w:lvlText w:val="•"/>
      <w:lvlJc w:val="left"/>
      <w:pPr>
        <w:ind w:left="7712" w:hanging="242"/>
      </w:pPr>
      <w:rPr>
        <w:rFonts w:hint="default"/>
        <w:lang w:val="zh-CN" w:eastAsia="zh-CN" w:bidi="zh-CN"/>
      </w:rPr>
    </w:lvl>
  </w:abstractNum>
  <w:abstractNum w:abstractNumId="9">
    <w:nsid w:val="46A08BB8"/>
    <w:multiLevelType w:val="multilevel"/>
    <w:tmpl w:val="46A08BB8"/>
    <w:lvl w:ilvl="0" w:tentative="0">
      <w:start w:val="1"/>
      <w:numFmt w:val="decimal"/>
      <w:lvlText w:val="%1."/>
      <w:lvlJc w:val="left"/>
      <w:pPr>
        <w:ind w:left="380" w:hanging="242"/>
        <w:jc w:val="left"/>
      </w:pPr>
      <w:rPr>
        <w:rFonts w:hint="default" w:ascii="Times New Roman" w:hAnsi="Times New Roman" w:eastAsia="Times New Roman" w:cs="Times New Roman"/>
        <w:b/>
        <w:bCs/>
        <w:spacing w:val="-1"/>
        <w:w w:val="99"/>
        <w:sz w:val="30"/>
        <w:szCs w:val="30"/>
        <w:lang w:val="zh-CN" w:eastAsia="zh-CN" w:bidi="zh-CN"/>
      </w:rPr>
    </w:lvl>
    <w:lvl w:ilvl="1" w:tentative="0">
      <w:start w:val="0"/>
      <w:numFmt w:val="bullet"/>
      <w:lvlText w:val="•"/>
      <w:lvlJc w:val="left"/>
      <w:pPr>
        <w:ind w:left="1296" w:hanging="242"/>
      </w:pPr>
      <w:rPr>
        <w:rFonts w:hint="default"/>
        <w:lang w:val="zh-CN" w:eastAsia="zh-CN" w:bidi="zh-CN"/>
      </w:rPr>
    </w:lvl>
    <w:lvl w:ilvl="2" w:tentative="0">
      <w:start w:val="0"/>
      <w:numFmt w:val="bullet"/>
      <w:lvlText w:val="•"/>
      <w:lvlJc w:val="left"/>
      <w:pPr>
        <w:ind w:left="2213" w:hanging="242"/>
      </w:pPr>
      <w:rPr>
        <w:rFonts w:hint="default"/>
        <w:lang w:val="zh-CN" w:eastAsia="zh-CN" w:bidi="zh-CN"/>
      </w:rPr>
    </w:lvl>
    <w:lvl w:ilvl="3" w:tentative="0">
      <w:start w:val="0"/>
      <w:numFmt w:val="bullet"/>
      <w:lvlText w:val="•"/>
      <w:lvlJc w:val="left"/>
      <w:pPr>
        <w:ind w:left="3129" w:hanging="242"/>
      </w:pPr>
      <w:rPr>
        <w:rFonts w:hint="default"/>
        <w:lang w:val="zh-CN" w:eastAsia="zh-CN" w:bidi="zh-CN"/>
      </w:rPr>
    </w:lvl>
    <w:lvl w:ilvl="4" w:tentative="0">
      <w:start w:val="0"/>
      <w:numFmt w:val="bullet"/>
      <w:lvlText w:val="•"/>
      <w:lvlJc w:val="left"/>
      <w:pPr>
        <w:ind w:left="4046" w:hanging="242"/>
      </w:pPr>
      <w:rPr>
        <w:rFonts w:hint="default"/>
        <w:lang w:val="zh-CN" w:eastAsia="zh-CN" w:bidi="zh-CN"/>
      </w:rPr>
    </w:lvl>
    <w:lvl w:ilvl="5" w:tentative="0">
      <w:start w:val="0"/>
      <w:numFmt w:val="bullet"/>
      <w:lvlText w:val="•"/>
      <w:lvlJc w:val="left"/>
      <w:pPr>
        <w:ind w:left="4963" w:hanging="242"/>
      </w:pPr>
      <w:rPr>
        <w:rFonts w:hint="default"/>
        <w:lang w:val="zh-CN" w:eastAsia="zh-CN" w:bidi="zh-CN"/>
      </w:rPr>
    </w:lvl>
    <w:lvl w:ilvl="6" w:tentative="0">
      <w:start w:val="0"/>
      <w:numFmt w:val="bullet"/>
      <w:lvlText w:val="•"/>
      <w:lvlJc w:val="left"/>
      <w:pPr>
        <w:ind w:left="5879" w:hanging="242"/>
      </w:pPr>
      <w:rPr>
        <w:rFonts w:hint="default"/>
        <w:lang w:val="zh-CN" w:eastAsia="zh-CN" w:bidi="zh-CN"/>
      </w:rPr>
    </w:lvl>
    <w:lvl w:ilvl="7" w:tentative="0">
      <w:start w:val="0"/>
      <w:numFmt w:val="bullet"/>
      <w:lvlText w:val="•"/>
      <w:lvlJc w:val="left"/>
      <w:pPr>
        <w:ind w:left="6796" w:hanging="242"/>
      </w:pPr>
      <w:rPr>
        <w:rFonts w:hint="default"/>
        <w:lang w:val="zh-CN" w:eastAsia="zh-CN" w:bidi="zh-CN"/>
      </w:rPr>
    </w:lvl>
    <w:lvl w:ilvl="8" w:tentative="0">
      <w:start w:val="0"/>
      <w:numFmt w:val="bullet"/>
      <w:lvlText w:val="•"/>
      <w:lvlJc w:val="left"/>
      <w:pPr>
        <w:ind w:left="7712" w:hanging="242"/>
      </w:pPr>
      <w:rPr>
        <w:rFonts w:hint="default"/>
        <w:lang w:val="zh-CN" w:eastAsia="zh-CN" w:bidi="zh-CN"/>
      </w:rPr>
    </w:lvl>
  </w:abstractNum>
  <w:abstractNum w:abstractNumId="10">
    <w:nsid w:val="4C1BAE26"/>
    <w:multiLevelType w:val="multilevel"/>
    <w:tmpl w:val="4C1BAE26"/>
    <w:lvl w:ilvl="0" w:tentative="0">
      <w:start w:val="1"/>
      <w:numFmt w:val="decimal"/>
      <w:lvlText w:val="%1."/>
      <w:lvlJc w:val="left"/>
      <w:pPr>
        <w:ind w:left="1461" w:hanging="242"/>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2268" w:hanging="242"/>
      </w:pPr>
      <w:rPr>
        <w:rFonts w:hint="default"/>
        <w:lang w:val="zh-CN" w:eastAsia="zh-CN" w:bidi="zh-CN"/>
      </w:rPr>
    </w:lvl>
    <w:lvl w:ilvl="2" w:tentative="0">
      <w:start w:val="0"/>
      <w:numFmt w:val="bullet"/>
      <w:lvlText w:val="•"/>
      <w:lvlJc w:val="left"/>
      <w:pPr>
        <w:ind w:left="3077" w:hanging="242"/>
      </w:pPr>
      <w:rPr>
        <w:rFonts w:hint="default"/>
        <w:lang w:val="zh-CN" w:eastAsia="zh-CN" w:bidi="zh-CN"/>
      </w:rPr>
    </w:lvl>
    <w:lvl w:ilvl="3" w:tentative="0">
      <w:start w:val="0"/>
      <w:numFmt w:val="bullet"/>
      <w:lvlText w:val="•"/>
      <w:lvlJc w:val="left"/>
      <w:pPr>
        <w:ind w:left="3885" w:hanging="242"/>
      </w:pPr>
      <w:rPr>
        <w:rFonts w:hint="default"/>
        <w:lang w:val="zh-CN" w:eastAsia="zh-CN" w:bidi="zh-CN"/>
      </w:rPr>
    </w:lvl>
    <w:lvl w:ilvl="4" w:tentative="0">
      <w:start w:val="0"/>
      <w:numFmt w:val="bullet"/>
      <w:lvlText w:val="•"/>
      <w:lvlJc w:val="left"/>
      <w:pPr>
        <w:ind w:left="4694" w:hanging="242"/>
      </w:pPr>
      <w:rPr>
        <w:rFonts w:hint="default"/>
        <w:lang w:val="zh-CN" w:eastAsia="zh-CN" w:bidi="zh-CN"/>
      </w:rPr>
    </w:lvl>
    <w:lvl w:ilvl="5" w:tentative="0">
      <w:start w:val="0"/>
      <w:numFmt w:val="bullet"/>
      <w:lvlText w:val="•"/>
      <w:lvlJc w:val="left"/>
      <w:pPr>
        <w:ind w:left="5503" w:hanging="242"/>
      </w:pPr>
      <w:rPr>
        <w:rFonts w:hint="default"/>
        <w:lang w:val="zh-CN" w:eastAsia="zh-CN" w:bidi="zh-CN"/>
      </w:rPr>
    </w:lvl>
    <w:lvl w:ilvl="6" w:tentative="0">
      <w:start w:val="0"/>
      <w:numFmt w:val="bullet"/>
      <w:lvlText w:val="•"/>
      <w:lvlJc w:val="left"/>
      <w:pPr>
        <w:ind w:left="6311" w:hanging="242"/>
      </w:pPr>
      <w:rPr>
        <w:rFonts w:hint="default"/>
        <w:lang w:val="zh-CN" w:eastAsia="zh-CN" w:bidi="zh-CN"/>
      </w:rPr>
    </w:lvl>
    <w:lvl w:ilvl="7" w:tentative="0">
      <w:start w:val="0"/>
      <w:numFmt w:val="bullet"/>
      <w:lvlText w:val="•"/>
      <w:lvlJc w:val="left"/>
      <w:pPr>
        <w:ind w:left="7120" w:hanging="242"/>
      </w:pPr>
      <w:rPr>
        <w:rFonts w:hint="default"/>
        <w:lang w:val="zh-CN" w:eastAsia="zh-CN" w:bidi="zh-CN"/>
      </w:rPr>
    </w:lvl>
    <w:lvl w:ilvl="8" w:tentative="0">
      <w:start w:val="0"/>
      <w:numFmt w:val="bullet"/>
      <w:lvlText w:val="•"/>
      <w:lvlJc w:val="left"/>
      <w:pPr>
        <w:ind w:left="7928" w:hanging="242"/>
      </w:pPr>
      <w:rPr>
        <w:rFonts w:hint="default"/>
        <w:lang w:val="zh-CN" w:eastAsia="zh-CN" w:bidi="zh-CN"/>
      </w:rPr>
    </w:lvl>
  </w:abstractNum>
  <w:abstractNum w:abstractNumId="11">
    <w:nsid w:val="60382F6E"/>
    <w:multiLevelType w:val="multilevel"/>
    <w:tmpl w:val="60382F6E"/>
    <w:lvl w:ilvl="0" w:tentative="0">
      <w:start w:val="1"/>
      <w:numFmt w:val="decimal"/>
      <w:lvlText w:val="%1."/>
      <w:lvlJc w:val="left"/>
      <w:pPr>
        <w:ind w:left="1262" w:hanging="242"/>
        <w:jc w:val="left"/>
      </w:pPr>
      <w:rPr>
        <w:rFonts w:hint="default"/>
        <w:spacing w:val="-1"/>
        <w:w w:val="99"/>
        <w:lang w:val="zh-CN" w:eastAsia="zh-CN" w:bidi="zh-CN"/>
      </w:rPr>
    </w:lvl>
    <w:lvl w:ilvl="1" w:tentative="0">
      <w:start w:val="0"/>
      <w:numFmt w:val="bullet"/>
      <w:lvlText w:val="•"/>
      <w:lvlJc w:val="left"/>
      <w:pPr>
        <w:ind w:left="2088" w:hanging="242"/>
      </w:pPr>
      <w:rPr>
        <w:rFonts w:hint="default"/>
        <w:lang w:val="zh-CN" w:eastAsia="zh-CN" w:bidi="zh-CN"/>
      </w:rPr>
    </w:lvl>
    <w:lvl w:ilvl="2" w:tentative="0">
      <w:start w:val="0"/>
      <w:numFmt w:val="bullet"/>
      <w:lvlText w:val="•"/>
      <w:lvlJc w:val="left"/>
      <w:pPr>
        <w:ind w:left="2917" w:hanging="242"/>
      </w:pPr>
      <w:rPr>
        <w:rFonts w:hint="default"/>
        <w:lang w:val="zh-CN" w:eastAsia="zh-CN" w:bidi="zh-CN"/>
      </w:rPr>
    </w:lvl>
    <w:lvl w:ilvl="3" w:tentative="0">
      <w:start w:val="0"/>
      <w:numFmt w:val="bullet"/>
      <w:lvlText w:val="•"/>
      <w:lvlJc w:val="left"/>
      <w:pPr>
        <w:ind w:left="3745" w:hanging="242"/>
      </w:pPr>
      <w:rPr>
        <w:rFonts w:hint="default"/>
        <w:lang w:val="zh-CN" w:eastAsia="zh-CN" w:bidi="zh-CN"/>
      </w:rPr>
    </w:lvl>
    <w:lvl w:ilvl="4" w:tentative="0">
      <w:start w:val="0"/>
      <w:numFmt w:val="bullet"/>
      <w:lvlText w:val="•"/>
      <w:lvlJc w:val="left"/>
      <w:pPr>
        <w:ind w:left="4574" w:hanging="242"/>
      </w:pPr>
      <w:rPr>
        <w:rFonts w:hint="default"/>
        <w:lang w:val="zh-CN" w:eastAsia="zh-CN" w:bidi="zh-CN"/>
      </w:rPr>
    </w:lvl>
    <w:lvl w:ilvl="5" w:tentative="0">
      <w:start w:val="0"/>
      <w:numFmt w:val="bullet"/>
      <w:lvlText w:val="•"/>
      <w:lvlJc w:val="left"/>
      <w:pPr>
        <w:ind w:left="5403" w:hanging="242"/>
      </w:pPr>
      <w:rPr>
        <w:rFonts w:hint="default"/>
        <w:lang w:val="zh-CN" w:eastAsia="zh-CN" w:bidi="zh-CN"/>
      </w:rPr>
    </w:lvl>
    <w:lvl w:ilvl="6" w:tentative="0">
      <w:start w:val="0"/>
      <w:numFmt w:val="bullet"/>
      <w:lvlText w:val="•"/>
      <w:lvlJc w:val="left"/>
      <w:pPr>
        <w:ind w:left="6231" w:hanging="242"/>
      </w:pPr>
      <w:rPr>
        <w:rFonts w:hint="default"/>
        <w:lang w:val="zh-CN" w:eastAsia="zh-CN" w:bidi="zh-CN"/>
      </w:rPr>
    </w:lvl>
    <w:lvl w:ilvl="7" w:tentative="0">
      <w:start w:val="0"/>
      <w:numFmt w:val="bullet"/>
      <w:lvlText w:val="•"/>
      <w:lvlJc w:val="left"/>
      <w:pPr>
        <w:ind w:left="7060" w:hanging="242"/>
      </w:pPr>
      <w:rPr>
        <w:rFonts w:hint="default"/>
        <w:lang w:val="zh-CN" w:eastAsia="zh-CN" w:bidi="zh-CN"/>
      </w:rPr>
    </w:lvl>
    <w:lvl w:ilvl="8" w:tentative="0">
      <w:start w:val="0"/>
      <w:numFmt w:val="bullet"/>
      <w:lvlText w:val="•"/>
      <w:lvlJc w:val="left"/>
      <w:pPr>
        <w:ind w:left="7888" w:hanging="242"/>
      </w:pPr>
      <w:rPr>
        <w:rFonts w:hint="default"/>
        <w:lang w:val="zh-CN" w:eastAsia="zh-CN" w:bidi="zh-CN"/>
      </w:rPr>
    </w:lvl>
  </w:abstractNum>
  <w:abstractNum w:abstractNumId="12">
    <w:nsid w:val="629F7852"/>
    <w:multiLevelType w:val="multilevel"/>
    <w:tmpl w:val="629F7852"/>
    <w:lvl w:ilvl="0" w:tentative="0">
      <w:start w:val="2"/>
      <w:numFmt w:val="decimal"/>
      <w:lvlText w:val="%1."/>
      <w:lvlJc w:val="left"/>
      <w:pPr>
        <w:ind w:left="224" w:hanging="242"/>
        <w:jc w:val="left"/>
      </w:pPr>
      <w:rPr>
        <w:rFonts w:hint="default" w:ascii="Times New Roman" w:hAnsi="Times New Roman" w:eastAsia="Times New Roman" w:cs="Times New Roman"/>
        <w:spacing w:val="-1"/>
        <w:w w:val="99"/>
        <w:sz w:val="30"/>
        <w:szCs w:val="30"/>
        <w:lang w:val="zh-CN" w:eastAsia="zh-CN" w:bidi="zh-CN"/>
      </w:rPr>
    </w:lvl>
    <w:lvl w:ilvl="1" w:tentative="0">
      <w:start w:val="1"/>
      <w:numFmt w:val="decimal"/>
      <w:lvlText w:val="%2."/>
      <w:lvlJc w:val="left"/>
      <w:pPr>
        <w:ind w:left="380" w:hanging="243"/>
        <w:jc w:val="left"/>
      </w:pPr>
      <w:rPr>
        <w:rFonts w:hint="default" w:ascii="Times New Roman" w:hAnsi="Times New Roman" w:eastAsia="Times New Roman" w:cs="Times New Roman"/>
        <w:b/>
        <w:bCs/>
        <w:spacing w:val="1"/>
        <w:w w:val="99"/>
        <w:sz w:val="30"/>
        <w:szCs w:val="30"/>
        <w:lang w:val="zh-CN" w:eastAsia="zh-CN" w:bidi="zh-CN"/>
      </w:rPr>
    </w:lvl>
    <w:lvl w:ilvl="2" w:tentative="0">
      <w:start w:val="0"/>
      <w:numFmt w:val="bullet"/>
      <w:lvlText w:val="•"/>
      <w:lvlJc w:val="left"/>
      <w:pPr>
        <w:ind w:left="1398" w:hanging="243"/>
      </w:pPr>
      <w:rPr>
        <w:rFonts w:hint="default"/>
        <w:lang w:val="zh-CN" w:eastAsia="zh-CN" w:bidi="zh-CN"/>
      </w:rPr>
    </w:lvl>
    <w:lvl w:ilvl="3" w:tentative="0">
      <w:start w:val="0"/>
      <w:numFmt w:val="bullet"/>
      <w:lvlText w:val="•"/>
      <w:lvlJc w:val="left"/>
      <w:pPr>
        <w:ind w:left="2416" w:hanging="243"/>
      </w:pPr>
      <w:rPr>
        <w:rFonts w:hint="default"/>
        <w:lang w:val="zh-CN" w:eastAsia="zh-CN" w:bidi="zh-CN"/>
      </w:rPr>
    </w:lvl>
    <w:lvl w:ilvl="4" w:tentative="0">
      <w:start w:val="0"/>
      <w:numFmt w:val="bullet"/>
      <w:lvlText w:val="•"/>
      <w:lvlJc w:val="left"/>
      <w:pPr>
        <w:ind w:left="3435" w:hanging="243"/>
      </w:pPr>
      <w:rPr>
        <w:rFonts w:hint="default"/>
        <w:lang w:val="zh-CN" w:eastAsia="zh-CN" w:bidi="zh-CN"/>
      </w:rPr>
    </w:lvl>
    <w:lvl w:ilvl="5" w:tentative="0">
      <w:start w:val="0"/>
      <w:numFmt w:val="bullet"/>
      <w:lvlText w:val="•"/>
      <w:lvlJc w:val="left"/>
      <w:pPr>
        <w:ind w:left="4453" w:hanging="243"/>
      </w:pPr>
      <w:rPr>
        <w:rFonts w:hint="default"/>
        <w:lang w:val="zh-CN" w:eastAsia="zh-CN" w:bidi="zh-CN"/>
      </w:rPr>
    </w:lvl>
    <w:lvl w:ilvl="6" w:tentative="0">
      <w:start w:val="0"/>
      <w:numFmt w:val="bullet"/>
      <w:lvlText w:val="•"/>
      <w:lvlJc w:val="left"/>
      <w:pPr>
        <w:ind w:left="5472" w:hanging="243"/>
      </w:pPr>
      <w:rPr>
        <w:rFonts w:hint="default"/>
        <w:lang w:val="zh-CN" w:eastAsia="zh-CN" w:bidi="zh-CN"/>
      </w:rPr>
    </w:lvl>
    <w:lvl w:ilvl="7" w:tentative="0">
      <w:start w:val="0"/>
      <w:numFmt w:val="bullet"/>
      <w:lvlText w:val="•"/>
      <w:lvlJc w:val="left"/>
      <w:pPr>
        <w:ind w:left="6490" w:hanging="243"/>
      </w:pPr>
      <w:rPr>
        <w:rFonts w:hint="default"/>
        <w:lang w:val="zh-CN" w:eastAsia="zh-CN" w:bidi="zh-CN"/>
      </w:rPr>
    </w:lvl>
    <w:lvl w:ilvl="8" w:tentative="0">
      <w:start w:val="0"/>
      <w:numFmt w:val="bullet"/>
      <w:lvlText w:val="•"/>
      <w:lvlJc w:val="left"/>
      <w:pPr>
        <w:ind w:left="7509" w:hanging="243"/>
      </w:pPr>
      <w:rPr>
        <w:rFonts w:hint="default"/>
        <w:lang w:val="zh-CN" w:eastAsia="zh-CN" w:bidi="zh-CN"/>
      </w:rPr>
    </w:lvl>
  </w:abstractNum>
  <w:abstractNum w:abstractNumId="13">
    <w:nsid w:val="77ECEA79"/>
    <w:multiLevelType w:val="multilevel"/>
    <w:tmpl w:val="77ECEA79"/>
    <w:lvl w:ilvl="0" w:tentative="0">
      <w:start w:val="1"/>
      <w:numFmt w:val="decimal"/>
      <w:lvlText w:val="%1."/>
      <w:lvlJc w:val="left"/>
      <w:pPr>
        <w:ind w:left="380" w:hanging="242"/>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1296" w:hanging="242"/>
      </w:pPr>
      <w:rPr>
        <w:rFonts w:hint="default"/>
        <w:lang w:val="zh-CN" w:eastAsia="zh-CN" w:bidi="zh-CN"/>
      </w:rPr>
    </w:lvl>
    <w:lvl w:ilvl="2" w:tentative="0">
      <w:start w:val="0"/>
      <w:numFmt w:val="bullet"/>
      <w:lvlText w:val="•"/>
      <w:lvlJc w:val="left"/>
      <w:pPr>
        <w:ind w:left="2213" w:hanging="242"/>
      </w:pPr>
      <w:rPr>
        <w:rFonts w:hint="default"/>
        <w:lang w:val="zh-CN" w:eastAsia="zh-CN" w:bidi="zh-CN"/>
      </w:rPr>
    </w:lvl>
    <w:lvl w:ilvl="3" w:tentative="0">
      <w:start w:val="0"/>
      <w:numFmt w:val="bullet"/>
      <w:lvlText w:val="•"/>
      <w:lvlJc w:val="left"/>
      <w:pPr>
        <w:ind w:left="3129" w:hanging="242"/>
      </w:pPr>
      <w:rPr>
        <w:rFonts w:hint="default"/>
        <w:lang w:val="zh-CN" w:eastAsia="zh-CN" w:bidi="zh-CN"/>
      </w:rPr>
    </w:lvl>
    <w:lvl w:ilvl="4" w:tentative="0">
      <w:start w:val="0"/>
      <w:numFmt w:val="bullet"/>
      <w:lvlText w:val="•"/>
      <w:lvlJc w:val="left"/>
      <w:pPr>
        <w:ind w:left="4046" w:hanging="242"/>
      </w:pPr>
      <w:rPr>
        <w:rFonts w:hint="default"/>
        <w:lang w:val="zh-CN" w:eastAsia="zh-CN" w:bidi="zh-CN"/>
      </w:rPr>
    </w:lvl>
    <w:lvl w:ilvl="5" w:tentative="0">
      <w:start w:val="0"/>
      <w:numFmt w:val="bullet"/>
      <w:lvlText w:val="•"/>
      <w:lvlJc w:val="left"/>
      <w:pPr>
        <w:ind w:left="4963" w:hanging="242"/>
      </w:pPr>
      <w:rPr>
        <w:rFonts w:hint="default"/>
        <w:lang w:val="zh-CN" w:eastAsia="zh-CN" w:bidi="zh-CN"/>
      </w:rPr>
    </w:lvl>
    <w:lvl w:ilvl="6" w:tentative="0">
      <w:start w:val="0"/>
      <w:numFmt w:val="bullet"/>
      <w:lvlText w:val="•"/>
      <w:lvlJc w:val="left"/>
      <w:pPr>
        <w:ind w:left="5879" w:hanging="242"/>
      </w:pPr>
      <w:rPr>
        <w:rFonts w:hint="default"/>
        <w:lang w:val="zh-CN" w:eastAsia="zh-CN" w:bidi="zh-CN"/>
      </w:rPr>
    </w:lvl>
    <w:lvl w:ilvl="7" w:tentative="0">
      <w:start w:val="0"/>
      <w:numFmt w:val="bullet"/>
      <w:lvlText w:val="•"/>
      <w:lvlJc w:val="left"/>
      <w:pPr>
        <w:ind w:left="6796" w:hanging="242"/>
      </w:pPr>
      <w:rPr>
        <w:rFonts w:hint="default"/>
        <w:lang w:val="zh-CN" w:eastAsia="zh-CN" w:bidi="zh-CN"/>
      </w:rPr>
    </w:lvl>
    <w:lvl w:ilvl="8" w:tentative="0">
      <w:start w:val="0"/>
      <w:numFmt w:val="bullet"/>
      <w:lvlText w:val="•"/>
      <w:lvlJc w:val="left"/>
      <w:pPr>
        <w:ind w:left="7712" w:hanging="242"/>
      </w:pPr>
      <w:rPr>
        <w:rFonts w:hint="default"/>
        <w:lang w:val="zh-CN" w:eastAsia="zh-CN" w:bidi="zh-CN"/>
      </w:rPr>
    </w:lvl>
  </w:abstractNum>
  <w:abstractNum w:abstractNumId="14">
    <w:nsid w:val="7C246926"/>
    <w:multiLevelType w:val="multilevel"/>
    <w:tmpl w:val="7C246926"/>
    <w:lvl w:ilvl="0" w:tentative="0">
      <w:start w:val="1"/>
      <w:numFmt w:val="decimal"/>
      <w:lvlText w:val="%1."/>
      <w:lvlJc w:val="left"/>
      <w:pPr>
        <w:ind w:left="380" w:hanging="242"/>
        <w:jc w:val="left"/>
      </w:pPr>
      <w:rPr>
        <w:rFonts w:hint="default" w:ascii="Times New Roman" w:hAnsi="Times New Roman" w:eastAsia="Times New Roman" w:cs="Times New Roman"/>
        <w:b/>
        <w:bCs/>
        <w:spacing w:val="-1"/>
        <w:w w:val="99"/>
        <w:sz w:val="30"/>
        <w:szCs w:val="30"/>
        <w:lang w:val="zh-CN" w:eastAsia="zh-CN" w:bidi="zh-CN"/>
      </w:rPr>
    </w:lvl>
    <w:lvl w:ilvl="1" w:tentative="0">
      <w:start w:val="0"/>
      <w:numFmt w:val="bullet"/>
      <w:lvlText w:val="•"/>
      <w:lvlJc w:val="left"/>
      <w:pPr>
        <w:ind w:left="1296" w:hanging="242"/>
      </w:pPr>
      <w:rPr>
        <w:rFonts w:hint="default"/>
        <w:lang w:val="zh-CN" w:eastAsia="zh-CN" w:bidi="zh-CN"/>
      </w:rPr>
    </w:lvl>
    <w:lvl w:ilvl="2" w:tentative="0">
      <w:start w:val="0"/>
      <w:numFmt w:val="bullet"/>
      <w:lvlText w:val="•"/>
      <w:lvlJc w:val="left"/>
      <w:pPr>
        <w:ind w:left="2213" w:hanging="242"/>
      </w:pPr>
      <w:rPr>
        <w:rFonts w:hint="default"/>
        <w:lang w:val="zh-CN" w:eastAsia="zh-CN" w:bidi="zh-CN"/>
      </w:rPr>
    </w:lvl>
    <w:lvl w:ilvl="3" w:tentative="0">
      <w:start w:val="0"/>
      <w:numFmt w:val="bullet"/>
      <w:lvlText w:val="•"/>
      <w:lvlJc w:val="left"/>
      <w:pPr>
        <w:ind w:left="3129" w:hanging="242"/>
      </w:pPr>
      <w:rPr>
        <w:rFonts w:hint="default"/>
        <w:lang w:val="zh-CN" w:eastAsia="zh-CN" w:bidi="zh-CN"/>
      </w:rPr>
    </w:lvl>
    <w:lvl w:ilvl="4" w:tentative="0">
      <w:start w:val="0"/>
      <w:numFmt w:val="bullet"/>
      <w:lvlText w:val="•"/>
      <w:lvlJc w:val="left"/>
      <w:pPr>
        <w:ind w:left="4046" w:hanging="242"/>
      </w:pPr>
      <w:rPr>
        <w:rFonts w:hint="default"/>
        <w:lang w:val="zh-CN" w:eastAsia="zh-CN" w:bidi="zh-CN"/>
      </w:rPr>
    </w:lvl>
    <w:lvl w:ilvl="5" w:tentative="0">
      <w:start w:val="0"/>
      <w:numFmt w:val="bullet"/>
      <w:lvlText w:val="•"/>
      <w:lvlJc w:val="left"/>
      <w:pPr>
        <w:ind w:left="4963" w:hanging="242"/>
      </w:pPr>
      <w:rPr>
        <w:rFonts w:hint="default"/>
        <w:lang w:val="zh-CN" w:eastAsia="zh-CN" w:bidi="zh-CN"/>
      </w:rPr>
    </w:lvl>
    <w:lvl w:ilvl="6" w:tentative="0">
      <w:start w:val="0"/>
      <w:numFmt w:val="bullet"/>
      <w:lvlText w:val="•"/>
      <w:lvlJc w:val="left"/>
      <w:pPr>
        <w:ind w:left="5879" w:hanging="242"/>
      </w:pPr>
      <w:rPr>
        <w:rFonts w:hint="default"/>
        <w:lang w:val="zh-CN" w:eastAsia="zh-CN" w:bidi="zh-CN"/>
      </w:rPr>
    </w:lvl>
    <w:lvl w:ilvl="7" w:tentative="0">
      <w:start w:val="0"/>
      <w:numFmt w:val="bullet"/>
      <w:lvlText w:val="•"/>
      <w:lvlJc w:val="left"/>
      <w:pPr>
        <w:ind w:left="6796" w:hanging="242"/>
      </w:pPr>
      <w:rPr>
        <w:rFonts w:hint="default"/>
        <w:lang w:val="zh-CN" w:eastAsia="zh-CN" w:bidi="zh-CN"/>
      </w:rPr>
    </w:lvl>
    <w:lvl w:ilvl="8" w:tentative="0">
      <w:start w:val="0"/>
      <w:numFmt w:val="bullet"/>
      <w:lvlText w:val="•"/>
      <w:lvlJc w:val="left"/>
      <w:pPr>
        <w:ind w:left="7712" w:hanging="242"/>
      </w:pPr>
      <w:rPr>
        <w:rFonts w:hint="default"/>
        <w:lang w:val="zh-CN" w:eastAsia="zh-CN" w:bidi="zh-CN"/>
      </w:rPr>
    </w:lvl>
  </w:abstractNum>
  <w:num w:numId="1">
    <w:abstractNumId w:val="7"/>
  </w:num>
  <w:num w:numId="2">
    <w:abstractNumId w:val="5"/>
  </w:num>
  <w:num w:numId="3">
    <w:abstractNumId w:val="4"/>
  </w:num>
  <w:num w:numId="4">
    <w:abstractNumId w:val="1"/>
  </w:num>
  <w:num w:numId="5">
    <w:abstractNumId w:val="10"/>
  </w:num>
  <w:num w:numId="6">
    <w:abstractNumId w:val="11"/>
  </w:num>
  <w:num w:numId="7">
    <w:abstractNumId w:val="6"/>
  </w:num>
  <w:num w:numId="8">
    <w:abstractNumId w:val="9"/>
  </w:num>
  <w:num w:numId="9">
    <w:abstractNumId w:val="2"/>
  </w:num>
  <w:num w:numId="10">
    <w:abstractNumId w:val="14"/>
  </w:num>
  <w:num w:numId="11">
    <w:abstractNumId w:val="13"/>
  </w:num>
  <w:num w:numId="12">
    <w:abstractNumId w:val="3"/>
  </w:num>
  <w:num w:numId="13">
    <w:abstractNumId w:val="12"/>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008024AD"/>
    <w:rsid w:val="2BDA74AE"/>
    <w:rsid w:val="5701563F"/>
    <w:rsid w:val="766F65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仿宋_GBK" w:hAnsi="方正仿宋_GBK" w:eastAsia="方正仿宋_GBK" w:cs="方正仿宋_GBK"/>
      <w:sz w:val="22"/>
      <w:szCs w:val="22"/>
      <w:lang w:val="zh-CN" w:eastAsia="zh-CN" w:bidi="zh-CN"/>
    </w:rPr>
  </w:style>
  <w:style w:type="paragraph" w:styleId="2">
    <w:name w:val="heading 1"/>
    <w:basedOn w:val="1"/>
    <w:next w:val="1"/>
    <w:qFormat/>
    <w:uiPriority w:val="1"/>
    <w:pPr>
      <w:spacing w:line="670" w:lineRule="exact"/>
      <w:ind w:left="175" w:right="652"/>
      <w:jc w:val="center"/>
      <w:outlineLvl w:val="1"/>
    </w:pPr>
    <w:rPr>
      <w:rFonts w:ascii="方正小标宋_GBK" w:hAnsi="方正小标宋_GBK" w:eastAsia="方正小标宋_GBK" w:cs="方正小标宋_GBK"/>
      <w:sz w:val="44"/>
      <w:szCs w:val="44"/>
      <w:lang w:val="zh-CN" w:eastAsia="zh-CN" w:bidi="zh-CN"/>
    </w:rPr>
  </w:style>
  <w:style w:type="character" w:default="1" w:styleId="5">
    <w:name w:val="Default Paragraph Font"/>
    <w:semiHidden/>
    <w:unhideWhenUsed/>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方正仿宋_GBK" w:hAnsi="方正仿宋_GBK" w:eastAsia="方正仿宋_GBK" w:cs="方正仿宋_GBK"/>
      <w:sz w:val="32"/>
      <w:szCs w:val="32"/>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1461" w:firstLine="640"/>
    </w:pPr>
    <w:rPr>
      <w:rFonts w:ascii="方正仿宋_GBK" w:hAnsi="方正仿宋_GBK" w:eastAsia="方正仿宋_GBK" w:cs="方正仿宋_GBK"/>
      <w:lang w:val="zh-CN" w:eastAsia="zh-CN" w:bidi="zh-CN"/>
    </w:rPr>
  </w:style>
  <w:style w:type="paragraph" w:customStyle="1" w:styleId="8">
    <w:name w:val="Table Paragraph"/>
    <w:basedOn w:val="1"/>
    <w:qFormat/>
    <w:uiPriority w:val="1"/>
    <w:pPr>
      <w:spacing w:before="165"/>
      <w:ind w:left="8"/>
    </w:pPr>
    <w:rPr>
      <w:rFonts w:ascii="方正仿宋_GBK" w:hAnsi="方正仿宋_GBK" w:eastAsia="方正仿宋_GBK" w:cs="方正仿宋_GBK"/>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2"/>
    <customShpInfo spid="_x0000_s2051"/>
    <customShpInfo spid="_x0000_s2054"/>
    <customShpInfo spid="_x0000_s2053"/>
    <customShpInfo spid="_x0000_s2055"/>
    <customShpInfo spid="_x0000_s1027"/>
    <customShpInfo spid="_x0000_s1028"/>
    <customShpInfo spid="_x0000_s1029"/>
    <customShpInfo spid="_x0000_s1030"/>
    <customShpInfo spid="_x0000_s1026"/>
    <customShpInfo spid="_x0000_s1032"/>
    <customShpInfo spid="_x0000_s1033"/>
    <customShpInfo spid="_x0000_s1031"/>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2023-09-07T08:58:00Z</dcterms:created>
  <dc:creator>赵健良</dc:creator>
  <cp:lastModifiedBy>小光</cp:lastModifiedBy>
  <dcterms:modified xsi:type="dcterms:W3CDTF">2024-04-16T03:21:20Z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2023-09-07T00:00:00Z</vt:filetime>
  </property>
  <property fmtid="{D5CDD505-2E9C-101B-9397-08002B2CF9AE}" pid="3" name="Creator">
    <vt:lpwstr>WPS 文字</vt:lpwstr>
  </property>
  <property fmtid="{D5CDD505-2E9C-101B-9397-08002B2CF9AE}" pid="4" name="LastSaved">
    <vt:filetime>2023-09-07T00:00:00Z</vt:filetime>
  </property>
  <property fmtid="{D5CDD505-2E9C-101B-9397-08002B2CF9AE}" pid="5" name="KSOProductBuildVer">
    <vt:lpwstr>2052-11.8.6.8810</vt:lpwstr>
  </property>
</Properties>
</file>