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附件：</w:t>
      </w:r>
    </w:p>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right="-508" w:rightChars="-242"/>
        <w:jc w:val="left"/>
        <w:textAlignment w:val="auto"/>
        <w:rPr>
          <w:rFonts w:hint="default" w:ascii="Times New Roman" w:hAnsi="Times New Roman" w:eastAsia="方正仿宋_GBK" w:cs="Times New Roman"/>
          <w:color w:val="000000"/>
          <w:sz w:val="32"/>
          <w:szCs w:val="32"/>
          <w:lang w:val="en-US" w:eastAsia="zh-CN"/>
        </w:rPr>
      </w:pPr>
    </w:p>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2024年度盈江县人民政府</w:t>
      </w:r>
    </w:p>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重大行政决策事项目录</w:t>
      </w:r>
    </w:p>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小标宋_GBK" w:cs="Times New Roman"/>
          <w:color w:val="000000"/>
          <w:sz w:val="44"/>
          <w:szCs w:val="44"/>
          <w:lang w:val="en-US" w:eastAsia="zh-CN"/>
        </w:rPr>
      </w:pPr>
    </w:p>
    <w:tbl>
      <w:tblPr>
        <w:tblStyle w:val="7"/>
        <w:tblW w:w="9765"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4215"/>
        <w:gridCol w:w="2565"/>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76"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序号</w:t>
            </w:r>
          </w:p>
        </w:tc>
        <w:tc>
          <w:tcPr>
            <w:tcW w:w="4215"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决策事项名称</w:t>
            </w:r>
          </w:p>
        </w:tc>
        <w:tc>
          <w:tcPr>
            <w:tcW w:w="2565"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承办单位</w:t>
            </w:r>
          </w:p>
        </w:tc>
        <w:tc>
          <w:tcPr>
            <w:tcW w:w="2009"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仿宋_GBK" w:cs="Times New Roman"/>
                <w:b/>
                <w:bCs/>
                <w:color w:val="000000"/>
                <w:sz w:val="32"/>
                <w:szCs w:val="32"/>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976"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color w:val="000000"/>
                <w:sz w:val="32"/>
                <w:szCs w:val="32"/>
                <w:vertAlign w:val="baseline"/>
                <w:lang w:val="en-US" w:eastAsia="zh-CN"/>
              </w:rPr>
              <w:t>1</w:t>
            </w:r>
          </w:p>
        </w:tc>
        <w:tc>
          <w:tcPr>
            <w:tcW w:w="4215"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sz w:val="32"/>
                <w:szCs w:val="32"/>
                <w:lang w:val="zh-CN"/>
              </w:rPr>
              <w:t>《盈江县公益性公墓收费定价方案（试行）》</w:t>
            </w:r>
          </w:p>
        </w:tc>
        <w:tc>
          <w:tcPr>
            <w:tcW w:w="2565"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color w:val="000000"/>
                <w:sz w:val="32"/>
                <w:szCs w:val="32"/>
                <w:vertAlign w:val="baseline"/>
                <w:lang w:val="en-US" w:eastAsia="zh-CN"/>
              </w:rPr>
              <w:t>县发展和改革局</w:t>
            </w:r>
          </w:p>
        </w:tc>
        <w:tc>
          <w:tcPr>
            <w:tcW w:w="2009"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color w:val="000000"/>
                <w:sz w:val="32"/>
                <w:szCs w:val="32"/>
                <w:vertAlign w:val="baseline"/>
                <w:lang w:val="en-US" w:eastAsia="zh-CN"/>
              </w:rPr>
              <w:t>2024年5月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976"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color w:val="000000"/>
                <w:sz w:val="32"/>
                <w:szCs w:val="32"/>
                <w:vertAlign w:val="baseline"/>
                <w:lang w:val="en-US" w:eastAsia="zh-CN"/>
              </w:rPr>
              <w:t>2</w:t>
            </w:r>
          </w:p>
        </w:tc>
        <w:tc>
          <w:tcPr>
            <w:tcW w:w="4215"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sz w:val="32"/>
                <w:szCs w:val="32"/>
                <w:lang w:val="zh-CN"/>
              </w:rPr>
              <w:t>编制盈江县</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年国民经济和社会发展计划执行情况与202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年国民经济和社会发展计划</w:t>
            </w:r>
          </w:p>
        </w:tc>
        <w:tc>
          <w:tcPr>
            <w:tcW w:w="2565"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color w:val="000000"/>
                <w:sz w:val="32"/>
                <w:szCs w:val="32"/>
                <w:vertAlign w:val="baseline"/>
                <w:lang w:val="en-US" w:eastAsia="zh-CN"/>
              </w:rPr>
              <w:t>县发展和改革局</w:t>
            </w:r>
          </w:p>
        </w:tc>
        <w:tc>
          <w:tcPr>
            <w:tcW w:w="2009"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color w:val="000000"/>
                <w:sz w:val="32"/>
                <w:szCs w:val="32"/>
                <w:vertAlign w:val="baseline"/>
                <w:lang w:val="en-US" w:eastAsia="zh-CN"/>
              </w:rPr>
              <w:t>202</w:t>
            </w:r>
            <w:r>
              <w:rPr>
                <w:rFonts w:hint="eastAsia" w:eastAsia="方正仿宋_GBK" w:cs="Times New Roman"/>
                <w:color w:val="000000"/>
                <w:sz w:val="32"/>
                <w:szCs w:val="32"/>
                <w:vertAlign w:val="baseline"/>
                <w:lang w:val="en-US" w:eastAsia="zh-CN"/>
              </w:rPr>
              <w:t>4</w:t>
            </w:r>
            <w:r>
              <w:rPr>
                <w:rFonts w:hint="default" w:ascii="Times New Roman" w:hAnsi="Times New Roman" w:eastAsia="方正仿宋_GBK" w:cs="Times New Roman"/>
                <w:color w:val="000000"/>
                <w:sz w:val="32"/>
                <w:szCs w:val="32"/>
                <w:vertAlign w:val="baseline"/>
                <w:lang w:val="en-US" w:eastAsia="zh-CN"/>
              </w:rPr>
              <w:t>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976"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color w:val="000000"/>
                <w:sz w:val="32"/>
                <w:szCs w:val="32"/>
                <w:vertAlign w:val="baseline"/>
                <w:lang w:val="en-US" w:eastAsia="zh-CN"/>
              </w:rPr>
              <w:t>3</w:t>
            </w:r>
          </w:p>
        </w:tc>
        <w:tc>
          <w:tcPr>
            <w:tcW w:w="4215"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sz w:val="32"/>
                <w:szCs w:val="32"/>
                <w:lang w:val="zh-CN"/>
              </w:rPr>
              <w:t>盈江县</w:t>
            </w:r>
            <w:r>
              <w:rPr>
                <w:rFonts w:hint="default" w:ascii="Times New Roman" w:hAnsi="Times New Roman" w:eastAsia="方正仿宋_GBK" w:cs="Times New Roman"/>
                <w:sz w:val="32"/>
                <w:szCs w:val="32"/>
                <w:lang w:val="en-US" w:eastAsia="zh-CN"/>
              </w:rPr>
              <w:t>5个乡镇级以下饮用水水源地保护区划定</w:t>
            </w:r>
          </w:p>
        </w:tc>
        <w:tc>
          <w:tcPr>
            <w:tcW w:w="2565"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color w:val="000000"/>
                <w:sz w:val="32"/>
                <w:szCs w:val="32"/>
                <w:vertAlign w:val="baseline"/>
                <w:lang w:val="en-US" w:eastAsia="zh-CN"/>
              </w:rPr>
              <w:t>州生态环境局盈江分局</w:t>
            </w:r>
          </w:p>
        </w:tc>
        <w:tc>
          <w:tcPr>
            <w:tcW w:w="2009"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kern w:val="2"/>
                <w:sz w:val="32"/>
                <w:szCs w:val="32"/>
                <w:lang w:val="en-US" w:eastAsia="zh-CN" w:bidi="ar-SA"/>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976"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color w:val="000000"/>
                <w:sz w:val="32"/>
                <w:szCs w:val="32"/>
                <w:vertAlign w:val="baseline"/>
                <w:lang w:val="en-US" w:eastAsia="zh-CN"/>
              </w:rPr>
              <w:t>4</w:t>
            </w:r>
          </w:p>
        </w:tc>
        <w:tc>
          <w:tcPr>
            <w:tcW w:w="4215"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sz w:val="32"/>
                <w:szCs w:val="32"/>
                <w:lang w:val="zh-CN"/>
              </w:rPr>
              <w:t>《盈江县生态文明建设示范区规划（</w:t>
            </w:r>
            <w:r>
              <w:rPr>
                <w:rFonts w:hint="default" w:ascii="Times New Roman" w:hAnsi="Times New Roman" w:eastAsia="方正仿宋_GBK" w:cs="Times New Roman"/>
                <w:sz w:val="32"/>
                <w:szCs w:val="32"/>
                <w:lang w:val="en-US" w:eastAsia="zh-CN"/>
              </w:rPr>
              <w:t>2024—2035</w:t>
            </w:r>
            <w:r>
              <w:rPr>
                <w:rFonts w:hint="default" w:ascii="Times New Roman" w:hAnsi="Times New Roman" w:eastAsia="方正仿宋_GBK" w:cs="Times New Roman"/>
                <w:sz w:val="32"/>
                <w:szCs w:val="32"/>
                <w:lang w:val="zh-CN"/>
              </w:rPr>
              <w:t>）》</w:t>
            </w:r>
          </w:p>
        </w:tc>
        <w:tc>
          <w:tcPr>
            <w:tcW w:w="2565"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color w:val="000000"/>
                <w:sz w:val="32"/>
                <w:szCs w:val="32"/>
                <w:vertAlign w:val="baseline"/>
                <w:lang w:val="en-US" w:eastAsia="zh-CN"/>
              </w:rPr>
              <w:t>州生态环境局盈江分局</w:t>
            </w:r>
          </w:p>
        </w:tc>
        <w:tc>
          <w:tcPr>
            <w:tcW w:w="2009" w:type="dxa"/>
            <w:noWrap w:val="0"/>
            <w:vAlign w:val="top"/>
          </w:tcPr>
          <w:p>
            <w:pPr>
              <w:pStyle w:val="5"/>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7560"/>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方正仿宋_GBK" w:cs="Times New Roman"/>
                <w:color w:val="000000"/>
                <w:sz w:val="32"/>
                <w:szCs w:val="32"/>
                <w:vertAlign w:val="baseline"/>
                <w:lang w:val="en-US" w:eastAsia="zh-CN"/>
              </w:rPr>
            </w:pPr>
            <w:r>
              <w:rPr>
                <w:rFonts w:hint="default" w:ascii="Times New Roman" w:hAnsi="Times New Roman" w:eastAsia="方正仿宋_GBK" w:cs="Times New Roman"/>
                <w:kern w:val="2"/>
                <w:sz w:val="32"/>
                <w:szCs w:val="32"/>
                <w:lang w:val="en-US" w:eastAsia="zh-CN" w:bidi="ar-SA"/>
              </w:rPr>
              <w:t>2024年12月</w:t>
            </w:r>
          </w:p>
        </w:tc>
      </w:tr>
    </w:tbl>
    <w:p>
      <w:pPr>
        <w:tabs>
          <w:tab w:val="left" w:pos="7526"/>
        </w:tabs>
        <w:spacing w:line="160" w:lineRule="exact"/>
        <w:rPr>
          <w:rFonts w:hint="eastAsia" w:eastAsia="方正仿宋_GBK"/>
          <w:sz w:val="32"/>
          <w:szCs w:val="32"/>
        </w:rPr>
      </w:pPr>
    </w:p>
    <w:p>
      <w:bookmarkStart w:id="0" w:name="_GoBack"/>
      <w:bookmarkEnd w:id="0"/>
    </w:p>
    <w:sectPr>
      <w:headerReference r:id="rId3" w:type="default"/>
      <w:footerReference r:id="rId4" w:type="default"/>
      <w:footerReference r:id="rId5" w:type="even"/>
      <w:pgSz w:w="11906" w:h="16838"/>
      <w:pgMar w:top="2098" w:right="1531" w:bottom="1985" w:left="1531" w:header="851"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-133350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58240;mso-width-relative:page;mso-height-relative:page;" filled="f" stroked="f" coordsize="21600,21600" o:gfxdata="UEsDBAoAAAAAAIdO4kAAAAAAAAAAAAAAAAAEAAAAZHJzL1BLAwQUAAAACACHTuJAOYStP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5hK0+0wAAAAgB&#10;AAAPAAAAAAAAAAEAIAAAACIAAABkcnMvZG93bnJldi54bWxQSwECFAAUAAAACACHTuJA8Wfk5a4B&#10;AABLAwAADgAAAAAAAAABACAAAAAiAQAAZHJzL2Uyb0RvYy54bWxQSwUGAAAAAAYABgBZAQAAQgUA&#10;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A2CED"/>
    <w:rsid w:val="4BBA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uiPriority w:val="0"/>
    <w:rPr>
      <w:szCs w:val="20"/>
    </w:rPr>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Char Char Char Char Char Char Char Char Char Char Char Char Char Char Char Char Char Char Char Char Char Char Char Char Char Char Char Char Char Char Char Char"/>
    <w:basedOn w:val="1"/>
    <w:link w:val="8"/>
    <w:uiPriority w:val="0"/>
    <w:pPr>
      <w:widowControl/>
      <w:spacing w:after="160" w:line="240" w:lineRule="exact"/>
      <w:jc w:val="left"/>
    </w:pPr>
    <w:rPr>
      <w:szCs w:val="20"/>
    </w:rPr>
  </w:style>
  <w:style w:type="character" w:styleId="10">
    <w:name w:val="page number"/>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2024-04-26T02:50:00Z</dcterms:created>
  <dc:creator>小光</dc:creator>
  <cp:lastModifiedBy>小光</cp:lastModifiedBy>
  <dcterms:modified xsi:type="dcterms:W3CDTF">2024-04-26T02:50:43Z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