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519" w:lineRule="exact"/>
        <w:ind w:firstLine="2891" w:firstLineChars="800"/>
        <w:jc w:val="left"/>
        <w:rPr>
          <w:rFonts w:hint="eastAsia" w:ascii="方正小标宋简体" w:hAnsi="方正小标宋简体" w:eastAsia="方正小标宋简体" w:cs="方正小标宋简体"/>
          <w:b/>
          <w:bCs/>
          <w:color w:val="000000"/>
          <w:spacing w:val="0"/>
          <w:position w:val="0"/>
          <w:sz w:val="36"/>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723" w:firstLineChars="200"/>
        <w:jc w:val="center"/>
        <w:textAlignment w:val="auto"/>
        <w:outlineLvl w:val="9"/>
        <w:rPr>
          <w:rFonts w:hint="eastAsia" w:ascii="宋体" w:hAnsi="宋体" w:cs="宋体"/>
          <w:color w:val="000000"/>
          <w:spacing w:val="0"/>
          <w:position w:val="0"/>
          <w:sz w:val="24"/>
          <w:u w:val="none"/>
          <w:lang w:eastAsia="zh-CN"/>
        </w:rPr>
      </w:pPr>
      <w:r>
        <w:rPr>
          <w:rFonts w:hint="eastAsia" w:ascii="方正小标宋简体" w:hAnsi="方正小标宋简体" w:eastAsia="方正小标宋简体" w:cs="方正小标宋简体"/>
          <w:b/>
          <w:bCs/>
          <w:color w:val="000000"/>
          <w:spacing w:val="0"/>
          <w:position w:val="0"/>
          <w:sz w:val="36"/>
          <w:u w:val="none"/>
          <w:lang w:val="en-US" w:eastAsia="zh-CN"/>
        </w:rPr>
        <w:t>2021年</w:t>
      </w:r>
      <w:r>
        <w:rPr>
          <w:rFonts w:hint="eastAsia" w:ascii="方正小标宋简体" w:hAnsi="方正小标宋简体" w:eastAsia="方正小标宋简体" w:cs="方正小标宋简体"/>
          <w:b/>
          <w:bCs/>
          <w:color w:val="000000"/>
          <w:spacing w:val="0"/>
          <w:position w:val="0"/>
          <w:sz w:val="36"/>
          <w:u w:val="none"/>
        </w:rPr>
        <w:t>重点工作情况解释说明汇总表</w:t>
      </w:r>
    </w:p>
    <w:tbl>
      <w:tblPr>
        <w:tblStyle w:val="3"/>
        <w:tblpPr w:leftFromText="180" w:rightFromText="180" w:vertAnchor="page" w:horzAnchor="page" w:tblpX="539" w:tblpY="1723"/>
        <w:tblW w:w="10881" w:type="dxa"/>
        <w:tblInd w:w="0" w:type="dxa"/>
        <w:tblLayout w:type="fixed"/>
        <w:tblCellMar>
          <w:top w:w="0" w:type="dxa"/>
          <w:left w:w="108" w:type="dxa"/>
          <w:bottom w:w="0" w:type="dxa"/>
          <w:right w:w="108" w:type="dxa"/>
        </w:tblCellMar>
      </w:tblPr>
      <w:tblGrid>
        <w:gridCol w:w="2360"/>
        <w:gridCol w:w="8521"/>
      </w:tblGrid>
      <w:tr>
        <w:tblPrEx>
          <w:tblCellMar>
            <w:top w:w="0" w:type="dxa"/>
            <w:left w:w="108" w:type="dxa"/>
            <w:bottom w:w="0" w:type="dxa"/>
            <w:right w:w="108" w:type="dxa"/>
          </w:tblCellMar>
        </w:tblPrEx>
        <w:trPr>
          <w:trHeight w:val="487" w:hRule="exact"/>
        </w:trPr>
        <w:tc>
          <w:tcPr>
            <w:tcW w:w="23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cs="宋体"/>
                <w:color w:val="000000"/>
                <w:spacing w:val="0"/>
                <w:position w:val="0"/>
                <w:sz w:val="24"/>
                <w:u w:val="none"/>
                <w:lang w:eastAsia="zh-CN"/>
              </w:rPr>
            </w:pPr>
            <w:r>
              <w:rPr>
                <w:rFonts w:hint="eastAsia" w:ascii="宋体" w:hAnsi="宋体" w:cs="宋体"/>
                <w:color w:val="000000"/>
                <w:spacing w:val="0"/>
                <w:position w:val="0"/>
                <w:sz w:val="24"/>
                <w:u w:val="none"/>
                <w:lang w:eastAsia="zh-CN"/>
              </w:rPr>
              <w:t>重点工作</w:t>
            </w:r>
          </w:p>
        </w:tc>
        <w:tc>
          <w:tcPr>
            <w:tcW w:w="852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cs="宋体"/>
                <w:color w:val="000000"/>
                <w:spacing w:val="0"/>
                <w:position w:val="0"/>
                <w:sz w:val="24"/>
                <w:u w:val="none"/>
                <w:lang w:eastAsia="zh-CN"/>
              </w:rPr>
            </w:pPr>
            <w:r>
              <w:rPr>
                <w:rFonts w:hint="eastAsia" w:ascii="宋体" w:hAnsi="宋体" w:cs="宋体"/>
                <w:color w:val="000000"/>
                <w:spacing w:val="0"/>
                <w:position w:val="0"/>
                <w:sz w:val="24"/>
                <w:u w:val="none"/>
                <w:lang w:eastAsia="zh-CN"/>
              </w:rPr>
              <w:t>20</w:t>
            </w:r>
            <w:r>
              <w:rPr>
                <w:rFonts w:hint="eastAsia" w:ascii="宋体" w:hAnsi="宋体" w:cs="宋体"/>
                <w:color w:val="000000"/>
                <w:spacing w:val="0"/>
                <w:position w:val="0"/>
                <w:sz w:val="24"/>
                <w:u w:val="none"/>
                <w:lang w:val="en-US" w:eastAsia="zh-CN"/>
              </w:rPr>
              <w:t>21</w:t>
            </w:r>
            <w:r>
              <w:rPr>
                <w:rFonts w:hint="eastAsia" w:ascii="宋体" w:hAnsi="宋体" w:cs="宋体"/>
                <w:color w:val="000000"/>
                <w:spacing w:val="0"/>
                <w:position w:val="0"/>
                <w:sz w:val="24"/>
                <w:u w:val="none"/>
                <w:lang w:eastAsia="zh-CN"/>
              </w:rPr>
              <w:t>年工作重点及工作情况</w:t>
            </w:r>
          </w:p>
        </w:tc>
      </w:tr>
      <w:tr>
        <w:tblPrEx>
          <w:tblCellMar>
            <w:top w:w="0" w:type="dxa"/>
            <w:left w:w="108" w:type="dxa"/>
            <w:bottom w:w="0" w:type="dxa"/>
            <w:right w:w="108" w:type="dxa"/>
          </w:tblCellMar>
        </w:tblPrEx>
        <w:trPr>
          <w:trHeight w:val="2978" w:hRule="exact"/>
        </w:trPr>
        <w:tc>
          <w:tcPr>
            <w:tcW w:w="23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autoSpaceDN/>
              <w:bidi w:val="0"/>
              <w:adjustRightInd/>
              <w:snapToGrid/>
              <w:spacing w:line="360" w:lineRule="auto"/>
              <w:ind w:right="0" w:rightChars="0" w:firstLine="240" w:firstLineChars="100"/>
              <w:jc w:val="both"/>
              <w:textAlignment w:val="auto"/>
              <w:outlineLvl w:val="9"/>
              <w:rPr>
                <w:rFonts w:hint="eastAsia" w:ascii="宋体" w:hAnsi="宋体" w:cs="宋体"/>
                <w:color w:val="000000"/>
                <w:spacing w:val="0"/>
                <w:position w:val="0"/>
                <w:sz w:val="24"/>
                <w:u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240" w:firstLineChars="100"/>
              <w:jc w:val="both"/>
              <w:textAlignment w:val="auto"/>
              <w:outlineLvl w:val="9"/>
              <w:rPr>
                <w:rFonts w:hint="eastAsia" w:ascii="宋体" w:hAnsi="宋体" w:cs="宋体"/>
                <w:color w:val="000000"/>
                <w:spacing w:val="0"/>
                <w:position w:val="0"/>
                <w:sz w:val="24"/>
                <w:u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cs="宋体"/>
                <w:color w:val="000000"/>
                <w:spacing w:val="0"/>
                <w:position w:val="0"/>
                <w:sz w:val="24"/>
                <w:u w:val="none"/>
                <w:lang w:eastAsia="zh-CN"/>
              </w:rPr>
            </w:pPr>
            <w:r>
              <w:rPr>
                <w:rFonts w:hint="eastAsia" w:ascii="宋体" w:hAnsi="宋体" w:cs="宋体"/>
                <w:color w:val="000000"/>
                <w:spacing w:val="0"/>
                <w:position w:val="0"/>
                <w:sz w:val="24"/>
                <w:u w:val="none"/>
                <w:lang w:eastAsia="zh-CN"/>
              </w:rPr>
              <w:t>转移支付安排情况</w:t>
            </w:r>
          </w:p>
        </w:tc>
        <w:tc>
          <w:tcPr>
            <w:tcW w:w="852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pacing w:val="0"/>
                <w:position w:val="0"/>
                <w:sz w:val="24"/>
                <w:szCs w:val="32"/>
                <w:highlight w:val="none"/>
                <w:u w:val="none"/>
                <w:lang w:eastAsia="zh-CN"/>
              </w:rPr>
            </w:pPr>
            <w:r>
              <w:rPr>
                <w:rFonts w:hint="default" w:ascii="方正仿宋_GBK" w:hAnsi="方正仿宋_GBK" w:eastAsia="方正仿宋_GBK" w:cs="方正仿宋_GBK"/>
                <w:color w:val="000000"/>
                <w:spacing w:val="0"/>
                <w:position w:val="0"/>
                <w:sz w:val="24"/>
                <w:szCs w:val="32"/>
                <w:highlight w:val="none"/>
                <w:u w:val="none"/>
                <w:lang w:val="en-US" w:eastAsia="zh-CN"/>
              </w:rPr>
              <w:t>2021</w:t>
            </w:r>
            <w:r>
              <w:rPr>
                <w:rFonts w:hint="eastAsia" w:ascii="方正仿宋_GBK" w:hAnsi="方正仿宋_GBK" w:eastAsia="方正仿宋_GBK" w:cs="方正仿宋_GBK"/>
                <w:color w:val="000000"/>
                <w:spacing w:val="0"/>
                <w:position w:val="0"/>
                <w:sz w:val="24"/>
                <w:szCs w:val="32"/>
                <w:highlight w:val="none"/>
                <w:u w:val="none"/>
                <w:lang w:val="en-US" w:eastAsia="zh-CN"/>
              </w:rPr>
              <w:t>年，盈江县财政共收到州级补助资金250304万元。其中：一般性转移支付210411万元，下降2.54</w:t>
            </w:r>
            <w:r>
              <w:rPr>
                <w:rFonts w:hint="default" w:ascii="方正仿宋_GBK" w:hAnsi="方正仿宋_GBK" w:eastAsia="方正仿宋_GBK" w:cs="方正仿宋_GBK"/>
                <w:color w:val="000000"/>
                <w:spacing w:val="0"/>
                <w:position w:val="0"/>
                <w:sz w:val="24"/>
                <w:szCs w:val="32"/>
                <w:highlight w:val="none"/>
                <w:u w:val="none"/>
                <w:lang w:val="en-US" w:eastAsia="zh-CN"/>
              </w:rPr>
              <w:t>%</w:t>
            </w:r>
            <w:r>
              <w:rPr>
                <w:rFonts w:hint="eastAsia" w:ascii="方正仿宋_GBK" w:hAnsi="方正仿宋_GBK" w:eastAsia="方正仿宋_GBK" w:cs="方正仿宋_GBK"/>
                <w:color w:val="000000"/>
                <w:spacing w:val="0"/>
                <w:position w:val="0"/>
                <w:sz w:val="24"/>
                <w:szCs w:val="32"/>
                <w:highlight w:val="none"/>
                <w:u w:val="none"/>
                <w:lang w:val="en-US" w:eastAsia="zh-CN"/>
              </w:rPr>
              <w:t>，占转移支付比重84.06</w:t>
            </w:r>
            <w:r>
              <w:rPr>
                <w:rFonts w:hint="default" w:ascii="方正仿宋_GBK" w:hAnsi="方正仿宋_GBK" w:eastAsia="方正仿宋_GBK" w:cs="方正仿宋_GBK"/>
                <w:color w:val="000000"/>
                <w:spacing w:val="0"/>
                <w:position w:val="0"/>
                <w:sz w:val="24"/>
                <w:szCs w:val="32"/>
                <w:highlight w:val="none"/>
                <w:u w:val="none"/>
                <w:lang w:val="en-US" w:eastAsia="zh-CN"/>
              </w:rPr>
              <w:t>%</w:t>
            </w:r>
            <w:r>
              <w:rPr>
                <w:rFonts w:hint="eastAsia" w:ascii="方正仿宋_GBK" w:hAnsi="方正仿宋_GBK" w:eastAsia="方正仿宋_GBK" w:cs="方正仿宋_GBK"/>
                <w:color w:val="000000"/>
                <w:spacing w:val="0"/>
                <w:position w:val="0"/>
                <w:sz w:val="24"/>
                <w:szCs w:val="32"/>
                <w:highlight w:val="none"/>
                <w:u w:val="none"/>
                <w:lang w:val="en-US" w:eastAsia="zh-CN"/>
              </w:rPr>
              <w:t>；专项转移支付33315万元，下降22.36</w:t>
            </w:r>
            <w:r>
              <w:rPr>
                <w:rFonts w:hint="default" w:ascii="方正仿宋_GBK" w:hAnsi="方正仿宋_GBK" w:eastAsia="方正仿宋_GBK" w:cs="方正仿宋_GBK"/>
                <w:color w:val="000000"/>
                <w:spacing w:val="0"/>
                <w:position w:val="0"/>
                <w:sz w:val="24"/>
                <w:szCs w:val="32"/>
                <w:highlight w:val="none"/>
                <w:u w:val="none"/>
                <w:lang w:val="en-US" w:eastAsia="zh-CN"/>
              </w:rPr>
              <w:t>%</w:t>
            </w:r>
            <w:r>
              <w:rPr>
                <w:rFonts w:hint="eastAsia" w:ascii="方正仿宋_GBK" w:hAnsi="方正仿宋_GBK" w:eastAsia="方正仿宋_GBK" w:cs="方正仿宋_GBK"/>
                <w:color w:val="000000"/>
                <w:spacing w:val="0"/>
                <w:position w:val="0"/>
                <w:sz w:val="24"/>
                <w:szCs w:val="32"/>
                <w:highlight w:val="none"/>
                <w:u w:val="none"/>
                <w:lang w:val="en-US" w:eastAsia="zh-CN"/>
              </w:rPr>
              <w:t>，占转移支付比重</w:t>
            </w:r>
            <w:r>
              <w:rPr>
                <w:rFonts w:hint="eastAsia" w:ascii="方正仿宋_GBK" w:hAnsi="方正仿宋_GBK" w:eastAsia="方正仿宋_GBK" w:cs="方正仿宋_GBK"/>
                <w:color w:val="000000" w:themeColor="text1"/>
                <w:spacing w:val="0"/>
                <w:position w:val="0"/>
                <w:sz w:val="24"/>
                <w:szCs w:val="32"/>
                <w:highlight w:val="none"/>
                <w:u w:val="none"/>
                <w:lang w:val="en-US" w:eastAsia="zh-CN"/>
                <w14:textFill>
                  <w14:solidFill>
                    <w14:schemeClr w14:val="tx1"/>
                  </w14:solidFill>
                </w14:textFill>
              </w:rPr>
              <w:t>13.31%</w:t>
            </w:r>
            <w:r>
              <w:rPr>
                <w:rFonts w:hint="eastAsia" w:ascii="方正仿宋_GBK" w:hAnsi="方正仿宋_GBK" w:eastAsia="方正仿宋_GBK" w:cs="方正仿宋_GBK"/>
                <w:color w:val="000000"/>
                <w:spacing w:val="0"/>
                <w:position w:val="0"/>
                <w:sz w:val="24"/>
                <w:szCs w:val="32"/>
                <w:highlight w:val="none"/>
                <w:u w:val="none"/>
                <w:lang w:val="en-US" w:eastAsia="zh-CN"/>
              </w:rPr>
              <w:t>。一般性转移支付中，均衡性转移支付35745万元，下降0.86</w:t>
            </w:r>
            <w:r>
              <w:rPr>
                <w:rFonts w:hint="default" w:ascii="方正仿宋_GBK" w:hAnsi="方正仿宋_GBK" w:eastAsia="方正仿宋_GBK" w:cs="方正仿宋_GBK"/>
                <w:color w:val="000000"/>
                <w:spacing w:val="0"/>
                <w:position w:val="0"/>
                <w:sz w:val="24"/>
                <w:szCs w:val="32"/>
                <w:highlight w:val="none"/>
                <w:u w:val="none"/>
                <w:lang w:val="en-US" w:eastAsia="zh-CN"/>
              </w:rPr>
              <w:t>%</w:t>
            </w:r>
            <w:r>
              <w:rPr>
                <w:rFonts w:hint="eastAsia" w:ascii="方正仿宋_GBK" w:hAnsi="方正仿宋_GBK" w:eastAsia="方正仿宋_GBK" w:cs="方正仿宋_GBK"/>
                <w:color w:val="000000"/>
                <w:spacing w:val="0"/>
                <w:position w:val="0"/>
                <w:sz w:val="24"/>
                <w:szCs w:val="32"/>
                <w:highlight w:val="none"/>
                <w:u w:val="none"/>
                <w:lang w:val="en-US" w:eastAsia="zh-CN"/>
              </w:rPr>
              <w:t>；县级基本财力保障机制奖补资金10303万元，下降</w:t>
            </w:r>
            <w:r>
              <w:rPr>
                <w:rFonts w:hint="eastAsia" w:ascii="方正仿宋_GBK" w:hAnsi="方正仿宋_GBK" w:eastAsia="方正仿宋_GBK" w:cs="方正仿宋_GBK"/>
                <w:color w:val="000000" w:themeColor="text1"/>
                <w:spacing w:val="0"/>
                <w:position w:val="0"/>
                <w:sz w:val="24"/>
                <w:szCs w:val="32"/>
                <w:highlight w:val="none"/>
                <w:u w:val="none"/>
                <w:lang w:val="en-US" w:eastAsia="zh-CN"/>
                <w14:textFill>
                  <w14:solidFill>
                    <w14:schemeClr w14:val="tx1"/>
                  </w14:solidFill>
                </w14:textFill>
              </w:rPr>
              <w:t>60.99%；</w:t>
            </w:r>
            <w:r>
              <w:rPr>
                <w:rFonts w:hint="eastAsia" w:ascii="方正仿宋_GBK" w:hAnsi="方正仿宋_GBK" w:eastAsia="方正仿宋_GBK" w:cs="方正仿宋_GBK"/>
                <w:color w:val="000000"/>
                <w:spacing w:val="0"/>
                <w:position w:val="0"/>
                <w:sz w:val="24"/>
                <w:szCs w:val="32"/>
                <w:highlight w:val="none"/>
                <w:u w:val="none"/>
                <w:lang w:val="en-US" w:eastAsia="zh-CN"/>
              </w:rPr>
              <w:t>民族地区转移支付3689万元，下降3</w:t>
            </w:r>
            <w:r>
              <w:rPr>
                <w:rFonts w:hint="default" w:ascii="方正仿宋_GBK" w:hAnsi="方正仿宋_GBK" w:eastAsia="方正仿宋_GBK" w:cs="方正仿宋_GBK"/>
                <w:color w:val="000000"/>
                <w:spacing w:val="0"/>
                <w:position w:val="0"/>
                <w:sz w:val="24"/>
                <w:szCs w:val="32"/>
                <w:highlight w:val="none"/>
                <w:u w:val="none"/>
                <w:lang w:val="en-US" w:eastAsia="zh-CN"/>
              </w:rPr>
              <w:t>8%</w:t>
            </w:r>
            <w:r>
              <w:rPr>
                <w:rFonts w:hint="eastAsia" w:ascii="方正仿宋_GBK" w:hAnsi="方正仿宋_GBK" w:eastAsia="方正仿宋_GBK" w:cs="方正仿宋_GBK"/>
                <w:color w:val="000000"/>
                <w:spacing w:val="0"/>
                <w:position w:val="0"/>
                <w:sz w:val="24"/>
                <w:szCs w:val="32"/>
                <w:highlight w:val="none"/>
                <w:u w:val="none"/>
                <w:lang w:val="en-US" w:eastAsia="zh-CN"/>
              </w:rPr>
              <w:t>；边境地区转移支付22940万元，下降3.93</w:t>
            </w:r>
            <w:r>
              <w:rPr>
                <w:rFonts w:hint="default" w:ascii="方正仿宋_GBK" w:hAnsi="方正仿宋_GBK" w:eastAsia="方正仿宋_GBK" w:cs="方正仿宋_GBK"/>
                <w:color w:val="000000"/>
                <w:spacing w:val="0"/>
                <w:position w:val="0"/>
                <w:sz w:val="24"/>
                <w:szCs w:val="32"/>
                <w:highlight w:val="none"/>
                <w:u w:val="none"/>
                <w:lang w:val="en-US" w:eastAsia="zh-CN"/>
              </w:rPr>
              <w:t>%</w:t>
            </w:r>
            <w:r>
              <w:rPr>
                <w:rFonts w:hint="eastAsia" w:ascii="方正仿宋_GBK" w:hAnsi="方正仿宋_GBK" w:eastAsia="方正仿宋_GBK" w:cs="方正仿宋_GBK"/>
                <w:color w:val="000000"/>
                <w:spacing w:val="0"/>
                <w:position w:val="0"/>
                <w:sz w:val="24"/>
                <w:szCs w:val="32"/>
                <w:highlight w:val="none"/>
                <w:u w:val="none"/>
                <w:lang w:val="en-US" w:eastAsia="zh-CN"/>
              </w:rPr>
              <w:t>；共同事权转移支付73498万元，下降8.49</w:t>
            </w:r>
            <w:r>
              <w:rPr>
                <w:rFonts w:hint="default" w:ascii="方正仿宋_GBK" w:hAnsi="方正仿宋_GBK" w:eastAsia="方正仿宋_GBK" w:cs="方正仿宋_GBK"/>
                <w:color w:val="000000"/>
                <w:spacing w:val="0"/>
                <w:position w:val="0"/>
                <w:sz w:val="24"/>
                <w:szCs w:val="32"/>
                <w:highlight w:val="none"/>
                <w:u w:val="none"/>
                <w:lang w:val="en-US" w:eastAsia="zh-CN"/>
              </w:rPr>
              <w:t>%</w:t>
            </w:r>
            <w:r>
              <w:rPr>
                <w:rFonts w:hint="eastAsia" w:ascii="方正仿宋_GBK" w:hAnsi="方正仿宋_GBK" w:eastAsia="方正仿宋_GBK" w:cs="方正仿宋_GBK"/>
                <w:color w:val="000000"/>
                <w:spacing w:val="0"/>
                <w:position w:val="0"/>
                <w:sz w:val="24"/>
                <w:szCs w:val="32"/>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pacing w:val="0"/>
                <w:position w:val="0"/>
                <w:sz w:val="24"/>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pacing w:val="0"/>
                <w:position w:val="0"/>
                <w:sz w:val="24"/>
                <w:szCs w:val="32"/>
                <w:highlight w:val="none"/>
                <w:u w:val="none"/>
                <w:lang w:eastAsia="zh-CN"/>
              </w:rPr>
            </w:pPr>
          </w:p>
        </w:tc>
      </w:tr>
      <w:tr>
        <w:tblPrEx>
          <w:tblCellMar>
            <w:top w:w="0" w:type="dxa"/>
            <w:left w:w="108" w:type="dxa"/>
            <w:bottom w:w="0" w:type="dxa"/>
            <w:right w:w="108" w:type="dxa"/>
          </w:tblCellMar>
        </w:tblPrEx>
        <w:trPr>
          <w:trHeight w:val="7445" w:hRule="exact"/>
        </w:trPr>
        <w:tc>
          <w:tcPr>
            <w:tcW w:w="23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sz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sz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sz w:val="24"/>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sz w:val="24"/>
              </w:rPr>
            </w:pPr>
            <w:r>
              <w:rPr>
                <w:rFonts w:hint="eastAsia" w:ascii="宋体" w:hAnsi="宋体" w:eastAsia="宋体"/>
                <w:sz w:val="24"/>
              </w:rPr>
              <w:t>预算绩效工作</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cs="宋体"/>
                <w:color w:val="000000"/>
                <w:spacing w:val="0"/>
                <w:position w:val="0"/>
                <w:sz w:val="24"/>
                <w:u w:val="none"/>
                <w:lang w:eastAsia="zh-CN"/>
              </w:rPr>
            </w:pPr>
            <w:r>
              <w:rPr>
                <w:rFonts w:hint="eastAsia" w:ascii="宋体" w:hAnsi="宋体" w:eastAsia="宋体"/>
                <w:sz w:val="24"/>
              </w:rPr>
              <w:t>开展情况</w:t>
            </w:r>
          </w:p>
        </w:tc>
        <w:tc>
          <w:tcPr>
            <w:tcW w:w="852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宋体" w:hAnsi="宋体" w:cs="宋体"/>
                <w:color w:val="000000"/>
                <w:spacing w:val="0"/>
                <w:position w:val="0"/>
                <w:sz w:val="24"/>
                <w:u w:val="none"/>
                <w:lang w:eastAsia="zh-CN"/>
              </w:rPr>
            </w:pPr>
            <w:r>
              <w:rPr>
                <w:rFonts w:hint="default" w:ascii="方正仿宋_GBK" w:hAnsi="方正仿宋_GBK" w:eastAsia="方正仿宋_GBK" w:cs="方正仿宋_GBK"/>
                <w:color w:val="000000"/>
                <w:spacing w:val="0"/>
                <w:position w:val="0"/>
                <w:sz w:val="24"/>
                <w:szCs w:val="32"/>
                <w:highlight w:val="none"/>
                <w:u w:val="none"/>
                <w:lang w:val="en-US" w:eastAsia="zh-CN"/>
              </w:rPr>
              <w:t>一是深入参与，稳步提升绩效评价工作质量。根据盈江县财政局《关于开展2020年度盈江县部门重点项目绩效评价的通知》相关要求，2021年，</w:t>
            </w:r>
            <w:r>
              <w:rPr>
                <w:rFonts w:hint="eastAsia" w:ascii="方正仿宋_GBK" w:hAnsi="方正仿宋_GBK" w:eastAsia="方正仿宋_GBK" w:cs="方正仿宋_GBK"/>
                <w:color w:val="000000"/>
                <w:spacing w:val="0"/>
                <w:position w:val="0"/>
                <w:sz w:val="24"/>
                <w:szCs w:val="32"/>
                <w:highlight w:val="none"/>
                <w:u w:val="none"/>
                <w:lang w:val="en-US" w:eastAsia="zh-CN"/>
              </w:rPr>
              <w:t>通过广泛征求意见</w:t>
            </w:r>
            <w:r>
              <w:rPr>
                <w:rFonts w:hint="default" w:ascii="方正仿宋_GBK" w:hAnsi="方正仿宋_GBK" w:eastAsia="方正仿宋_GBK" w:cs="方正仿宋_GBK"/>
                <w:color w:val="000000"/>
                <w:spacing w:val="0"/>
                <w:position w:val="0"/>
                <w:sz w:val="24"/>
                <w:szCs w:val="32"/>
                <w:highlight w:val="none"/>
                <w:u w:val="none"/>
                <w:lang w:val="en-US" w:eastAsia="zh-CN"/>
              </w:rPr>
              <w:t>，</w:t>
            </w:r>
            <w:r>
              <w:rPr>
                <w:rFonts w:hint="eastAsia" w:ascii="方正仿宋_GBK" w:hAnsi="方正仿宋_GBK" w:eastAsia="方正仿宋_GBK" w:cs="方正仿宋_GBK"/>
                <w:color w:val="000000"/>
                <w:spacing w:val="0"/>
                <w:position w:val="0"/>
                <w:sz w:val="24"/>
                <w:szCs w:val="32"/>
                <w:highlight w:val="none"/>
                <w:u w:val="none"/>
                <w:lang w:val="en-US" w:eastAsia="zh-CN"/>
              </w:rPr>
              <w:t>我县</w:t>
            </w:r>
            <w:r>
              <w:rPr>
                <w:rFonts w:hint="default" w:ascii="方正仿宋_GBK" w:hAnsi="方正仿宋_GBK" w:eastAsia="方正仿宋_GBK" w:cs="方正仿宋_GBK"/>
                <w:color w:val="000000"/>
                <w:spacing w:val="0"/>
                <w:position w:val="0"/>
                <w:sz w:val="24"/>
                <w:szCs w:val="32"/>
                <w:highlight w:val="none"/>
                <w:u w:val="none"/>
                <w:lang w:val="en-US" w:eastAsia="zh-CN"/>
              </w:rPr>
              <w:t>选取6个重点项目进行绩效评价。通过委托中介机构开展，财政全程参与，严格把控评价工作质量。根据绩效评价结果，</w:t>
            </w:r>
            <w:r>
              <w:rPr>
                <w:rFonts w:hint="eastAsia" w:ascii="方正仿宋_GBK" w:hAnsi="方正仿宋_GBK" w:eastAsia="方正仿宋_GBK" w:cs="方正仿宋_GBK"/>
                <w:color w:val="000000"/>
                <w:spacing w:val="0"/>
                <w:position w:val="0"/>
                <w:sz w:val="24"/>
                <w:szCs w:val="32"/>
                <w:highlight w:val="none"/>
                <w:u w:val="none"/>
                <w:lang w:val="en-US" w:eastAsia="zh-CN"/>
              </w:rPr>
              <w:t>6</w:t>
            </w:r>
            <w:r>
              <w:rPr>
                <w:rFonts w:hint="default" w:ascii="方正仿宋_GBK" w:hAnsi="方正仿宋_GBK" w:eastAsia="方正仿宋_GBK" w:cs="方正仿宋_GBK"/>
                <w:color w:val="000000"/>
                <w:spacing w:val="0"/>
                <w:position w:val="0"/>
                <w:sz w:val="24"/>
                <w:szCs w:val="32"/>
                <w:highlight w:val="none"/>
                <w:u w:val="none"/>
                <w:lang w:val="en-US" w:eastAsia="zh-CN"/>
              </w:rPr>
              <w:t>个重点项目中评价结果</w:t>
            </w:r>
            <w:r>
              <w:rPr>
                <w:rFonts w:hint="eastAsia" w:ascii="方正仿宋_GBK" w:hAnsi="方正仿宋_GBK" w:eastAsia="方正仿宋_GBK" w:cs="方正仿宋_GBK"/>
                <w:color w:val="000000"/>
                <w:spacing w:val="0"/>
                <w:position w:val="0"/>
                <w:sz w:val="24"/>
                <w:szCs w:val="32"/>
                <w:highlight w:val="none"/>
                <w:u w:val="none"/>
                <w:lang w:val="en-US" w:eastAsia="zh-CN"/>
              </w:rPr>
              <w:t>均</w:t>
            </w:r>
            <w:r>
              <w:rPr>
                <w:rFonts w:hint="default" w:ascii="方正仿宋_GBK" w:hAnsi="方正仿宋_GBK" w:eastAsia="方正仿宋_GBK" w:cs="方正仿宋_GBK"/>
                <w:color w:val="000000"/>
                <w:spacing w:val="0"/>
                <w:position w:val="0"/>
                <w:sz w:val="24"/>
                <w:szCs w:val="32"/>
                <w:highlight w:val="none"/>
                <w:u w:val="none"/>
                <w:lang w:val="en-US" w:eastAsia="zh-CN"/>
              </w:rPr>
              <w:t>为“中”；将评价结果反馈相关单位，督促其针对资金管理使用过程中存在的薄弱环节和问题进行整改完善，以促进资金质效提升。二是强化审核，全面提升绩效目标编报质量。2021年</w:t>
            </w:r>
            <w:r>
              <w:rPr>
                <w:rFonts w:hint="eastAsia" w:ascii="方正仿宋_GBK" w:hAnsi="方正仿宋_GBK" w:eastAsia="方正仿宋_GBK" w:cs="方正仿宋_GBK"/>
                <w:color w:val="000000"/>
                <w:spacing w:val="0"/>
                <w:position w:val="0"/>
                <w:sz w:val="24"/>
                <w:szCs w:val="32"/>
                <w:highlight w:val="none"/>
                <w:u w:val="none"/>
                <w:lang w:val="en-US" w:eastAsia="zh-CN"/>
              </w:rPr>
              <w:t>，</w:t>
            </w:r>
            <w:r>
              <w:rPr>
                <w:rFonts w:hint="default" w:ascii="方正仿宋_GBK" w:hAnsi="方正仿宋_GBK" w:eastAsia="方正仿宋_GBK" w:cs="方正仿宋_GBK"/>
                <w:color w:val="000000"/>
                <w:spacing w:val="0"/>
                <w:position w:val="0"/>
                <w:sz w:val="24"/>
                <w:szCs w:val="32"/>
                <w:highlight w:val="none"/>
                <w:u w:val="none"/>
                <w:lang w:val="en-US" w:eastAsia="zh-CN"/>
              </w:rPr>
              <w:t>联合中介机构对盈江县各一级预算部门申报的2021年部门整体支出和项目支出绩效目标进行了审核。主要涉及55个一级预算部门的部门整体支出和240个一级预算项目支出的绩效目标。通过专家小组现场审核，从绩效目标的相关性、匹配性、完整性、适当性、可行性等方面，对绩效目标进行全面审核，进一步客观判断项目实施预期效果，研究存在问题和原因，提出改进建议。三是严格考核，压实绩效管理工作主体责任。认真组织开展2021年度预算绩效管理考核工作，严格对照《预算绩效管理考核细则》，结合自评情况及佐证材料，对</w:t>
            </w:r>
            <w:r>
              <w:rPr>
                <w:rFonts w:hint="eastAsia" w:ascii="方正仿宋_GBK" w:hAnsi="方正仿宋_GBK" w:eastAsia="方正仿宋_GBK" w:cs="方正仿宋_GBK"/>
                <w:color w:val="000000"/>
                <w:spacing w:val="0"/>
                <w:position w:val="0"/>
                <w:sz w:val="24"/>
                <w:szCs w:val="32"/>
                <w:highlight w:val="none"/>
                <w:u w:val="none"/>
                <w:lang w:val="en-US" w:eastAsia="zh-CN"/>
              </w:rPr>
              <w:t>69</w:t>
            </w:r>
            <w:r>
              <w:rPr>
                <w:rFonts w:hint="default" w:ascii="方正仿宋_GBK" w:hAnsi="方正仿宋_GBK" w:eastAsia="方正仿宋_GBK" w:cs="方正仿宋_GBK"/>
                <w:color w:val="000000"/>
                <w:spacing w:val="0"/>
                <w:position w:val="0"/>
                <w:sz w:val="24"/>
                <w:szCs w:val="32"/>
                <w:highlight w:val="none"/>
                <w:u w:val="none"/>
                <w:lang w:val="en-US" w:eastAsia="zh-CN"/>
              </w:rPr>
              <w:t>家部门2021年绩效管理工作情况进行考核打分，并将考核结果</w:t>
            </w:r>
            <w:r>
              <w:rPr>
                <w:rFonts w:hint="eastAsia" w:ascii="方正仿宋_GBK" w:hAnsi="方正仿宋_GBK" w:eastAsia="方正仿宋_GBK" w:cs="方正仿宋_GBK"/>
                <w:color w:val="000000"/>
                <w:spacing w:val="0"/>
                <w:position w:val="0"/>
                <w:sz w:val="24"/>
                <w:szCs w:val="32"/>
                <w:highlight w:val="none"/>
                <w:u w:val="none"/>
                <w:lang w:val="en-US" w:eastAsia="zh-CN"/>
              </w:rPr>
              <w:t>上报县考评办</w:t>
            </w:r>
            <w:r>
              <w:rPr>
                <w:rFonts w:hint="default" w:ascii="方正仿宋_GBK" w:hAnsi="方正仿宋_GBK" w:eastAsia="方正仿宋_GBK" w:cs="方正仿宋_GBK"/>
                <w:color w:val="000000"/>
                <w:spacing w:val="0"/>
                <w:position w:val="0"/>
                <w:sz w:val="24"/>
                <w:szCs w:val="32"/>
                <w:highlight w:val="none"/>
                <w:u w:val="none"/>
                <w:lang w:val="en-US" w:eastAsia="zh-CN"/>
              </w:rPr>
              <w:t>，</w:t>
            </w:r>
            <w:r>
              <w:rPr>
                <w:rFonts w:hint="eastAsia" w:ascii="方正仿宋_GBK" w:hAnsi="方正仿宋_GBK" w:eastAsia="方正仿宋_GBK" w:cs="方正仿宋_GBK"/>
                <w:color w:val="000000"/>
                <w:spacing w:val="0"/>
                <w:position w:val="0"/>
                <w:sz w:val="24"/>
                <w:szCs w:val="32"/>
                <w:highlight w:val="none"/>
                <w:u w:val="none"/>
                <w:lang w:val="en-US" w:eastAsia="zh-CN"/>
              </w:rPr>
              <w:t>以此</w:t>
            </w:r>
            <w:r>
              <w:rPr>
                <w:rFonts w:hint="default" w:ascii="方正仿宋_GBK" w:hAnsi="方正仿宋_GBK" w:eastAsia="方正仿宋_GBK" w:cs="方正仿宋_GBK"/>
                <w:color w:val="000000"/>
                <w:spacing w:val="0"/>
                <w:position w:val="0"/>
                <w:sz w:val="24"/>
                <w:szCs w:val="32"/>
                <w:highlight w:val="none"/>
                <w:u w:val="none"/>
                <w:lang w:val="en-US" w:eastAsia="zh-CN"/>
              </w:rPr>
              <w:t>推动全</w:t>
            </w:r>
            <w:r>
              <w:rPr>
                <w:rFonts w:hint="eastAsia" w:ascii="方正仿宋_GBK" w:hAnsi="方正仿宋_GBK" w:eastAsia="方正仿宋_GBK" w:cs="方正仿宋_GBK"/>
                <w:color w:val="000000"/>
                <w:spacing w:val="0"/>
                <w:position w:val="0"/>
                <w:sz w:val="24"/>
                <w:szCs w:val="32"/>
                <w:highlight w:val="none"/>
                <w:u w:val="none"/>
                <w:lang w:val="en-US" w:eastAsia="zh-CN"/>
              </w:rPr>
              <w:t>县</w:t>
            </w:r>
            <w:r>
              <w:rPr>
                <w:rFonts w:hint="default" w:ascii="方正仿宋_GBK" w:hAnsi="方正仿宋_GBK" w:eastAsia="方正仿宋_GBK" w:cs="方正仿宋_GBK"/>
                <w:color w:val="000000"/>
                <w:spacing w:val="0"/>
                <w:position w:val="0"/>
                <w:sz w:val="24"/>
                <w:szCs w:val="32"/>
                <w:highlight w:val="none"/>
                <w:u w:val="none"/>
                <w:lang w:val="en-US" w:eastAsia="zh-CN"/>
              </w:rPr>
              <w:t>预算绩效管理整体水平提升。</w:t>
            </w:r>
          </w:p>
        </w:tc>
      </w:tr>
      <w:tr>
        <w:tblPrEx>
          <w:tblCellMar>
            <w:top w:w="0" w:type="dxa"/>
            <w:left w:w="108" w:type="dxa"/>
            <w:bottom w:w="0" w:type="dxa"/>
            <w:right w:w="108" w:type="dxa"/>
          </w:tblCellMar>
        </w:tblPrEx>
        <w:trPr>
          <w:trHeight w:val="2818" w:hRule="exact"/>
        </w:trPr>
        <w:tc>
          <w:tcPr>
            <w:tcW w:w="23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1572" w:lineRule="exact"/>
              <w:ind w:firstLine="240" w:firstLineChars="100"/>
              <w:rPr>
                <w:rFonts w:ascii="宋体" w:hAnsi="宋体" w:cs="宋体"/>
                <w:color w:val="000000"/>
                <w:spacing w:val="0"/>
                <w:position w:val="0"/>
                <w:sz w:val="24"/>
                <w:u w:val="none"/>
              </w:rPr>
            </w:pPr>
            <w:r>
              <w:rPr>
                <w:rFonts w:ascii="宋体" w:hAnsi="宋体" w:cs="宋体"/>
                <w:color w:val="000000"/>
                <w:spacing w:val="0"/>
                <w:position w:val="0"/>
                <w:sz w:val="24"/>
                <w:u w:val="none"/>
              </w:rPr>
              <w:t>举借政府债务</w:t>
            </w:r>
            <w:r>
              <w:rPr>
                <w:rFonts w:hint="eastAsia" w:ascii="宋体" w:hAnsi="宋体" w:cs="宋体"/>
                <w:color w:val="000000"/>
                <w:spacing w:val="0"/>
                <w:position w:val="0"/>
                <w:sz w:val="24"/>
                <w:u w:val="none"/>
                <w:lang w:eastAsia="zh-CN"/>
              </w:rPr>
              <w:t>情况</w:t>
            </w:r>
          </w:p>
        </w:tc>
        <w:tc>
          <w:tcPr>
            <w:tcW w:w="852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pacing w:val="0"/>
                <w:position w:val="0"/>
                <w:sz w:val="24"/>
                <w:szCs w:val="32"/>
                <w:u w:val="none"/>
                <w:lang w:eastAsia="zh-CN"/>
              </w:rPr>
            </w:pPr>
            <w:r>
              <w:rPr>
                <w:rFonts w:hint="eastAsia" w:ascii="方正仿宋_GBK" w:hAnsi="方正仿宋_GBK" w:eastAsia="方正仿宋_GBK" w:cs="方正仿宋_GBK"/>
                <w:color w:val="auto"/>
                <w:spacing w:val="0"/>
                <w:position w:val="0"/>
                <w:sz w:val="24"/>
                <w:szCs w:val="32"/>
                <w:u w:val="none"/>
                <w:lang w:eastAsia="zh-CN"/>
              </w:rPr>
              <w:t>经县人大常委会批准，县本级202</w:t>
            </w:r>
            <w:r>
              <w:rPr>
                <w:rFonts w:hint="eastAsia" w:ascii="方正仿宋_GBK" w:hAnsi="方正仿宋_GBK" w:eastAsia="方正仿宋_GBK" w:cs="方正仿宋_GBK"/>
                <w:color w:val="auto"/>
                <w:spacing w:val="0"/>
                <w:position w:val="0"/>
                <w:sz w:val="24"/>
                <w:szCs w:val="32"/>
                <w:u w:val="none"/>
                <w:lang w:val="en-US" w:eastAsia="zh-CN"/>
              </w:rPr>
              <w:t>1</w:t>
            </w:r>
            <w:r>
              <w:rPr>
                <w:rFonts w:hint="eastAsia" w:ascii="方正仿宋_GBK" w:hAnsi="方正仿宋_GBK" w:eastAsia="方正仿宋_GBK" w:cs="方正仿宋_GBK"/>
                <w:color w:val="auto"/>
                <w:spacing w:val="0"/>
                <w:position w:val="0"/>
                <w:sz w:val="24"/>
                <w:szCs w:val="32"/>
                <w:u w:val="none"/>
                <w:lang w:eastAsia="zh-CN"/>
              </w:rPr>
              <w:t>年地方政府债务限额</w:t>
            </w:r>
            <w:r>
              <w:rPr>
                <w:rFonts w:hint="eastAsia" w:ascii="方正仿宋_GBK" w:hAnsi="方正仿宋_GBK" w:eastAsia="方正仿宋_GBK" w:cs="方正仿宋_GBK"/>
                <w:color w:val="auto"/>
                <w:spacing w:val="0"/>
                <w:position w:val="0"/>
                <w:sz w:val="24"/>
                <w:szCs w:val="32"/>
                <w:u w:val="none"/>
                <w:lang w:val="en-US" w:eastAsia="zh-CN"/>
              </w:rPr>
              <w:t>29.47</w:t>
            </w:r>
            <w:r>
              <w:rPr>
                <w:rFonts w:hint="eastAsia" w:ascii="方正仿宋_GBK" w:hAnsi="方正仿宋_GBK" w:eastAsia="方正仿宋_GBK" w:cs="方正仿宋_GBK"/>
                <w:color w:val="auto"/>
                <w:spacing w:val="0"/>
                <w:position w:val="0"/>
                <w:sz w:val="24"/>
                <w:szCs w:val="32"/>
                <w:u w:val="none"/>
                <w:lang w:eastAsia="zh-CN"/>
              </w:rPr>
              <w:t>亿元，比20</w:t>
            </w:r>
            <w:r>
              <w:rPr>
                <w:rFonts w:hint="eastAsia" w:ascii="方正仿宋_GBK" w:hAnsi="方正仿宋_GBK" w:eastAsia="方正仿宋_GBK" w:cs="方正仿宋_GBK"/>
                <w:color w:val="auto"/>
                <w:spacing w:val="0"/>
                <w:position w:val="0"/>
                <w:sz w:val="24"/>
                <w:szCs w:val="32"/>
                <w:u w:val="none"/>
                <w:lang w:val="en-US" w:eastAsia="zh-CN"/>
              </w:rPr>
              <w:t>20</w:t>
            </w:r>
            <w:r>
              <w:rPr>
                <w:rFonts w:hint="eastAsia" w:ascii="方正仿宋_GBK" w:hAnsi="方正仿宋_GBK" w:eastAsia="方正仿宋_GBK" w:cs="方正仿宋_GBK"/>
                <w:color w:val="auto"/>
                <w:spacing w:val="0"/>
                <w:position w:val="0"/>
                <w:sz w:val="24"/>
                <w:szCs w:val="32"/>
                <w:u w:val="none"/>
                <w:lang w:eastAsia="zh-CN"/>
              </w:rPr>
              <w:t>年增加</w:t>
            </w:r>
            <w:r>
              <w:rPr>
                <w:rFonts w:hint="eastAsia" w:ascii="方正仿宋_GBK" w:hAnsi="方正仿宋_GBK" w:eastAsia="方正仿宋_GBK" w:cs="方正仿宋_GBK"/>
                <w:color w:val="auto"/>
                <w:spacing w:val="0"/>
                <w:position w:val="0"/>
                <w:sz w:val="24"/>
                <w:szCs w:val="32"/>
                <w:u w:val="none"/>
                <w:lang w:val="en-US" w:eastAsia="zh-CN"/>
              </w:rPr>
              <w:t>5.83</w:t>
            </w:r>
            <w:r>
              <w:rPr>
                <w:rFonts w:hint="eastAsia" w:ascii="方正仿宋_GBK" w:hAnsi="方正仿宋_GBK" w:eastAsia="方正仿宋_GBK" w:cs="方正仿宋_GBK"/>
                <w:color w:val="auto"/>
                <w:spacing w:val="0"/>
                <w:position w:val="0"/>
                <w:sz w:val="24"/>
                <w:szCs w:val="32"/>
                <w:u w:val="none"/>
                <w:lang w:eastAsia="zh-CN"/>
              </w:rPr>
              <w:t>亿元。202</w:t>
            </w:r>
            <w:r>
              <w:rPr>
                <w:rFonts w:hint="eastAsia" w:ascii="方正仿宋_GBK" w:hAnsi="方正仿宋_GBK" w:eastAsia="方正仿宋_GBK" w:cs="方正仿宋_GBK"/>
                <w:color w:val="auto"/>
                <w:spacing w:val="0"/>
                <w:position w:val="0"/>
                <w:sz w:val="24"/>
                <w:szCs w:val="32"/>
                <w:u w:val="none"/>
                <w:lang w:val="en-US" w:eastAsia="zh-CN"/>
              </w:rPr>
              <w:t>1</w:t>
            </w:r>
            <w:r>
              <w:rPr>
                <w:rFonts w:hint="eastAsia" w:ascii="方正仿宋_GBK" w:hAnsi="方正仿宋_GBK" w:eastAsia="方正仿宋_GBK" w:cs="方正仿宋_GBK"/>
                <w:color w:val="auto"/>
                <w:spacing w:val="0"/>
                <w:position w:val="0"/>
                <w:sz w:val="24"/>
                <w:szCs w:val="32"/>
                <w:u w:val="none"/>
                <w:lang w:eastAsia="zh-CN"/>
              </w:rPr>
              <w:t>年，全县共转贷地方政府债券</w:t>
            </w:r>
            <w:r>
              <w:rPr>
                <w:rFonts w:hint="eastAsia" w:ascii="方正仿宋_GBK" w:hAnsi="方正仿宋_GBK" w:eastAsia="方正仿宋_GBK" w:cs="方正仿宋_GBK"/>
                <w:color w:val="auto"/>
                <w:spacing w:val="0"/>
                <w:position w:val="0"/>
                <w:sz w:val="24"/>
                <w:szCs w:val="32"/>
                <w:u w:val="none"/>
                <w:lang w:val="en-US" w:eastAsia="zh-CN"/>
              </w:rPr>
              <w:t>6.66</w:t>
            </w:r>
            <w:r>
              <w:rPr>
                <w:rFonts w:hint="eastAsia" w:ascii="方正仿宋_GBK" w:hAnsi="方正仿宋_GBK" w:eastAsia="方正仿宋_GBK" w:cs="方正仿宋_GBK"/>
                <w:color w:val="auto"/>
                <w:spacing w:val="0"/>
                <w:position w:val="0"/>
                <w:sz w:val="24"/>
                <w:szCs w:val="32"/>
                <w:u w:val="none"/>
                <w:lang w:eastAsia="zh-CN"/>
              </w:rPr>
              <w:t>亿元，其中：新增专项债券</w:t>
            </w:r>
            <w:r>
              <w:rPr>
                <w:rFonts w:hint="eastAsia" w:ascii="方正仿宋_GBK" w:hAnsi="方正仿宋_GBK" w:eastAsia="方正仿宋_GBK" w:cs="方正仿宋_GBK"/>
                <w:color w:val="auto"/>
                <w:spacing w:val="0"/>
                <w:position w:val="0"/>
                <w:sz w:val="24"/>
                <w:szCs w:val="32"/>
                <w:u w:val="none"/>
                <w:lang w:val="en-US" w:eastAsia="zh-CN"/>
              </w:rPr>
              <w:t>5.83</w:t>
            </w:r>
            <w:r>
              <w:rPr>
                <w:rFonts w:hint="eastAsia" w:ascii="方正仿宋_GBK" w:hAnsi="方正仿宋_GBK" w:eastAsia="方正仿宋_GBK" w:cs="方正仿宋_GBK"/>
                <w:color w:val="auto"/>
                <w:spacing w:val="0"/>
                <w:position w:val="0"/>
                <w:sz w:val="24"/>
                <w:szCs w:val="32"/>
                <w:u w:val="none"/>
                <w:lang w:eastAsia="zh-CN"/>
              </w:rPr>
              <w:t>亿元，再融资债券</w:t>
            </w:r>
            <w:r>
              <w:rPr>
                <w:rFonts w:hint="eastAsia" w:ascii="方正仿宋_GBK" w:hAnsi="方正仿宋_GBK" w:eastAsia="方正仿宋_GBK" w:cs="方正仿宋_GBK"/>
                <w:color w:val="auto"/>
                <w:spacing w:val="0"/>
                <w:position w:val="0"/>
                <w:sz w:val="24"/>
                <w:szCs w:val="32"/>
                <w:u w:val="none"/>
                <w:lang w:val="en-US" w:eastAsia="zh-CN"/>
              </w:rPr>
              <w:t>0.83</w:t>
            </w:r>
            <w:r>
              <w:rPr>
                <w:rFonts w:hint="eastAsia" w:ascii="方正仿宋_GBK" w:hAnsi="方正仿宋_GBK" w:eastAsia="方正仿宋_GBK" w:cs="方正仿宋_GBK"/>
                <w:color w:val="auto"/>
                <w:spacing w:val="0"/>
                <w:position w:val="0"/>
                <w:sz w:val="24"/>
                <w:szCs w:val="32"/>
                <w:u w:val="none"/>
                <w:lang w:eastAsia="zh-CN"/>
              </w:rPr>
              <w:t>亿元。新增债券资金主要用于卫生、产业园区、现代农业示范项目等重点领域。盈江县202</w:t>
            </w:r>
            <w:r>
              <w:rPr>
                <w:rFonts w:hint="eastAsia" w:ascii="方正仿宋_GBK" w:hAnsi="方正仿宋_GBK" w:eastAsia="方正仿宋_GBK" w:cs="方正仿宋_GBK"/>
                <w:color w:val="auto"/>
                <w:spacing w:val="0"/>
                <w:position w:val="0"/>
                <w:sz w:val="24"/>
                <w:szCs w:val="32"/>
                <w:u w:val="none"/>
                <w:lang w:val="en-US" w:eastAsia="zh-CN"/>
              </w:rPr>
              <w:t>1</w:t>
            </w:r>
            <w:r>
              <w:rPr>
                <w:rFonts w:hint="eastAsia" w:ascii="方正仿宋_GBK" w:hAnsi="方正仿宋_GBK" w:eastAsia="方正仿宋_GBK" w:cs="方正仿宋_GBK"/>
                <w:color w:val="auto"/>
                <w:spacing w:val="0"/>
                <w:position w:val="0"/>
                <w:sz w:val="24"/>
                <w:szCs w:val="32"/>
                <w:u w:val="none"/>
                <w:lang w:eastAsia="zh-CN"/>
              </w:rPr>
              <w:t>年末政府债务余额</w:t>
            </w:r>
            <w:r>
              <w:rPr>
                <w:rFonts w:hint="eastAsia" w:ascii="方正仿宋_GBK" w:hAnsi="方正仿宋_GBK" w:eastAsia="方正仿宋_GBK" w:cs="方正仿宋_GBK"/>
                <w:color w:val="auto"/>
                <w:spacing w:val="0"/>
                <w:position w:val="0"/>
                <w:sz w:val="24"/>
                <w:szCs w:val="32"/>
                <w:u w:val="none"/>
                <w:lang w:val="en-US" w:eastAsia="zh-CN"/>
              </w:rPr>
              <w:t>26.24</w:t>
            </w:r>
            <w:r>
              <w:rPr>
                <w:rFonts w:hint="eastAsia" w:ascii="方正仿宋_GBK" w:hAnsi="方正仿宋_GBK" w:eastAsia="方正仿宋_GBK" w:cs="方正仿宋_GBK"/>
                <w:color w:val="auto"/>
                <w:spacing w:val="0"/>
                <w:position w:val="0"/>
                <w:sz w:val="24"/>
                <w:szCs w:val="32"/>
                <w:u w:val="none"/>
                <w:lang w:eastAsia="zh-CN"/>
              </w:rPr>
              <w:t>亿元，低于限额</w:t>
            </w:r>
            <w:r>
              <w:rPr>
                <w:rFonts w:hint="eastAsia" w:ascii="方正仿宋_GBK" w:hAnsi="方正仿宋_GBK" w:eastAsia="方正仿宋_GBK" w:cs="方正仿宋_GBK"/>
                <w:color w:val="auto"/>
                <w:spacing w:val="0"/>
                <w:position w:val="0"/>
                <w:sz w:val="24"/>
                <w:szCs w:val="32"/>
                <w:u w:val="none"/>
                <w:lang w:val="en-US" w:eastAsia="zh-CN"/>
              </w:rPr>
              <w:t>的3.23</w:t>
            </w:r>
            <w:bookmarkStart w:id="0" w:name="_GoBack"/>
            <w:bookmarkEnd w:id="0"/>
            <w:r>
              <w:rPr>
                <w:rFonts w:hint="eastAsia" w:ascii="方正仿宋_GBK" w:hAnsi="方正仿宋_GBK" w:eastAsia="方正仿宋_GBK" w:cs="方正仿宋_GBK"/>
                <w:color w:val="auto"/>
                <w:spacing w:val="0"/>
                <w:position w:val="0"/>
                <w:sz w:val="24"/>
                <w:szCs w:val="32"/>
                <w:u w:val="none"/>
                <w:lang w:eastAsia="zh-CN"/>
              </w:rPr>
              <w:t>亿元，政府债务余额均控制在法定限额内。</w:t>
            </w:r>
          </w:p>
          <w:p>
            <w:pPr>
              <w:spacing w:before="0" w:after="0" w:line="293" w:lineRule="exact"/>
              <w:ind w:firstLine="420" w:firstLineChars="200"/>
            </w:pPr>
          </w:p>
        </w:tc>
      </w:tr>
    </w:tbl>
    <w:p>
      <w:pPr>
        <w:spacing w:before="0" w:after="0" w:line="519" w:lineRule="exact"/>
        <w:jc w:val="left"/>
        <w:rPr>
          <w:rFonts w:hint="eastAsia" w:ascii="方正小标宋简体" w:hAnsi="方正小标宋简体" w:eastAsia="方正小标宋简体" w:cs="方正小标宋简体"/>
          <w:b/>
          <w:bCs/>
          <w:color w:val="000000"/>
          <w:spacing w:val="0"/>
          <w:position w:val="0"/>
          <w:sz w:val="36"/>
          <w:u w:val="none"/>
        </w:rPr>
      </w:pPr>
    </w:p>
    <w:sectPr>
      <w:type w:val="continuous"/>
      <w:pgSz w:w="11905" w:h="16838"/>
      <w:pgMar w:top="0" w:right="0" w:bottom="0" w:left="0" w:header="0"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25E2F"/>
    <w:rsid w:val="007F1C1F"/>
    <w:rsid w:val="02132FF4"/>
    <w:rsid w:val="04187C89"/>
    <w:rsid w:val="0EE10A62"/>
    <w:rsid w:val="117A2164"/>
    <w:rsid w:val="14057559"/>
    <w:rsid w:val="141D1C1C"/>
    <w:rsid w:val="16F8599B"/>
    <w:rsid w:val="215E7D4D"/>
    <w:rsid w:val="24424409"/>
    <w:rsid w:val="2744137B"/>
    <w:rsid w:val="2DF235EE"/>
    <w:rsid w:val="33036BC5"/>
    <w:rsid w:val="35FA7EA7"/>
    <w:rsid w:val="3EFE44F1"/>
    <w:rsid w:val="41724865"/>
    <w:rsid w:val="445E6A07"/>
    <w:rsid w:val="45EC5D0D"/>
    <w:rsid w:val="47E07EFE"/>
    <w:rsid w:val="4F5202FD"/>
    <w:rsid w:val="4FC119FD"/>
    <w:rsid w:val="5338034C"/>
    <w:rsid w:val="53E644AE"/>
    <w:rsid w:val="547040C3"/>
    <w:rsid w:val="5C3D4FAC"/>
    <w:rsid w:val="5CA316E8"/>
    <w:rsid w:val="65C534AB"/>
    <w:rsid w:val="664F743B"/>
    <w:rsid w:val="6EB95FEE"/>
    <w:rsid w:val="6FA11AE9"/>
    <w:rsid w:val="7389703E"/>
    <w:rsid w:val="76CF22BD"/>
    <w:rsid w:val="7B135AD8"/>
    <w:rsid w:val="7F283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0" w:type="dxa"/>
        <w:bottom w:w="0" w:type="dxa"/>
        <w:right w:w="0" w:type="dxa"/>
      </w:tblCellMar>
    </w:tblPr>
  </w:style>
  <w:style w:type="paragraph" w:styleId="2">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unhideWhenUsed/>
    <w:qFormat/>
    <w:uiPriority w:val="99"/>
    <w:rPr>
      <w:color w:val="0000FF"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
        <a:font script="Hang" typeface="맑은 고딕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0</Pages>
  <Words>0</Words>
  <Characters>0</Characters>
  <Lines>0</Lines>
  <Paragraphs>0</Paragraphs>
  <TotalTime>12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2020-08-31T06:48:00Z</dcterms:created>
  <dc:creator>jxpjk</dc:creator>
  <cp:lastModifiedBy>lenovo</cp:lastModifiedBy>
  <cp:lastPrinted>2020-08-31T09:56:00Z</cp:lastPrinted>
  <dcterms:modified xsi:type="dcterms:W3CDTF">2022-10-10T03:18:20Z</dcterms:modified>
  <dc:title>重点工作</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