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19" w:lineRule="exact"/>
        <w:ind w:firstLine="2891" w:firstLineChars="800"/>
        <w:jc w:val="left"/>
        <w:rPr>
          <w:rFonts w:hint="eastAsia" w:ascii="方正小标宋简体" w:hAnsi="方正小标宋简体" w:eastAsia="方正小标宋简体" w:cs="方正小标宋简体"/>
          <w:b/>
          <w:bCs/>
          <w:color w:val="000000"/>
          <w:spacing w:val="0"/>
          <w:position w:val="0"/>
          <w:sz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outlineLvl w:val="9"/>
        <w:rPr>
          <w:rFonts w:hint="eastAsia" w:ascii="宋体" w:hAnsi="宋体" w:cs="宋体"/>
          <w:color w:val="000000"/>
          <w:spacing w:val="0"/>
          <w:position w:val="0"/>
          <w:sz w:val="24"/>
          <w:u w:val="none"/>
          <w:lang w:eastAsia="zh-CN"/>
        </w:rPr>
      </w:pPr>
      <w:r>
        <w:rPr>
          <w:rFonts w:hint="eastAsia" w:ascii="方正小标宋简体" w:hAnsi="方正小标宋简体" w:eastAsia="方正小标宋简体" w:cs="方正小标宋简体"/>
          <w:b/>
          <w:bCs/>
          <w:color w:val="000000"/>
          <w:spacing w:val="0"/>
          <w:position w:val="0"/>
          <w:sz w:val="36"/>
          <w:u w:val="none"/>
          <w:lang w:val="en-US" w:eastAsia="zh-CN"/>
        </w:rPr>
        <w:t>2022年</w:t>
      </w:r>
      <w:r>
        <w:rPr>
          <w:rFonts w:hint="eastAsia" w:ascii="方正小标宋简体" w:hAnsi="方正小标宋简体" w:eastAsia="方正小标宋简体" w:cs="方正小标宋简体"/>
          <w:b/>
          <w:bCs/>
          <w:color w:val="000000"/>
          <w:spacing w:val="0"/>
          <w:position w:val="0"/>
          <w:sz w:val="36"/>
          <w:u w:val="none"/>
        </w:rPr>
        <w:t>重点工作情况解释说明汇总表</w:t>
      </w:r>
    </w:p>
    <w:tbl>
      <w:tblPr>
        <w:tblStyle w:val="3"/>
        <w:tblpPr w:leftFromText="180" w:rightFromText="180" w:vertAnchor="page" w:horzAnchor="page" w:tblpX="539" w:tblpY="1723"/>
        <w:tblW w:w="10881" w:type="dxa"/>
        <w:tblInd w:w="0" w:type="dxa"/>
        <w:tblLayout w:type="fixed"/>
        <w:tblCellMar>
          <w:top w:w="0" w:type="dxa"/>
          <w:left w:w="108" w:type="dxa"/>
          <w:bottom w:w="0" w:type="dxa"/>
          <w:right w:w="108" w:type="dxa"/>
        </w:tblCellMar>
      </w:tblPr>
      <w:tblGrid>
        <w:gridCol w:w="2360"/>
        <w:gridCol w:w="8521"/>
      </w:tblGrid>
      <w:tr>
        <w:tblPrEx>
          <w:tblCellMar>
            <w:top w:w="0" w:type="dxa"/>
            <w:left w:w="108" w:type="dxa"/>
            <w:bottom w:w="0" w:type="dxa"/>
            <w:right w:w="108" w:type="dxa"/>
          </w:tblCellMar>
        </w:tblPrEx>
        <w:trPr>
          <w:trHeight w:val="487"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重点工作</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20</w:t>
            </w:r>
            <w:r>
              <w:rPr>
                <w:rFonts w:hint="eastAsia" w:ascii="宋体" w:hAnsi="宋体" w:cs="宋体"/>
                <w:color w:val="000000"/>
                <w:spacing w:val="0"/>
                <w:position w:val="0"/>
                <w:sz w:val="24"/>
                <w:u w:val="none"/>
                <w:lang w:val="en-US" w:eastAsia="zh-CN"/>
              </w:rPr>
              <w:t>22</w:t>
            </w:r>
            <w:r>
              <w:rPr>
                <w:rFonts w:hint="eastAsia" w:ascii="宋体" w:hAnsi="宋体" w:cs="宋体"/>
                <w:color w:val="000000"/>
                <w:spacing w:val="0"/>
                <w:position w:val="0"/>
                <w:sz w:val="24"/>
                <w:u w:val="none"/>
                <w:lang w:eastAsia="zh-CN"/>
              </w:rPr>
              <w:t>年工作重点及工作情况</w:t>
            </w:r>
          </w:p>
        </w:tc>
      </w:tr>
      <w:tr>
        <w:tblPrEx>
          <w:tblCellMar>
            <w:top w:w="0" w:type="dxa"/>
            <w:left w:w="108" w:type="dxa"/>
            <w:bottom w:w="0" w:type="dxa"/>
            <w:right w:w="108" w:type="dxa"/>
          </w:tblCellMar>
        </w:tblPrEx>
        <w:trPr>
          <w:trHeight w:val="2978"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转移支付安排情况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r>
              <w:rPr>
                <w:rFonts w:hint="default" w:ascii="方正仿宋_GBK" w:hAnsi="方正仿宋_GBK" w:eastAsia="方正仿宋_GBK" w:cs="方正仿宋_GBK"/>
                <w:color w:val="000000"/>
                <w:spacing w:val="0"/>
                <w:position w:val="0"/>
                <w:sz w:val="24"/>
                <w:szCs w:val="32"/>
                <w:highlight w:val="none"/>
                <w:u w:val="none"/>
                <w:lang w:val="en-US" w:eastAsia="zh-CN"/>
              </w:rPr>
              <w:t>202</w:t>
            </w:r>
            <w:r>
              <w:rPr>
                <w:rFonts w:hint="eastAsia" w:ascii="方正仿宋_GBK" w:hAnsi="方正仿宋_GBK" w:eastAsia="方正仿宋_GBK" w:cs="方正仿宋_GBK"/>
                <w:color w:val="000000"/>
                <w:spacing w:val="0"/>
                <w:position w:val="0"/>
                <w:sz w:val="24"/>
                <w:szCs w:val="32"/>
                <w:highlight w:val="none"/>
                <w:u w:val="none"/>
                <w:lang w:val="en-US" w:eastAsia="zh-CN"/>
              </w:rPr>
              <w:t>2年，盈江县财政共收到州级补助资金284221万元。其中：一般性转移支付215407万元，增长2.37</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，占转移支付比重75.79</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；专项转移支付62437万元，增长87.41</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，占转移支付比重</w:t>
            </w:r>
            <w:r>
              <w:rPr>
                <w:rFonts w:hint="eastAsia" w:ascii="方正仿宋_GBK" w:hAnsi="方正仿宋_GBK" w:eastAsia="方正仿宋_GBK" w:cs="方正仿宋_GBK"/>
                <w:color w:val="000000" w:themeColor="text1"/>
                <w:spacing w:val="0"/>
                <w:position w:val="0"/>
                <w:sz w:val="24"/>
                <w:szCs w:val="32"/>
                <w:highlight w:val="none"/>
                <w:u w:val="none"/>
                <w:lang w:val="en-US" w:eastAsia="zh-CN"/>
                <w14:textFill>
                  <w14:solidFill>
                    <w14:schemeClr w14:val="tx1"/>
                  </w14:solidFill>
                </w14:textFill>
              </w:rPr>
              <w:t>21.97%</w:t>
            </w:r>
            <w:r>
              <w:rPr>
                <w:rFonts w:hint="eastAsia" w:ascii="方正仿宋_GBK" w:hAnsi="方正仿宋_GBK" w:eastAsia="方正仿宋_GBK" w:cs="方正仿宋_GBK"/>
                <w:color w:val="000000"/>
                <w:spacing w:val="0"/>
                <w:position w:val="0"/>
                <w:sz w:val="24"/>
                <w:szCs w:val="32"/>
                <w:highlight w:val="none"/>
                <w:u w:val="none"/>
                <w:lang w:val="en-US" w:eastAsia="zh-CN"/>
              </w:rPr>
              <w:t>。一般性转移支付中，均衡性转移支付35922万元，增长0.5</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；县级基本财力保障机制奖补资金13024万元，增长</w:t>
            </w:r>
            <w:r>
              <w:rPr>
                <w:rFonts w:hint="eastAsia" w:ascii="方正仿宋_GBK" w:hAnsi="方正仿宋_GBK" w:eastAsia="方正仿宋_GBK" w:cs="方正仿宋_GBK"/>
                <w:color w:val="000000" w:themeColor="text1"/>
                <w:spacing w:val="0"/>
                <w:position w:val="0"/>
                <w:sz w:val="24"/>
                <w:szCs w:val="32"/>
                <w:highlight w:val="none"/>
                <w:u w:val="none"/>
                <w:lang w:val="en-US" w:eastAsia="zh-CN"/>
                <w14:textFill>
                  <w14:solidFill>
                    <w14:schemeClr w14:val="tx1"/>
                  </w14:solidFill>
                </w14:textFill>
              </w:rPr>
              <w:t>26.41%；</w:t>
            </w:r>
            <w:r>
              <w:rPr>
                <w:rFonts w:hint="eastAsia" w:ascii="方正仿宋_GBK" w:hAnsi="方正仿宋_GBK" w:eastAsia="方正仿宋_GBK" w:cs="方正仿宋_GBK"/>
                <w:color w:val="000000"/>
                <w:spacing w:val="0"/>
                <w:position w:val="0"/>
                <w:sz w:val="24"/>
                <w:szCs w:val="32"/>
                <w:highlight w:val="none"/>
                <w:u w:val="none"/>
                <w:lang w:val="en-US" w:eastAsia="zh-CN"/>
              </w:rPr>
              <w:t>民族地区转移支付5864万元，增长58.96</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；边境地区转移支付22374万元，下降2.47</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；共同事权转移支付68398万元，下降6.94</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p>
        </w:tc>
      </w:tr>
      <w:tr>
        <w:tblPrEx>
          <w:tblCellMar>
            <w:top w:w="0" w:type="dxa"/>
            <w:left w:w="108" w:type="dxa"/>
            <w:bottom w:w="0" w:type="dxa"/>
            <w:right w:w="108" w:type="dxa"/>
          </w:tblCellMar>
        </w:tblPrEx>
        <w:trPr>
          <w:trHeight w:val="7175"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sz w:val="24"/>
              </w:rPr>
            </w:pPr>
            <w:r>
              <w:rPr>
                <w:rFonts w:hint="eastAsia" w:ascii="宋体" w:hAnsi="宋体" w:eastAsia="宋体"/>
                <w:sz w:val="24"/>
              </w:rPr>
              <w:t>预算绩效工作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eastAsia="宋体"/>
                <w:sz w:val="24"/>
              </w:rPr>
              <w:t>开展情况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cs="宋体"/>
                <w:color w:val="000000"/>
                <w:spacing w:val="0"/>
                <w:position w:val="0"/>
                <w:sz w:val="24"/>
                <w:u w:val="none"/>
                <w:lang w:eastAsia="zh-CN"/>
              </w:rPr>
            </w:pPr>
            <w:r>
              <w:rPr>
                <w:rFonts w:hint="default" w:ascii="方正仿宋_GBK" w:hAnsi="方正仿宋_GBK" w:eastAsia="方正仿宋_GBK" w:cs="方正仿宋_GBK"/>
                <w:color w:val="000000"/>
                <w:spacing w:val="0"/>
                <w:position w:val="0"/>
                <w:sz w:val="24"/>
                <w:szCs w:val="32"/>
                <w:highlight w:val="none"/>
                <w:u w:val="none"/>
                <w:lang w:val="en-US" w:eastAsia="zh-CN"/>
              </w:rPr>
              <w:t>一是</w:t>
            </w:r>
            <w:r>
              <w:rPr>
                <w:rFonts w:hint="eastAsia" w:ascii="方正仿宋_GBK" w:hAnsi="方正仿宋_GBK" w:eastAsia="方正仿宋_GBK" w:cs="方正仿宋_GBK"/>
                <w:color w:val="000000"/>
                <w:spacing w:val="0"/>
                <w:position w:val="0"/>
                <w:sz w:val="24"/>
                <w:szCs w:val="32"/>
                <w:highlight w:val="none"/>
                <w:u w:val="none"/>
                <w:lang w:val="en-US" w:eastAsia="zh-CN"/>
              </w:rPr>
              <w:t>根据</w:t>
            </w:r>
            <w:r>
              <w:rPr>
                <w:rFonts w:hint="default" w:ascii="方正仿宋_GBK" w:hAnsi="方正仿宋_GBK" w:eastAsia="方正仿宋_GBK" w:cs="方正仿宋_GBK"/>
                <w:color w:val="000000"/>
                <w:spacing w:val="0"/>
                <w:position w:val="0"/>
                <w:sz w:val="24"/>
                <w:szCs w:val="32"/>
                <w:highlight w:val="none"/>
                <w:u w:val="none"/>
                <w:lang w:val="en-US" w:eastAsia="zh-CN"/>
              </w:rPr>
              <w:t>《盈江县财政局关于</w:t>
            </w:r>
            <w:r>
              <w:rPr>
                <w:rFonts w:hint="eastAsia" w:ascii="方正仿宋_GBK" w:hAnsi="方正仿宋_GBK" w:eastAsia="方正仿宋_GBK" w:cs="方正仿宋_GBK"/>
                <w:color w:val="000000"/>
                <w:spacing w:val="0"/>
                <w:position w:val="0"/>
                <w:sz w:val="24"/>
                <w:szCs w:val="32"/>
                <w:highlight w:val="none"/>
                <w:u w:val="none"/>
                <w:lang w:val="en-US" w:eastAsia="zh-CN"/>
              </w:rPr>
              <w:t>完善县级事前预算绩效评估机制的意见</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盈财发〔2022〕199号）文件要求，对1个重大项目开展事前绩效评估，并将评估结果直接应用于2023年度预算安排。二是指导各预算单位编制年初绩效目标，并对相关业务人员进行业务培训，进一步提升预算单位绩效目标编制质量。三是根据开展绩效自评的通知要求，积极组织全县70家单位开展部门整体支出绩效自评、项目绩效自评。四是2022年对6个重点项目以及1个部门整体支出项目进行绩效评价。</w:t>
            </w:r>
            <w:r>
              <w:rPr>
                <w:rFonts w:hint="default" w:ascii="方正仿宋_GBK" w:hAnsi="方正仿宋_GBK" w:eastAsia="方正仿宋_GBK" w:cs="方正仿宋_GBK"/>
                <w:color w:val="000000"/>
                <w:spacing w:val="0"/>
                <w:position w:val="0"/>
                <w:sz w:val="24"/>
                <w:szCs w:val="32"/>
                <w:highlight w:val="none"/>
                <w:u w:val="none"/>
                <w:lang w:val="en-US" w:eastAsia="zh-CN"/>
              </w:rPr>
              <w:t>根据绩效评价结果，</w:t>
            </w:r>
            <w:r>
              <w:rPr>
                <w:rFonts w:hint="eastAsia" w:ascii="方正仿宋_GBK" w:hAnsi="方正仿宋_GBK" w:eastAsia="方正仿宋_GBK" w:cs="方正仿宋_GBK"/>
                <w:color w:val="000000"/>
                <w:spacing w:val="0"/>
                <w:position w:val="0"/>
                <w:sz w:val="24"/>
                <w:szCs w:val="32"/>
                <w:highlight w:val="none"/>
                <w:u w:val="none"/>
                <w:lang w:val="en-US" w:eastAsia="zh-CN"/>
              </w:rPr>
              <w:t>6</w:t>
            </w:r>
            <w:r>
              <w:rPr>
                <w:rFonts w:hint="default" w:ascii="方正仿宋_GBK" w:hAnsi="方正仿宋_GBK" w:eastAsia="方正仿宋_GBK" w:cs="方正仿宋_GBK"/>
                <w:color w:val="000000"/>
                <w:spacing w:val="0"/>
                <w:position w:val="0"/>
                <w:sz w:val="24"/>
                <w:szCs w:val="32"/>
                <w:highlight w:val="none"/>
                <w:u w:val="none"/>
                <w:lang w:val="en-US" w:eastAsia="zh-CN"/>
              </w:rPr>
              <w:t>个重点项目评价结果</w:t>
            </w:r>
            <w:r>
              <w:rPr>
                <w:rFonts w:hint="eastAsia" w:ascii="方正仿宋_GBK" w:hAnsi="方正仿宋_GBK" w:eastAsia="方正仿宋_GBK" w:cs="方正仿宋_GBK"/>
                <w:color w:val="000000"/>
                <w:spacing w:val="0"/>
                <w:position w:val="0"/>
                <w:sz w:val="24"/>
                <w:szCs w:val="32"/>
                <w:highlight w:val="none"/>
                <w:u w:val="none"/>
                <w:lang w:val="en-US" w:eastAsia="zh-CN"/>
              </w:rPr>
              <w:t>均</w:t>
            </w:r>
            <w:r>
              <w:rPr>
                <w:rFonts w:hint="default" w:ascii="方正仿宋_GBK" w:hAnsi="方正仿宋_GBK" w:eastAsia="方正仿宋_GBK" w:cs="方正仿宋_GBK"/>
                <w:color w:val="000000"/>
                <w:spacing w:val="0"/>
                <w:position w:val="0"/>
                <w:sz w:val="24"/>
                <w:szCs w:val="32"/>
                <w:highlight w:val="none"/>
                <w:u w:val="none"/>
                <w:lang w:val="en-US" w:eastAsia="zh-CN"/>
              </w:rPr>
              <w:t>为</w:t>
            </w:r>
            <w:r>
              <w:rPr>
                <w:rFonts w:hint="eastAsia" w:ascii="方正仿宋_GBK" w:hAnsi="方正仿宋_GBK" w:eastAsia="方正仿宋_GBK" w:cs="方正仿宋_GBK"/>
                <w:color w:val="000000"/>
                <w:spacing w:val="0"/>
                <w:position w:val="0"/>
                <w:sz w:val="24"/>
                <w:szCs w:val="32"/>
                <w:highlight w:val="none"/>
                <w:u w:val="none"/>
                <w:lang w:val="en-US" w:eastAsia="zh-CN"/>
              </w:rPr>
              <w:t>两个“优”、三个“良”、一个</w:t>
            </w:r>
            <w:r>
              <w:rPr>
                <w:rFonts w:hint="default" w:ascii="方正仿宋_GBK" w:hAnsi="方正仿宋_GBK" w:eastAsia="方正仿宋_GBK" w:cs="方正仿宋_GBK"/>
                <w:color w:val="000000"/>
                <w:spacing w:val="0"/>
                <w:position w:val="0"/>
                <w:sz w:val="24"/>
                <w:szCs w:val="32"/>
                <w:highlight w:val="none"/>
                <w:u w:val="none"/>
                <w:lang w:val="en-US" w:eastAsia="zh-CN"/>
              </w:rPr>
              <w:t>“中”</w:t>
            </w:r>
            <w:r>
              <w:rPr>
                <w:rFonts w:hint="eastAsia" w:ascii="方正仿宋_GBK" w:hAnsi="方正仿宋_GBK" w:eastAsia="方正仿宋_GBK" w:cs="方正仿宋_GBK"/>
                <w:color w:val="000000"/>
                <w:spacing w:val="0"/>
                <w:position w:val="0"/>
                <w:sz w:val="24"/>
                <w:szCs w:val="32"/>
                <w:highlight w:val="none"/>
                <w:u w:val="none"/>
                <w:lang w:val="en-US" w:eastAsia="zh-CN"/>
              </w:rPr>
              <w:t>，部门整体支出项目为“良”</w:t>
            </w:r>
            <w:r>
              <w:rPr>
                <w:rFonts w:hint="default" w:ascii="方正仿宋_GBK" w:hAnsi="方正仿宋_GBK" w:eastAsia="方正仿宋_GBK" w:cs="方正仿宋_GBK"/>
                <w:color w:val="000000"/>
                <w:spacing w:val="0"/>
                <w:position w:val="0"/>
                <w:sz w:val="24"/>
                <w:szCs w:val="32"/>
                <w:highlight w:val="none"/>
                <w:u w:val="none"/>
                <w:lang w:val="en-US" w:eastAsia="zh-CN"/>
              </w:rPr>
              <w:t>；将评价结果反馈相关单位，督促其针对资金管理使用过程中存在的薄弱环节和问题进行整改完善，以促进资金质效提升</w:t>
            </w:r>
            <w:r>
              <w:rPr>
                <w:rFonts w:hint="eastAsia" w:ascii="方正仿宋_GBK" w:hAnsi="方正仿宋_GBK" w:eastAsia="方正仿宋_GBK" w:cs="方正仿宋_GBK"/>
                <w:color w:val="000000"/>
                <w:spacing w:val="0"/>
                <w:position w:val="0"/>
                <w:sz w:val="24"/>
                <w:szCs w:val="32"/>
                <w:highlight w:val="none"/>
                <w:u w:val="none"/>
                <w:lang w:val="en-US" w:eastAsia="zh-CN"/>
              </w:rPr>
              <w:t>。</w:t>
            </w:r>
            <w:bookmarkStart w:id="0" w:name="_GoBack"/>
            <w:bookmarkEnd w:id="0"/>
            <w:r>
              <w:rPr>
                <w:rFonts w:hint="eastAsia" w:ascii="方正仿宋_GBK" w:hAnsi="方正仿宋_GBK" w:eastAsia="方正仿宋_GBK" w:cs="方正仿宋_GBK"/>
                <w:color w:val="000000"/>
                <w:spacing w:val="0"/>
                <w:position w:val="0"/>
                <w:sz w:val="24"/>
                <w:szCs w:val="32"/>
                <w:highlight w:val="none"/>
                <w:u w:val="none"/>
                <w:lang w:val="en-US" w:eastAsia="zh-CN"/>
              </w:rPr>
              <w:t>五</w:t>
            </w:r>
            <w:r>
              <w:rPr>
                <w:rFonts w:hint="default" w:ascii="方正仿宋_GBK" w:hAnsi="方正仿宋_GBK" w:eastAsia="方正仿宋_GBK" w:cs="方正仿宋_GBK"/>
                <w:color w:val="000000"/>
                <w:spacing w:val="0"/>
                <w:position w:val="0"/>
                <w:sz w:val="24"/>
                <w:szCs w:val="32"/>
                <w:highlight w:val="none"/>
                <w:u w:val="none"/>
                <w:lang w:val="en-US" w:eastAsia="zh-CN"/>
              </w:rPr>
              <w:t>是严格考核，压实绩效管理工作主体责任。认真组织开展202</w:t>
            </w:r>
            <w:r>
              <w:rPr>
                <w:rFonts w:hint="eastAsia" w:ascii="方正仿宋_GBK" w:hAnsi="方正仿宋_GBK" w:eastAsia="方正仿宋_GBK" w:cs="方正仿宋_GBK"/>
                <w:color w:val="000000"/>
                <w:spacing w:val="0"/>
                <w:position w:val="0"/>
                <w:sz w:val="24"/>
                <w:szCs w:val="32"/>
                <w:highlight w:val="none"/>
                <w:u w:val="none"/>
                <w:lang w:val="en-US" w:eastAsia="zh-CN"/>
              </w:rPr>
              <w:t>2</w:t>
            </w:r>
            <w:r>
              <w:rPr>
                <w:rFonts w:hint="default" w:ascii="方正仿宋_GBK" w:hAnsi="方正仿宋_GBK" w:eastAsia="方正仿宋_GBK" w:cs="方正仿宋_GBK"/>
                <w:color w:val="000000"/>
                <w:spacing w:val="0"/>
                <w:position w:val="0"/>
                <w:sz w:val="24"/>
                <w:szCs w:val="32"/>
                <w:highlight w:val="none"/>
                <w:u w:val="none"/>
                <w:lang w:val="en-US" w:eastAsia="zh-CN"/>
              </w:rPr>
              <w:t>年度预算绩效管理考核工作，严格对照《预算绩效管理考核细则》，结合自评情况及佐证材料，对</w:t>
            </w:r>
            <w:r>
              <w:rPr>
                <w:rFonts w:hint="eastAsia" w:ascii="方正仿宋_GBK" w:hAnsi="方正仿宋_GBK" w:eastAsia="方正仿宋_GBK" w:cs="方正仿宋_GBK"/>
                <w:color w:val="000000"/>
                <w:spacing w:val="0"/>
                <w:position w:val="0"/>
                <w:sz w:val="24"/>
                <w:szCs w:val="32"/>
                <w:highlight w:val="none"/>
                <w:u w:val="none"/>
                <w:lang w:val="en-US" w:eastAsia="zh-CN"/>
              </w:rPr>
              <w:t>70</w:t>
            </w:r>
            <w:r>
              <w:rPr>
                <w:rFonts w:hint="default" w:ascii="方正仿宋_GBK" w:hAnsi="方正仿宋_GBK" w:eastAsia="方正仿宋_GBK" w:cs="方正仿宋_GBK"/>
                <w:color w:val="000000"/>
                <w:spacing w:val="0"/>
                <w:position w:val="0"/>
                <w:sz w:val="24"/>
                <w:szCs w:val="32"/>
                <w:highlight w:val="none"/>
                <w:u w:val="none"/>
                <w:lang w:val="en-US" w:eastAsia="zh-CN"/>
              </w:rPr>
              <w:t>家</w:t>
            </w:r>
            <w:r>
              <w:rPr>
                <w:rFonts w:hint="eastAsia" w:ascii="方正仿宋_GBK" w:hAnsi="方正仿宋_GBK" w:eastAsia="方正仿宋_GBK" w:cs="方正仿宋_GBK"/>
                <w:color w:val="000000"/>
                <w:spacing w:val="0"/>
                <w:position w:val="0"/>
                <w:sz w:val="24"/>
                <w:szCs w:val="32"/>
                <w:highlight w:val="none"/>
                <w:u w:val="none"/>
                <w:lang w:val="en-US" w:eastAsia="zh-CN"/>
              </w:rPr>
              <w:t>单位</w:t>
            </w:r>
            <w:r>
              <w:rPr>
                <w:rFonts w:hint="default" w:ascii="方正仿宋_GBK" w:hAnsi="方正仿宋_GBK" w:eastAsia="方正仿宋_GBK" w:cs="方正仿宋_GBK"/>
                <w:color w:val="000000"/>
                <w:spacing w:val="0"/>
                <w:position w:val="0"/>
                <w:sz w:val="24"/>
                <w:szCs w:val="32"/>
                <w:highlight w:val="none"/>
                <w:u w:val="none"/>
                <w:lang w:val="en-US" w:eastAsia="zh-CN"/>
              </w:rPr>
              <w:t>202</w:t>
            </w:r>
            <w:r>
              <w:rPr>
                <w:rFonts w:hint="eastAsia" w:ascii="方正仿宋_GBK" w:hAnsi="方正仿宋_GBK" w:eastAsia="方正仿宋_GBK" w:cs="方正仿宋_GBK"/>
                <w:color w:val="000000"/>
                <w:spacing w:val="0"/>
                <w:position w:val="0"/>
                <w:sz w:val="24"/>
                <w:szCs w:val="32"/>
                <w:highlight w:val="none"/>
                <w:u w:val="none"/>
                <w:lang w:val="en-US" w:eastAsia="zh-CN"/>
              </w:rPr>
              <w:t>2</w:t>
            </w:r>
            <w:r>
              <w:rPr>
                <w:rFonts w:hint="default" w:ascii="方正仿宋_GBK" w:hAnsi="方正仿宋_GBK" w:eastAsia="方正仿宋_GBK" w:cs="方正仿宋_GBK"/>
                <w:color w:val="000000"/>
                <w:spacing w:val="0"/>
                <w:position w:val="0"/>
                <w:sz w:val="24"/>
                <w:szCs w:val="32"/>
                <w:highlight w:val="none"/>
                <w:u w:val="none"/>
                <w:lang w:val="en-US" w:eastAsia="zh-CN"/>
              </w:rPr>
              <w:t>年绩效管理工作情况进行考核打分，并将考核结果</w:t>
            </w:r>
            <w:r>
              <w:rPr>
                <w:rFonts w:hint="eastAsia" w:ascii="方正仿宋_GBK" w:hAnsi="方正仿宋_GBK" w:eastAsia="方正仿宋_GBK" w:cs="方正仿宋_GBK"/>
                <w:color w:val="000000"/>
                <w:spacing w:val="0"/>
                <w:position w:val="0"/>
                <w:sz w:val="24"/>
                <w:szCs w:val="32"/>
                <w:highlight w:val="none"/>
                <w:u w:val="none"/>
                <w:lang w:val="en-US" w:eastAsia="zh-CN"/>
              </w:rPr>
              <w:t>上报县考评办</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eastAsia" w:ascii="方正仿宋_GBK" w:hAnsi="方正仿宋_GBK" w:eastAsia="方正仿宋_GBK" w:cs="方正仿宋_GBK"/>
                <w:color w:val="000000"/>
                <w:spacing w:val="0"/>
                <w:position w:val="0"/>
                <w:sz w:val="24"/>
                <w:szCs w:val="32"/>
                <w:highlight w:val="none"/>
                <w:u w:val="none"/>
                <w:lang w:val="en-US" w:eastAsia="zh-CN"/>
              </w:rPr>
              <w:t>全面提升</w:t>
            </w:r>
            <w:r>
              <w:rPr>
                <w:rFonts w:hint="default" w:ascii="方正仿宋_GBK" w:hAnsi="方正仿宋_GBK" w:eastAsia="方正仿宋_GBK" w:cs="方正仿宋_GBK"/>
                <w:color w:val="000000"/>
                <w:spacing w:val="0"/>
                <w:position w:val="0"/>
                <w:sz w:val="24"/>
                <w:szCs w:val="32"/>
                <w:highlight w:val="none"/>
                <w:u w:val="none"/>
                <w:lang w:val="en-US" w:eastAsia="zh-CN"/>
              </w:rPr>
              <w:t>全</w:t>
            </w:r>
            <w:r>
              <w:rPr>
                <w:rFonts w:hint="eastAsia" w:ascii="方正仿宋_GBK" w:hAnsi="方正仿宋_GBK" w:eastAsia="方正仿宋_GBK" w:cs="方正仿宋_GBK"/>
                <w:color w:val="000000"/>
                <w:spacing w:val="0"/>
                <w:position w:val="0"/>
                <w:sz w:val="24"/>
                <w:szCs w:val="32"/>
                <w:highlight w:val="none"/>
                <w:u w:val="none"/>
                <w:lang w:val="en-US" w:eastAsia="zh-CN"/>
              </w:rPr>
              <w:t>县</w:t>
            </w:r>
            <w:r>
              <w:rPr>
                <w:rFonts w:hint="default" w:ascii="方正仿宋_GBK" w:hAnsi="方正仿宋_GBK" w:eastAsia="方正仿宋_GBK" w:cs="方正仿宋_GBK"/>
                <w:color w:val="000000"/>
                <w:spacing w:val="0"/>
                <w:position w:val="0"/>
                <w:sz w:val="24"/>
                <w:szCs w:val="32"/>
                <w:highlight w:val="none"/>
                <w:u w:val="none"/>
                <w:lang w:val="en-US" w:eastAsia="zh-CN"/>
              </w:rPr>
              <w:t>预算绩效管理水平。</w:t>
            </w:r>
          </w:p>
        </w:tc>
      </w:tr>
      <w:tr>
        <w:tblPrEx>
          <w:tblCellMar>
            <w:top w:w="0" w:type="dxa"/>
            <w:left w:w="108" w:type="dxa"/>
            <w:bottom w:w="0" w:type="dxa"/>
            <w:right w:w="108" w:type="dxa"/>
          </w:tblCellMar>
        </w:tblPrEx>
        <w:trPr>
          <w:trHeight w:val="2818" w:hRule="exact"/>
        </w:trPr>
        <w:tc>
          <w:tcPr>
            <w:tcW w:w="23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1572" w:lineRule="exact"/>
              <w:ind w:firstLine="240" w:firstLineChars="100"/>
              <w:rPr>
                <w:rFonts w:ascii="宋体" w:hAnsi="宋体" w:cs="宋体"/>
                <w:color w:val="000000"/>
                <w:spacing w:val="0"/>
                <w:position w:val="0"/>
                <w:sz w:val="24"/>
                <w:u w:val="none"/>
              </w:rPr>
            </w:pPr>
            <w:r>
              <w:rPr>
                <w:rFonts w:ascii="宋体" w:hAnsi="宋体" w:cs="宋体"/>
                <w:color w:val="000000"/>
                <w:spacing w:val="0"/>
                <w:position w:val="0"/>
                <w:sz w:val="24"/>
                <w:u w:val="none"/>
              </w:rPr>
              <w:t>举借政府债务</w:t>
            </w:r>
            <w:r>
              <w:rPr>
                <w:rFonts w:hint="eastAsia" w:ascii="宋体" w:hAnsi="宋体" w:cs="宋体"/>
                <w:color w:val="000000"/>
                <w:spacing w:val="0"/>
                <w:position w:val="0"/>
                <w:sz w:val="24"/>
                <w:u w:val="none"/>
                <w:lang w:eastAsia="zh-CN"/>
              </w:rPr>
              <w:t>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pacing w:val="0"/>
                <w:position w:val="0"/>
                <w:sz w:val="24"/>
                <w:szCs w:val="32"/>
                <w:u w:val="none"/>
                <w:lang w:eastAsia="zh-CN"/>
              </w:rPr>
            </w:pPr>
            <w:r>
              <w:rPr>
                <w:rFonts w:hint="default" w:ascii="Times New Roman" w:hAnsi="Times New Roman" w:eastAsia="方正仿宋_GBK" w:cs="Times New Roman"/>
                <w:color w:val="auto"/>
                <w:spacing w:val="0"/>
                <w:position w:val="0"/>
                <w:sz w:val="24"/>
                <w:szCs w:val="24"/>
                <w:u w:val="none"/>
                <w:lang w:eastAsia="zh-CN"/>
              </w:rPr>
              <w:t>经县人大常委会批准，县本级202</w:t>
            </w:r>
            <w:r>
              <w:rPr>
                <w:rFonts w:hint="default" w:ascii="Times New Roman" w:hAnsi="Times New Roman" w:eastAsia="方正仿宋_GBK" w:cs="Times New Roman"/>
                <w:color w:val="auto"/>
                <w:spacing w:val="0"/>
                <w:position w:val="0"/>
                <w:sz w:val="24"/>
                <w:szCs w:val="24"/>
                <w:u w:val="none"/>
                <w:lang w:val="en-US" w:eastAsia="zh-CN"/>
              </w:rPr>
              <w:t>2</w:t>
            </w:r>
            <w:r>
              <w:rPr>
                <w:rFonts w:hint="default" w:ascii="Times New Roman" w:hAnsi="Times New Roman" w:eastAsia="方正仿宋_GBK" w:cs="Times New Roman"/>
                <w:color w:val="auto"/>
                <w:spacing w:val="0"/>
                <w:position w:val="0"/>
                <w:sz w:val="24"/>
                <w:szCs w:val="24"/>
                <w:u w:val="none"/>
                <w:lang w:eastAsia="zh-CN"/>
              </w:rPr>
              <w:t>年地方政府债务限额</w:t>
            </w:r>
            <w:r>
              <w:rPr>
                <w:rFonts w:hint="eastAsia" w:ascii="Times New Roman" w:hAnsi="Times New Roman" w:eastAsia="方正仿宋_GBK" w:cs="Times New Roman"/>
                <w:color w:val="auto"/>
                <w:spacing w:val="0"/>
                <w:position w:val="0"/>
                <w:sz w:val="24"/>
                <w:szCs w:val="24"/>
                <w:u w:val="none"/>
                <w:lang w:val="en-US" w:eastAsia="zh-CN"/>
              </w:rPr>
              <w:t>34.57</w:t>
            </w:r>
            <w:r>
              <w:rPr>
                <w:rFonts w:hint="default" w:ascii="Times New Roman" w:hAnsi="Times New Roman" w:eastAsia="方正仿宋_GBK" w:cs="Times New Roman"/>
                <w:color w:val="auto"/>
                <w:spacing w:val="0"/>
                <w:position w:val="0"/>
                <w:sz w:val="24"/>
                <w:szCs w:val="24"/>
                <w:u w:val="none"/>
                <w:lang w:eastAsia="zh-CN"/>
              </w:rPr>
              <w:t>亿元，比20</w:t>
            </w:r>
            <w:r>
              <w:rPr>
                <w:rFonts w:hint="default" w:ascii="Times New Roman" w:hAnsi="Times New Roman" w:eastAsia="方正仿宋_GBK" w:cs="Times New Roman"/>
                <w:color w:val="auto"/>
                <w:spacing w:val="0"/>
                <w:position w:val="0"/>
                <w:sz w:val="24"/>
                <w:szCs w:val="24"/>
                <w:u w:val="none"/>
                <w:lang w:val="en-US" w:eastAsia="zh-CN"/>
              </w:rPr>
              <w:t>21</w:t>
            </w:r>
            <w:r>
              <w:rPr>
                <w:rFonts w:hint="default" w:ascii="Times New Roman" w:hAnsi="Times New Roman" w:eastAsia="方正仿宋_GBK" w:cs="Times New Roman"/>
                <w:color w:val="auto"/>
                <w:spacing w:val="0"/>
                <w:position w:val="0"/>
                <w:sz w:val="24"/>
                <w:szCs w:val="24"/>
                <w:u w:val="none"/>
                <w:lang w:eastAsia="zh-CN"/>
              </w:rPr>
              <w:t>年增加</w:t>
            </w:r>
            <w:r>
              <w:rPr>
                <w:rFonts w:hint="default" w:ascii="Times New Roman" w:hAnsi="Times New Roman" w:eastAsia="方正仿宋_GBK" w:cs="Times New Roman"/>
                <w:color w:val="auto"/>
                <w:spacing w:val="0"/>
                <w:position w:val="0"/>
                <w:sz w:val="24"/>
                <w:szCs w:val="24"/>
                <w:u w:val="none"/>
                <w:lang w:val="en-US" w:eastAsia="zh-CN"/>
              </w:rPr>
              <w:t>5.1</w:t>
            </w:r>
            <w:r>
              <w:rPr>
                <w:rFonts w:hint="default" w:ascii="Times New Roman" w:hAnsi="Times New Roman" w:eastAsia="方正仿宋_GBK" w:cs="Times New Roman"/>
                <w:color w:val="auto"/>
                <w:spacing w:val="0"/>
                <w:position w:val="0"/>
                <w:sz w:val="24"/>
                <w:szCs w:val="24"/>
                <w:u w:val="none"/>
                <w:lang w:eastAsia="zh-CN"/>
              </w:rPr>
              <w:t>亿元。202</w:t>
            </w:r>
            <w:r>
              <w:rPr>
                <w:rFonts w:hint="default" w:ascii="Times New Roman" w:hAnsi="Times New Roman" w:eastAsia="方正仿宋_GBK" w:cs="Times New Roman"/>
                <w:color w:val="auto"/>
                <w:spacing w:val="0"/>
                <w:position w:val="0"/>
                <w:sz w:val="24"/>
                <w:szCs w:val="24"/>
                <w:u w:val="none"/>
                <w:lang w:val="en-US" w:eastAsia="zh-CN"/>
              </w:rPr>
              <w:t>2</w:t>
            </w:r>
            <w:r>
              <w:rPr>
                <w:rFonts w:hint="default" w:ascii="Times New Roman" w:hAnsi="Times New Roman" w:eastAsia="方正仿宋_GBK" w:cs="Times New Roman"/>
                <w:color w:val="auto"/>
                <w:spacing w:val="0"/>
                <w:position w:val="0"/>
                <w:sz w:val="24"/>
                <w:szCs w:val="24"/>
                <w:u w:val="none"/>
                <w:lang w:eastAsia="zh-CN"/>
              </w:rPr>
              <w:t>年，全县共转贷地方政府债券</w:t>
            </w:r>
            <w:r>
              <w:rPr>
                <w:rFonts w:hint="eastAsia" w:ascii="Times New Roman" w:hAnsi="Times New Roman" w:eastAsia="方正仿宋_GBK" w:cs="Times New Roman"/>
                <w:color w:val="auto"/>
                <w:spacing w:val="0"/>
                <w:position w:val="0"/>
                <w:sz w:val="24"/>
                <w:szCs w:val="24"/>
                <w:u w:val="none"/>
                <w:lang w:val="en-US" w:eastAsia="zh-CN"/>
              </w:rPr>
              <w:t>8.58</w:t>
            </w:r>
            <w:r>
              <w:rPr>
                <w:rFonts w:hint="default" w:ascii="Times New Roman" w:hAnsi="Times New Roman" w:eastAsia="方正仿宋_GBK" w:cs="Times New Roman"/>
                <w:color w:val="auto"/>
                <w:spacing w:val="0"/>
                <w:position w:val="0"/>
                <w:sz w:val="24"/>
                <w:szCs w:val="24"/>
                <w:u w:val="none"/>
                <w:lang w:eastAsia="zh-CN"/>
              </w:rPr>
              <w:t>亿元，其中：新增债券</w:t>
            </w:r>
            <w:r>
              <w:rPr>
                <w:rFonts w:hint="default" w:ascii="Times New Roman" w:hAnsi="Times New Roman" w:eastAsia="方正仿宋_GBK" w:cs="Times New Roman"/>
                <w:color w:val="auto"/>
                <w:spacing w:val="0"/>
                <w:position w:val="0"/>
                <w:sz w:val="24"/>
                <w:szCs w:val="24"/>
                <w:u w:val="none"/>
                <w:lang w:val="en-US" w:eastAsia="zh-CN"/>
              </w:rPr>
              <w:t>5.1</w:t>
            </w:r>
            <w:r>
              <w:rPr>
                <w:rFonts w:hint="default" w:ascii="Times New Roman" w:hAnsi="Times New Roman" w:eastAsia="方正仿宋_GBK" w:cs="Times New Roman"/>
                <w:color w:val="auto"/>
                <w:spacing w:val="0"/>
                <w:position w:val="0"/>
                <w:sz w:val="24"/>
                <w:szCs w:val="24"/>
                <w:u w:val="none"/>
                <w:lang w:eastAsia="zh-CN"/>
              </w:rPr>
              <w:t>亿元，再融资债券</w:t>
            </w:r>
            <w:r>
              <w:rPr>
                <w:rFonts w:hint="eastAsia" w:ascii="Times New Roman" w:hAnsi="Times New Roman" w:eastAsia="方正仿宋_GBK" w:cs="Times New Roman"/>
                <w:color w:val="auto"/>
                <w:spacing w:val="0"/>
                <w:position w:val="0"/>
                <w:sz w:val="24"/>
                <w:szCs w:val="24"/>
                <w:u w:val="none"/>
                <w:lang w:val="en-US" w:eastAsia="zh-CN"/>
              </w:rPr>
              <w:t>3.48</w:t>
            </w:r>
            <w:r>
              <w:rPr>
                <w:rFonts w:hint="default" w:ascii="Times New Roman" w:hAnsi="Times New Roman" w:eastAsia="方正仿宋_GBK" w:cs="Times New Roman"/>
                <w:color w:val="auto"/>
                <w:spacing w:val="0"/>
                <w:position w:val="0"/>
                <w:sz w:val="24"/>
                <w:szCs w:val="24"/>
                <w:u w:val="none"/>
                <w:lang w:eastAsia="zh-CN"/>
              </w:rPr>
              <w:t>亿元。新增债券资金主要用于教育、产业园区基础设施等重点领域。盈江县202</w:t>
            </w:r>
            <w:r>
              <w:rPr>
                <w:rFonts w:hint="default" w:ascii="Times New Roman" w:hAnsi="Times New Roman" w:eastAsia="方正仿宋_GBK" w:cs="Times New Roman"/>
                <w:color w:val="auto"/>
                <w:spacing w:val="0"/>
                <w:position w:val="0"/>
                <w:sz w:val="24"/>
                <w:szCs w:val="24"/>
                <w:u w:val="none"/>
                <w:lang w:val="en-US" w:eastAsia="zh-CN"/>
              </w:rPr>
              <w:t>2</w:t>
            </w:r>
            <w:r>
              <w:rPr>
                <w:rFonts w:hint="default" w:ascii="Times New Roman" w:hAnsi="Times New Roman" w:eastAsia="方正仿宋_GBK" w:cs="Times New Roman"/>
                <w:color w:val="auto"/>
                <w:spacing w:val="0"/>
                <w:position w:val="0"/>
                <w:sz w:val="24"/>
                <w:szCs w:val="24"/>
                <w:u w:val="none"/>
                <w:lang w:eastAsia="zh-CN"/>
              </w:rPr>
              <w:t>年末政府债务余额</w:t>
            </w:r>
            <w:r>
              <w:rPr>
                <w:rFonts w:hint="eastAsia" w:ascii="Times New Roman" w:hAnsi="Times New Roman" w:eastAsia="方正仿宋_GBK" w:cs="Times New Roman"/>
                <w:color w:val="auto"/>
                <w:spacing w:val="0"/>
                <w:position w:val="0"/>
                <w:sz w:val="24"/>
                <w:szCs w:val="24"/>
                <w:u w:val="none"/>
                <w:lang w:val="en-US" w:eastAsia="zh-CN"/>
              </w:rPr>
              <w:t>30.95</w:t>
            </w:r>
            <w:r>
              <w:rPr>
                <w:rFonts w:hint="default" w:ascii="Times New Roman" w:hAnsi="Times New Roman" w:eastAsia="方正仿宋_GBK" w:cs="Times New Roman"/>
                <w:color w:val="auto"/>
                <w:spacing w:val="0"/>
                <w:position w:val="0"/>
                <w:sz w:val="24"/>
                <w:szCs w:val="24"/>
                <w:u w:val="none"/>
                <w:lang w:eastAsia="zh-CN"/>
              </w:rPr>
              <w:t>亿元，低于限额</w:t>
            </w:r>
            <w:r>
              <w:rPr>
                <w:rFonts w:hint="default" w:ascii="Times New Roman" w:hAnsi="Times New Roman" w:eastAsia="方正仿宋_GBK" w:cs="Times New Roman"/>
                <w:color w:val="auto"/>
                <w:spacing w:val="0"/>
                <w:position w:val="0"/>
                <w:sz w:val="24"/>
                <w:szCs w:val="24"/>
                <w:u w:val="none"/>
                <w:lang w:val="en-US" w:eastAsia="zh-CN"/>
              </w:rPr>
              <w:t>的3.62</w:t>
            </w:r>
            <w:r>
              <w:rPr>
                <w:rFonts w:hint="default" w:ascii="Times New Roman" w:hAnsi="Times New Roman" w:eastAsia="方正仿宋_GBK" w:cs="Times New Roman"/>
                <w:color w:val="auto"/>
                <w:spacing w:val="0"/>
                <w:position w:val="0"/>
                <w:sz w:val="24"/>
                <w:szCs w:val="24"/>
                <w:u w:val="none"/>
                <w:lang w:eastAsia="zh-CN"/>
              </w:rPr>
              <w:t>亿元，政府债务余额均控制在法定限额内。</w:t>
            </w:r>
          </w:p>
          <w:p>
            <w:pPr>
              <w:spacing w:before="0" w:after="0" w:line="293" w:lineRule="exact"/>
              <w:ind w:firstLine="420" w:firstLineChars="200"/>
            </w:pPr>
          </w:p>
        </w:tc>
      </w:tr>
    </w:tbl>
    <w:p>
      <w:pPr>
        <w:spacing w:before="0" w:after="0" w:line="519" w:lineRule="exact"/>
        <w:jc w:val="left"/>
        <w:rPr>
          <w:rFonts w:hint="eastAsia" w:ascii="方正小标宋简体" w:hAnsi="方正小标宋简体" w:eastAsia="方正小标宋简体" w:cs="方正小标宋简体"/>
          <w:b/>
          <w:bCs/>
          <w:color w:val="000000"/>
          <w:spacing w:val="0"/>
          <w:position w:val="0"/>
          <w:sz w:val="36"/>
          <w:u w:val="none"/>
        </w:rPr>
      </w:pPr>
    </w:p>
    <w:sectPr>
      <w:type w:val="continuous"/>
      <w:pgSz w:w="11905" w:h="16838"/>
      <w:pgMar w:top="0" w:right="0" w:bottom="0" w:left="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25E2F"/>
    <w:rsid w:val="007F1C1F"/>
    <w:rsid w:val="02132FF4"/>
    <w:rsid w:val="026E0E8F"/>
    <w:rsid w:val="04187C89"/>
    <w:rsid w:val="0EE10A62"/>
    <w:rsid w:val="0EE22050"/>
    <w:rsid w:val="117A2164"/>
    <w:rsid w:val="14057559"/>
    <w:rsid w:val="141D1C1C"/>
    <w:rsid w:val="16F8599B"/>
    <w:rsid w:val="215E7D4D"/>
    <w:rsid w:val="24424409"/>
    <w:rsid w:val="2744137B"/>
    <w:rsid w:val="2DF235EE"/>
    <w:rsid w:val="32FD47E1"/>
    <w:rsid w:val="33036BC5"/>
    <w:rsid w:val="34D02840"/>
    <w:rsid w:val="35FA7EA7"/>
    <w:rsid w:val="3EFE44F1"/>
    <w:rsid w:val="41724865"/>
    <w:rsid w:val="445E6A07"/>
    <w:rsid w:val="45EC5D0D"/>
    <w:rsid w:val="47E07EFE"/>
    <w:rsid w:val="4F5202FD"/>
    <w:rsid w:val="4FC119FD"/>
    <w:rsid w:val="50B11AC1"/>
    <w:rsid w:val="5338034C"/>
    <w:rsid w:val="53E644AE"/>
    <w:rsid w:val="547040C3"/>
    <w:rsid w:val="5C3D4FAC"/>
    <w:rsid w:val="5CA316E8"/>
    <w:rsid w:val="65C534AB"/>
    <w:rsid w:val="664F743B"/>
    <w:rsid w:val="6EB95FEE"/>
    <w:rsid w:val="6FA11AE9"/>
    <w:rsid w:val="6FD51278"/>
    <w:rsid w:val="70A34606"/>
    <w:rsid w:val="7389703E"/>
    <w:rsid w:val="755B14C2"/>
    <w:rsid w:val="76CF22BD"/>
    <w:rsid w:val="7B0B0323"/>
    <w:rsid w:val="7B135AD8"/>
    <w:rsid w:val="7F28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0" w:type="dxa"/>
        <w:bottom w:w="0" w:type="dxa"/>
        <w:right w:w="0" w:type="dxa"/>
      </w:tblCellMar>
    </w:tblPr>
  </w:style>
  <w:style w:type="paragraph" w:styleId="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2020-08-31T06:48:00Z</dcterms:created>
  <dc:creator>jxpjk</dc:creator>
  <cp:lastModifiedBy>lenovo</cp:lastModifiedBy>
  <cp:lastPrinted>2020-08-31T09:56:00Z</cp:lastPrinted>
  <dcterms:modified xsi:type="dcterms:W3CDTF">2023-09-26T07:31:48Z</dcterms:modified>
  <dc:title>重点工作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