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p>
    <w:p>
      <w:pPr>
        <w:jc w:val="center"/>
        <w:rPr>
          <w:b/>
          <w:bCs/>
          <w:sz w:val="32"/>
          <w:szCs w:val="32"/>
        </w:rPr>
      </w:pPr>
      <w:r>
        <w:rPr>
          <w:rFonts w:hint="eastAsia"/>
          <w:b/>
          <w:bCs/>
          <w:sz w:val="32"/>
          <w:szCs w:val="32"/>
        </w:rPr>
        <w:t>盈江县</w:t>
      </w:r>
      <w:r>
        <w:rPr>
          <w:rFonts w:hint="eastAsia"/>
          <w:b/>
          <w:bCs/>
          <w:sz w:val="32"/>
          <w:szCs w:val="32"/>
          <w:lang w:val="en-US" w:eastAsia="zh-CN"/>
        </w:rPr>
        <w:t>委</w:t>
      </w:r>
      <w:bookmarkStart w:id="0" w:name="_GoBack"/>
      <w:bookmarkEnd w:id="0"/>
      <w:r>
        <w:rPr>
          <w:rFonts w:hint="eastAsia"/>
          <w:b/>
          <w:bCs/>
          <w:sz w:val="32"/>
          <w:szCs w:val="32"/>
          <w:lang w:eastAsia="zh-CN"/>
        </w:rPr>
        <w:t>老干部局</w:t>
      </w:r>
      <w:r>
        <w:rPr>
          <w:rFonts w:hint="eastAsia"/>
          <w:b/>
          <w:bCs/>
          <w:sz w:val="32"/>
          <w:szCs w:val="32"/>
        </w:rPr>
        <w:t>单位</w:t>
      </w:r>
      <w:r>
        <w:rPr>
          <w:b/>
          <w:bCs/>
          <w:sz w:val="32"/>
          <w:szCs w:val="32"/>
        </w:rPr>
        <w:t>2016</w:t>
      </w:r>
      <w:r>
        <w:rPr>
          <w:rFonts w:hint="eastAsia"/>
          <w:b/>
          <w:bCs/>
          <w:sz w:val="32"/>
          <w:szCs w:val="32"/>
        </w:rPr>
        <w:t>年度部门决算公开补充说明</w:t>
      </w: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ascii="宋体" w:hAnsi="宋体" w:cs="宋体"/>
          <w:sz w:val="32"/>
          <w:szCs w:val="32"/>
        </w:rPr>
        <w:t>191.18</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ascii="宋体" w:hAnsi="宋体" w:cs="宋体"/>
          <w:sz w:val="32"/>
          <w:szCs w:val="32"/>
        </w:rPr>
        <w:t>171.38</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19.8</w:t>
      </w:r>
      <w:r>
        <w:rPr>
          <w:rFonts w:hint="eastAsia" w:ascii="宋体" w:hAnsi="宋体" w:cs="宋体"/>
          <w:sz w:val="32"/>
          <w:szCs w:val="32"/>
        </w:rPr>
        <w:t>万元，增</w:t>
      </w:r>
      <w:r>
        <w:rPr>
          <w:rFonts w:ascii="宋体" w:hAnsi="宋体" w:cs="宋体"/>
          <w:sz w:val="32"/>
          <w:szCs w:val="32"/>
        </w:rPr>
        <w:t>11%</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ascii="宋体" w:hAnsi="宋体" w:cs="宋体"/>
          <w:sz w:val="32"/>
          <w:szCs w:val="32"/>
        </w:rPr>
        <w:t>191.18</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ascii="宋体" w:hAnsi="宋体" w:cs="宋体"/>
          <w:sz w:val="32"/>
          <w:szCs w:val="32"/>
        </w:rPr>
        <w:t>171.38</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19.8</w:t>
      </w:r>
      <w:r>
        <w:rPr>
          <w:rFonts w:hint="eastAsia" w:ascii="宋体" w:hAnsi="宋体" w:cs="宋体"/>
          <w:sz w:val="32"/>
          <w:szCs w:val="32"/>
        </w:rPr>
        <w:t>万元，增</w:t>
      </w:r>
      <w:r>
        <w:rPr>
          <w:rFonts w:ascii="宋体" w:hAnsi="宋体" w:cs="宋体"/>
          <w:sz w:val="32"/>
          <w:szCs w:val="32"/>
        </w:rPr>
        <w:t>11 %</w:t>
      </w:r>
      <w:r>
        <w:rPr>
          <w:rFonts w:hint="eastAsia" w:ascii="宋体" w:hAnsi="宋体" w:cs="宋体"/>
          <w:sz w:val="32"/>
          <w:szCs w:val="32"/>
        </w:rPr>
        <w:t>，</w:t>
      </w:r>
      <w:r>
        <w:rPr>
          <w:rFonts w:hint="eastAsia" w:ascii="宋体" w:hAnsi="宋体" w:cs="宋体"/>
          <w:sz w:val="30"/>
          <w:szCs w:val="30"/>
        </w:rPr>
        <w:t>增加原因是</w:t>
      </w:r>
      <w:r>
        <w:rPr>
          <w:rFonts w:hint="eastAsia" w:ascii="宋体" w:hAnsi="宋体"/>
          <w:sz w:val="32"/>
          <w:szCs w:val="32"/>
        </w:rPr>
        <w:t>调资增资和老干部公务经费、特需费等调整为基本支出列支，及</w:t>
      </w:r>
      <w:r>
        <w:rPr>
          <w:rFonts w:hint="eastAsia" w:ascii="宋体" w:hAnsi="宋体" w:cs="Arial"/>
          <w:kern w:val="0"/>
          <w:sz w:val="32"/>
          <w:szCs w:val="32"/>
        </w:rPr>
        <w:t>政府增加了对</w:t>
      </w:r>
      <w:r>
        <w:rPr>
          <w:rFonts w:hint="eastAsia" w:ascii="宋体" w:hAnsi="宋体"/>
          <w:sz w:val="32"/>
          <w:szCs w:val="32"/>
        </w:rPr>
        <w:t>老干部工作的投入</w:t>
      </w:r>
      <w:r>
        <w:rPr>
          <w:rFonts w:hint="eastAsia" w:ascii="宋体" w:hAnsi="宋体" w:cs="宋体"/>
          <w:sz w:val="32"/>
          <w:szCs w:val="32"/>
        </w:rPr>
        <w:t>。</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ascii="宋体" w:hAnsi="宋体" w:cs="宋体"/>
          <w:sz w:val="32"/>
          <w:szCs w:val="32"/>
        </w:rPr>
        <w:t>226.74</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ascii="宋体" w:hAnsi="宋体" w:cs="宋体"/>
          <w:sz w:val="32"/>
          <w:szCs w:val="32"/>
        </w:rPr>
        <w:t>204.45</w:t>
      </w:r>
      <w:r>
        <w:rPr>
          <w:rFonts w:hint="eastAsia" w:ascii="宋体" w:hAnsi="宋体" w:cs="宋体"/>
          <w:sz w:val="32"/>
          <w:szCs w:val="32"/>
        </w:rPr>
        <w:t>万元，增</w:t>
      </w:r>
      <w:r>
        <w:rPr>
          <w:rFonts w:ascii="宋体" w:hAnsi="宋体" w:cs="宋体"/>
          <w:sz w:val="32"/>
          <w:szCs w:val="32"/>
        </w:rPr>
        <w:t>22.29</w:t>
      </w:r>
      <w:r>
        <w:rPr>
          <w:rFonts w:hint="eastAsia" w:ascii="宋体" w:hAnsi="宋体" w:cs="宋体"/>
          <w:sz w:val="32"/>
          <w:szCs w:val="32"/>
        </w:rPr>
        <w:t>万元，增长</w:t>
      </w:r>
      <w:r>
        <w:rPr>
          <w:rFonts w:ascii="宋体" w:hAnsi="宋体" w:cs="宋体"/>
          <w:sz w:val="32"/>
          <w:szCs w:val="32"/>
        </w:rPr>
        <w:t>11%,</w:t>
      </w:r>
      <w:r>
        <w:rPr>
          <w:rFonts w:hint="eastAsia" w:ascii="宋体" w:hAnsi="宋体" w:cs="宋体"/>
          <w:sz w:val="32"/>
          <w:szCs w:val="32"/>
        </w:rPr>
        <w:t>其中：</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ascii="宋体" w:hAnsi="宋体" w:cs="宋体"/>
          <w:sz w:val="32"/>
          <w:szCs w:val="32"/>
        </w:rPr>
        <w:t>159.07</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ascii="宋体" w:hAnsi="宋体" w:cs="宋体"/>
          <w:sz w:val="32"/>
          <w:szCs w:val="32"/>
        </w:rPr>
        <w:t>112.53</w:t>
      </w:r>
      <w:r>
        <w:rPr>
          <w:rFonts w:hint="eastAsia" w:ascii="宋体" w:hAnsi="宋体" w:cs="宋体"/>
          <w:sz w:val="32"/>
          <w:szCs w:val="32"/>
        </w:rPr>
        <w:t>万元，增</w:t>
      </w:r>
      <w:r>
        <w:rPr>
          <w:rFonts w:ascii="宋体" w:hAnsi="宋体" w:cs="宋体"/>
          <w:sz w:val="32"/>
          <w:szCs w:val="32"/>
        </w:rPr>
        <w:t>46.54</w:t>
      </w:r>
      <w:r>
        <w:rPr>
          <w:rFonts w:hint="eastAsia" w:ascii="宋体" w:hAnsi="宋体" w:cs="宋体"/>
          <w:sz w:val="32"/>
          <w:szCs w:val="32"/>
        </w:rPr>
        <w:t>万元，增长</w:t>
      </w:r>
      <w:r>
        <w:rPr>
          <w:rFonts w:ascii="宋体" w:hAnsi="宋体" w:cs="宋体"/>
          <w:sz w:val="32"/>
          <w:szCs w:val="32"/>
        </w:rPr>
        <w:t>41%</w:t>
      </w:r>
      <w:r>
        <w:rPr>
          <w:rFonts w:hint="eastAsia" w:ascii="宋体" w:hAnsi="宋体" w:cs="宋体"/>
          <w:sz w:val="32"/>
          <w:szCs w:val="32"/>
        </w:rPr>
        <w:t>，增长原因为：</w:t>
      </w:r>
      <w:r>
        <w:rPr>
          <w:rFonts w:hint="eastAsia" w:ascii="宋体" w:hAnsi="宋体" w:cs="宋体"/>
          <w:sz w:val="30"/>
          <w:szCs w:val="30"/>
        </w:rPr>
        <w:t>增加原因是</w:t>
      </w:r>
      <w:r>
        <w:rPr>
          <w:rFonts w:hint="eastAsia" w:ascii="宋体" w:hAnsi="宋体"/>
          <w:sz w:val="32"/>
          <w:szCs w:val="32"/>
        </w:rPr>
        <w:t>调资增资和老干部公务经费、特需费等调整为基本支出列支，及</w:t>
      </w:r>
      <w:r>
        <w:rPr>
          <w:rFonts w:hint="eastAsia" w:ascii="宋体" w:hAnsi="宋体" w:cs="Arial"/>
          <w:kern w:val="0"/>
          <w:sz w:val="32"/>
          <w:szCs w:val="32"/>
        </w:rPr>
        <w:t>政府增加了对</w:t>
      </w:r>
      <w:r>
        <w:rPr>
          <w:rFonts w:hint="eastAsia" w:ascii="宋体" w:hAnsi="宋体"/>
          <w:sz w:val="32"/>
          <w:szCs w:val="32"/>
        </w:rPr>
        <w:t>老干部工作的投入</w:t>
      </w:r>
      <w:r>
        <w:rPr>
          <w:rFonts w:hint="eastAsia" w:ascii="宋体" w:hAnsi="宋体" w:cs="宋体"/>
          <w:sz w:val="32"/>
          <w:szCs w:val="32"/>
        </w:rPr>
        <w:t>。</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ascii="宋体" w:hAnsi="宋体" w:cs="宋体"/>
          <w:sz w:val="32"/>
          <w:szCs w:val="32"/>
        </w:rPr>
        <w:t>67.67</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ascii="宋体" w:hAnsi="宋体" w:cs="宋体"/>
          <w:sz w:val="32"/>
          <w:szCs w:val="32"/>
        </w:rPr>
        <w:t>91.95</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w:t>
      </w:r>
      <w:r>
        <w:rPr>
          <w:rFonts w:ascii="宋体" w:hAnsi="宋体" w:cs="宋体"/>
          <w:sz w:val="32"/>
          <w:szCs w:val="32"/>
        </w:rPr>
        <w:t>24.28</w:t>
      </w:r>
      <w:r>
        <w:rPr>
          <w:rFonts w:hint="eastAsia" w:ascii="宋体" w:hAnsi="宋体" w:cs="宋体"/>
          <w:sz w:val="32"/>
          <w:szCs w:val="32"/>
        </w:rPr>
        <w:t>万元，下降</w:t>
      </w:r>
      <w:r>
        <w:rPr>
          <w:rFonts w:ascii="宋体" w:hAnsi="宋体" w:cs="宋体"/>
          <w:sz w:val="32"/>
          <w:szCs w:val="32"/>
        </w:rPr>
        <w:t>26%</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年项目支出比上年减少</w:t>
      </w:r>
      <w:r>
        <w:rPr>
          <w:rFonts w:hint="eastAsia" w:ascii="宋体" w:hAnsi="宋体" w:cs="宋体"/>
          <w:sz w:val="32"/>
          <w:szCs w:val="32"/>
        </w:rPr>
        <w:t>原因：</w:t>
      </w:r>
      <w:r>
        <w:rPr>
          <w:rFonts w:hint="eastAsia" w:ascii="宋体" w:hAnsi="宋体"/>
          <w:sz w:val="32"/>
          <w:szCs w:val="32"/>
        </w:rPr>
        <w:t>老干部公务经费、特需费等调整为基本支出列支</w:t>
      </w:r>
      <w:r>
        <w:rPr>
          <w:rFonts w:hint="eastAsia" w:ascii="宋体" w:hAnsi="宋体" w:cs="宋体"/>
          <w:sz w:val="32"/>
          <w:szCs w:val="32"/>
        </w:rPr>
        <w:t>。</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ascii="宋体" w:hAnsi="宋体" w:cs="宋体"/>
          <w:sz w:val="32"/>
          <w:szCs w:val="32"/>
        </w:rPr>
        <w:t>43.27</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ascii="宋体" w:hAnsi="宋体" w:cs="宋体"/>
          <w:sz w:val="32"/>
          <w:szCs w:val="32"/>
        </w:rPr>
        <w:t>25.46</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增加</w:t>
      </w:r>
      <w:r>
        <w:rPr>
          <w:rFonts w:ascii="宋体" w:hAnsi="宋体" w:cs="宋体"/>
          <w:sz w:val="32"/>
          <w:szCs w:val="32"/>
        </w:rPr>
        <w:t>17.81</w:t>
      </w:r>
      <w:r>
        <w:rPr>
          <w:rFonts w:hint="eastAsia" w:ascii="宋体" w:hAnsi="宋体" w:cs="宋体"/>
          <w:sz w:val="32"/>
          <w:szCs w:val="32"/>
        </w:rPr>
        <w:t>万元，增</w:t>
      </w:r>
      <w:r>
        <w:rPr>
          <w:rFonts w:ascii="宋体" w:hAnsi="宋体" w:cs="宋体"/>
          <w:sz w:val="32"/>
          <w:szCs w:val="32"/>
        </w:rPr>
        <w:t>69%</w:t>
      </w:r>
      <w:r>
        <w:rPr>
          <w:rFonts w:hint="eastAsia" w:ascii="宋体" w:hAnsi="宋体" w:cs="宋体"/>
          <w:sz w:val="32"/>
          <w:szCs w:val="32"/>
        </w:rPr>
        <w:t>，增原因</w:t>
      </w:r>
      <w:r>
        <w:rPr>
          <w:rFonts w:hint="eastAsia" w:ascii="宋体" w:hAnsi="宋体" w:cs="Arial"/>
          <w:kern w:val="0"/>
          <w:sz w:val="32"/>
          <w:szCs w:val="32"/>
        </w:rPr>
        <w:t>政府增加了对</w:t>
      </w:r>
      <w:r>
        <w:rPr>
          <w:rFonts w:hint="eastAsia" w:ascii="宋体" w:hAnsi="宋体"/>
          <w:sz w:val="32"/>
          <w:szCs w:val="32"/>
        </w:rPr>
        <w:t>老干部工作的投入</w:t>
      </w:r>
      <w:r>
        <w:rPr>
          <w:rFonts w:ascii="宋体" w:cs="宋体"/>
          <w:sz w:val="32"/>
          <w:szCs w:val="32"/>
        </w:rPr>
        <w:t>,</w:t>
      </w:r>
      <w:r>
        <w:rPr>
          <w:rFonts w:hint="eastAsia" w:ascii="宋体" w:hAnsi="宋体" w:cs="宋体"/>
          <w:sz w:val="32"/>
          <w:szCs w:val="32"/>
        </w:rPr>
        <w:t>主要用于</w:t>
      </w:r>
      <w:r>
        <w:rPr>
          <w:rFonts w:hint="eastAsia" w:ascii="宋体" w:hAnsi="宋体"/>
          <w:sz w:val="32"/>
          <w:szCs w:val="32"/>
        </w:rPr>
        <w:t>老干部公务经费、特需费</w:t>
      </w:r>
      <w:r>
        <w:rPr>
          <w:rFonts w:hint="eastAsia" w:ascii="宋体" w:hAnsi="宋体" w:cs="宋体"/>
          <w:sz w:val="32"/>
          <w:szCs w:val="32"/>
        </w:rPr>
        <w:t>等支出。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rPr>
      </w:pPr>
      <w:r>
        <w:rPr>
          <w:sz w:val="32"/>
          <w:szCs w:val="32"/>
        </w:rPr>
        <w:t>2016</w:t>
      </w:r>
      <w:r>
        <w:rPr>
          <w:rFonts w:hint="eastAsia"/>
          <w:sz w:val="32"/>
          <w:szCs w:val="32"/>
        </w:rPr>
        <w:t>年采购计划</w:t>
      </w:r>
      <w:r>
        <w:rPr>
          <w:sz w:val="32"/>
          <w:szCs w:val="32"/>
        </w:rPr>
        <w:t>31.98</w:t>
      </w:r>
      <w:r>
        <w:rPr>
          <w:rFonts w:hint="eastAsia"/>
          <w:sz w:val="32"/>
          <w:szCs w:val="32"/>
        </w:rPr>
        <w:t>万元，实际采购</w:t>
      </w:r>
      <w:r>
        <w:rPr>
          <w:sz w:val="32"/>
          <w:szCs w:val="32"/>
        </w:rPr>
        <w:t>30.33</w:t>
      </w:r>
      <w:r>
        <w:rPr>
          <w:rFonts w:hint="eastAsia"/>
          <w:sz w:val="32"/>
          <w:szCs w:val="32"/>
        </w:rPr>
        <w:t>万元，节约</w:t>
      </w:r>
      <w:r>
        <w:rPr>
          <w:sz w:val="32"/>
          <w:szCs w:val="32"/>
        </w:rPr>
        <w:t>1.65</w:t>
      </w:r>
      <w:r>
        <w:rPr>
          <w:rFonts w:hint="eastAsia"/>
          <w:sz w:val="32"/>
          <w:szCs w:val="32"/>
        </w:rPr>
        <w:t>万元（其中：</w:t>
      </w:r>
      <w:r>
        <w:rPr>
          <w:sz w:val="32"/>
          <w:szCs w:val="32"/>
        </w:rPr>
        <w:t>1</w:t>
      </w:r>
      <w:r>
        <w:rPr>
          <w:rFonts w:hint="eastAsia"/>
          <w:sz w:val="32"/>
          <w:szCs w:val="32"/>
        </w:rPr>
        <w:t>、财政性资金计划</w:t>
      </w:r>
      <w:r>
        <w:rPr>
          <w:sz w:val="32"/>
          <w:szCs w:val="32"/>
        </w:rPr>
        <w:t>31.98</w:t>
      </w:r>
      <w:r>
        <w:rPr>
          <w:rFonts w:hint="eastAsia"/>
          <w:sz w:val="32"/>
          <w:szCs w:val="32"/>
        </w:rPr>
        <w:t>万元，实际采购</w:t>
      </w:r>
      <w:r>
        <w:rPr>
          <w:sz w:val="32"/>
          <w:szCs w:val="32"/>
        </w:rPr>
        <w:t>30.33</w:t>
      </w:r>
      <w:r>
        <w:rPr>
          <w:rFonts w:hint="eastAsia"/>
          <w:sz w:val="32"/>
          <w:szCs w:val="32"/>
        </w:rPr>
        <w:t>万元，节约</w:t>
      </w:r>
      <w:r>
        <w:rPr>
          <w:sz w:val="32"/>
          <w:szCs w:val="32"/>
        </w:rPr>
        <w:t>1.65</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w:t>
      </w:r>
      <w:r>
        <w:rPr>
          <w:sz w:val="32"/>
          <w:szCs w:val="32"/>
        </w:rPr>
        <w:t>31.98</w:t>
      </w:r>
      <w:r>
        <w:rPr>
          <w:rFonts w:hint="eastAsia"/>
          <w:sz w:val="32"/>
          <w:szCs w:val="32"/>
        </w:rPr>
        <w:t>万元比上年</w:t>
      </w:r>
      <w:r>
        <w:rPr>
          <w:sz w:val="32"/>
          <w:szCs w:val="32"/>
        </w:rPr>
        <w:t>8.5</w:t>
      </w:r>
      <w:r>
        <w:rPr>
          <w:rFonts w:hint="eastAsia"/>
          <w:sz w:val="32"/>
          <w:szCs w:val="32"/>
        </w:rPr>
        <w:t>万元增加</w:t>
      </w:r>
      <w:r>
        <w:rPr>
          <w:sz w:val="32"/>
          <w:szCs w:val="32"/>
        </w:rPr>
        <w:t>23.48</w:t>
      </w:r>
      <w:r>
        <w:rPr>
          <w:rFonts w:hint="eastAsia"/>
          <w:sz w:val="32"/>
          <w:szCs w:val="32"/>
        </w:rPr>
        <w:t>万元，增长</w:t>
      </w:r>
      <w:r>
        <w:rPr>
          <w:sz w:val="32"/>
          <w:szCs w:val="32"/>
        </w:rPr>
        <w:t>276%</w:t>
      </w:r>
      <w:r>
        <w:rPr>
          <w:rFonts w:hint="eastAsia"/>
          <w:sz w:val="32"/>
          <w:szCs w:val="32"/>
        </w:rPr>
        <w:t>。实际采购</w:t>
      </w:r>
      <w:r>
        <w:rPr>
          <w:sz w:val="32"/>
          <w:szCs w:val="32"/>
        </w:rPr>
        <w:t>30.33</w:t>
      </w:r>
      <w:r>
        <w:rPr>
          <w:rFonts w:hint="eastAsia"/>
          <w:sz w:val="32"/>
          <w:szCs w:val="32"/>
        </w:rPr>
        <w:t>万元比上年</w:t>
      </w:r>
      <w:r>
        <w:rPr>
          <w:sz w:val="32"/>
          <w:szCs w:val="32"/>
        </w:rPr>
        <w:t>8.19</w:t>
      </w:r>
      <w:r>
        <w:rPr>
          <w:rFonts w:hint="eastAsia"/>
          <w:sz w:val="32"/>
          <w:szCs w:val="32"/>
        </w:rPr>
        <w:t>万元增加</w:t>
      </w:r>
      <w:r>
        <w:rPr>
          <w:sz w:val="32"/>
          <w:szCs w:val="32"/>
        </w:rPr>
        <w:t>22.14</w:t>
      </w:r>
      <w:r>
        <w:rPr>
          <w:rFonts w:hint="eastAsia"/>
          <w:sz w:val="32"/>
          <w:szCs w:val="32"/>
        </w:rPr>
        <w:t>万元，增长</w:t>
      </w:r>
      <w:r>
        <w:rPr>
          <w:sz w:val="32"/>
          <w:szCs w:val="32"/>
        </w:rPr>
        <w:t>270%</w:t>
      </w:r>
      <w:r>
        <w:rPr>
          <w:rFonts w:hint="eastAsia"/>
          <w:sz w:val="32"/>
          <w:szCs w:val="32"/>
        </w:rPr>
        <w:t>。增长原因：</w:t>
      </w:r>
      <w:r>
        <w:rPr>
          <w:sz w:val="32"/>
          <w:szCs w:val="32"/>
        </w:rPr>
        <w:t>2016</w:t>
      </w:r>
      <w:r>
        <w:rPr>
          <w:rFonts w:hint="eastAsia"/>
          <w:sz w:val="32"/>
          <w:szCs w:val="32"/>
        </w:rPr>
        <w:t>年维修办公楼顶，购置了会议室办公家具。</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sz w:val="32"/>
          <w:szCs w:val="32"/>
        </w:rPr>
        <w:t>22.15</w:t>
      </w:r>
      <w:r>
        <w:rPr>
          <w:rFonts w:hint="eastAsia"/>
          <w:sz w:val="32"/>
          <w:szCs w:val="32"/>
        </w:rPr>
        <w:t>万元，比</w:t>
      </w:r>
      <w:r>
        <w:rPr>
          <w:sz w:val="32"/>
          <w:szCs w:val="32"/>
        </w:rPr>
        <w:t>2015</w:t>
      </w:r>
      <w:r>
        <w:rPr>
          <w:rFonts w:hint="eastAsia"/>
          <w:sz w:val="32"/>
          <w:szCs w:val="32"/>
        </w:rPr>
        <w:t>年</w:t>
      </w:r>
      <w:r>
        <w:rPr>
          <w:sz w:val="32"/>
          <w:szCs w:val="32"/>
        </w:rPr>
        <w:t>6.71</w:t>
      </w:r>
      <w:r>
        <w:rPr>
          <w:rFonts w:hint="eastAsia"/>
          <w:sz w:val="32"/>
          <w:szCs w:val="32"/>
        </w:rPr>
        <w:t>万元增长</w:t>
      </w:r>
      <w:r>
        <w:rPr>
          <w:sz w:val="32"/>
          <w:szCs w:val="32"/>
        </w:rPr>
        <w:t>15.44</w:t>
      </w:r>
      <w:r>
        <w:rPr>
          <w:rFonts w:hint="eastAsia"/>
          <w:sz w:val="32"/>
          <w:szCs w:val="32"/>
        </w:rPr>
        <w:t>万元，增长</w:t>
      </w:r>
      <w:r>
        <w:rPr>
          <w:sz w:val="32"/>
          <w:szCs w:val="32"/>
        </w:rPr>
        <w:t>230%</w:t>
      </w:r>
      <w:r>
        <w:rPr>
          <w:rFonts w:hint="eastAsia"/>
          <w:sz w:val="32"/>
          <w:szCs w:val="32"/>
        </w:rPr>
        <w:t>。增长原因：购置了会议室办公家具。</w:t>
      </w:r>
    </w:p>
    <w:p>
      <w:pPr>
        <w:ind w:firstLine="640" w:firstLineChars="200"/>
        <w:rPr>
          <w:sz w:val="32"/>
          <w:szCs w:val="32"/>
        </w:rPr>
      </w:pPr>
      <w:r>
        <w:rPr>
          <w:rFonts w:hint="eastAsia"/>
          <w:sz w:val="32"/>
          <w:szCs w:val="32"/>
        </w:rPr>
        <w:t>工程类完成</w:t>
      </w:r>
      <w:r>
        <w:rPr>
          <w:sz w:val="32"/>
          <w:szCs w:val="32"/>
        </w:rPr>
        <w:t>6.61</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w:t>
      </w:r>
      <w:r>
        <w:rPr>
          <w:sz w:val="32"/>
          <w:szCs w:val="32"/>
        </w:rPr>
        <w:t>6.61</w:t>
      </w:r>
      <w:r>
        <w:rPr>
          <w:rFonts w:hint="eastAsia"/>
          <w:sz w:val="32"/>
          <w:szCs w:val="32"/>
        </w:rPr>
        <w:t>万元，增长</w:t>
      </w:r>
      <w:r>
        <w:rPr>
          <w:sz w:val="32"/>
          <w:szCs w:val="32"/>
        </w:rPr>
        <w:t>100%</w:t>
      </w:r>
      <w:r>
        <w:rPr>
          <w:rFonts w:hint="eastAsia"/>
          <w:sz w:val="32"/>
          <w:szCs w:val="32"/>
        </w:rPr>
        <w:t>。增长原因：</w:t>
      </w:r>
      <w:r>
        <w:rPr>
          <w:sz w:val="32"/>
          <w:szCs w:val="32"/>
        </w:rPr>
        <w:t>2016</w:t>
      </w:r>
      <w:r>
        <w:rPr>
          <w:rFonts w:hint="eastAsia"/>
          <w:sz w:val="32"/>
          <w:szCs w:val="32"/>
        </w:rPr>
        <w:t>年维修办公楼顶。</w:t>
      </w:r>
    </w:p>
    <w:p>
      <w:pPr>
        <w:ind w:firstLine="640" w:firstLineChars="200"/>
        <w:rPr>
          <w:rFonts w:hint="eastAsia"/>
          <w:sz w:val="32"/>
          <w:szCs w:val="32"/>
        </w:rPr>
      </w:pPr>
      <w:r>
        <w:rPr>
          <w:rFonts w:hint="eastAsia"/>
          <w:sz w:val="32"/>
          <w:szCs w:val="32"/>
        </w:rPr>
        <w:t>服务类完成</w:t>
      </w:r>
      <w:r>
        <w:rPr>
          <w:sz w:val="32"/>
          <w:szCs w:val="32"/>
        </w:rPr>
        <w:t>1.56</w:t>
      </w:r>
      <w:r>
        <w:rPr>
          <w:rFonts w:hint="eastAsia"/>
          <w:sz w:val="32"/>
          <w:szCs w:val="32"/>
        </w:rPr>
        <w:t>万元，比</w:t>
      </w:r>
      <w:r>
        <w:rPr>
          <w:sz w:val="32"/>
          <w:szCs w:val="32"/>
        </w:rPr>
        <w:t>2015</w:t>
      </w:r>
      <w:r>
        <w:rPr>
          <w:rFonts w:hint="eastAsia"/>
          <w:sz w:val="32"/>
          <w:szCs w:val="32"/>
        </w:rPr>
        <w:t>年</w:t>
      </w:r>
      <w:r>
        <w:rPr>
          <w:sz w:val="32"/>
          <w:szCs w:val="32"/>
        </w:rPr>
        <w:t>1.48</w:t>
      </w:r>
      <w:r>
        <w:rPr>
          <w:rFonts w:hint="eastAsia"/>
          <w:sz w:val="32"/>
          <w:szCs w:val="32"/>
        </w:rPr>
        <w:t>万元增长</w:t>
      </w:r>
      <w:r>
        <w:rPr>
          <w:sz w:val="32"/>
          <w:szCs w:val="32"/>
        </w:rPr>
        <w:t>0.08</w:t>
      </w:r>
      <w:r>
        <w:rPr>
          <w:rFonts w:hint="eastAsia"/>
          <w:sz w:val="32"/>
          <w:szCs w:val="32"/>
        </w:rPr>
        <w:t>万元，增长</w:t>
      </w:r>
      <w:r>
        <w:rPr>
          <w:sz w:val="32"/>
          <w:szCs w:val="32"/>
        </w:rPr>
        <w:t>5%</w:t>
      </w:r>
      <w:r>
        <w:rPr>
          <w:rFonts w:hint="eastAsia"/>
          <w:sz w:val="32"/>
          <w:szCs w:val="32"/>
        </w:rPr>
        <w:t>。增长原因：增购了办公用品。</w:t>
      </w:r>
    </w:p>
    <w:p>
      <w:pPr>
        <w:rPr>
          <w:rFonts w:hint="eastAsia" w:ascii="宋体" w:hAnsi="宋体" w:eastAsia="宋体" w:cs="宋体"/>
          <w:b/>
          <w:bCs/>
          <w:sz w:val="28"/>
          <w:szCs w:val="28"/>
        </w:rPr>
      </w:pPr>
      <w:r>
        <w:rPr>
          <w:rFonts w:hint="eastAsia" w:ascii="宋体" w:hAnsi="宋体" w:eastAsia="宋体" w:cs="宋体"/>
          <w:b/>
          <w:bCs/>
          <w:sz w:val="28"/>
          <w:szCs w:val="28"/>
        </w:rPr>
        <w:t>五、名词解释：</w:t>
      </w:r>
    </w:p>
    <w:p>
      <w:pPr>
        <w:rPr>
          <w:rFonts w:ascii="宋体" w:hAns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hAnsi="宋体" w:eastAsia="宋体" w:cs="宋体"/>
          <w:sz w:val="28"/>
          <w:szCs w:val="28"/>
        </w:rPr>
      </w:pPr>
      <w:r>
        <w:rPr>
          <w:rFonts w:hint="eastAsia" w:ascii="宋体" w:hAnsi="宋体" w:eastAsia="宋体" w:cs="宋体"/>
          <w:b/>
          <w:bCs/>
          <w:sz w:val="28"/>
          <w:szCs w:val="28"/>
        </w:rPr>
        <w:t>基本支出：</w:t>
      </w:r>
      <w:r>
        <w:rPr>
          <w:rFonts w:hint="eastAsia" w:ascii="宋体" w:hAnsi="宋体" w:eastAsia="宋体" w:cs="宋体"/>
          <w:sz w:val="28"/>
          <w:szCs w:val="28"/>
        </w:rPr>
        <w:t>为保障机构正常运行，完成日常工作任务而发生的人员支出和公用支出。</w:t>
      </w:r>
    </w:p>
    <w:p>
      <w:pPr>
        <w:ind w:firstLine="562" w:firstLineChars="200"/>
        <w:rPr>
          <w:rFonts w:hint="eastAsia"/>
          <w:sz w:val="32"/>
          <w:szCs w:val="32"/>
        </w:rPr>
      </w:pPr>
      <w:r>
        <w:rPr>
          <w:rFonts w:hint="eastAsia" w:ascii="宋体" w:hAnsi="宋体" w:eastAsia="宋体" w:cs="宋体"/>
          <w:b/>
          <w:bCs/>
          <w:sz w:val="28"/>
          <w:szCs w:val="28"/>
        </w:rPr>
        <w:t>项目支出：</w:t>
      </w:r>
      <w:r>
        <w:rPr>
          <w:rFonts w:hint="eastAsia" w:ascii="宋体" w:hAnsi="宋体" w:eastAsia="宋体" w:cs="宋体"/>
          <w:sz w:val="28"/>
          <w:szCs w:val="28"/>
        </w:rPr>
        <w:t>指在基本支出之外为完成特定行政任务和事业发展目标所发生的支出。</w:t>
      </w:r>
    </w:p>
    <w:p>
      <w:pPr>
        <w:rPr>
          <w:sz w:val="32"/>
          <w:szCs w:val="32"/>
        </w:rPr>
      </w:pPr>
      <w:r>
        <w:rPr>
          <w:sz w:val="32"/>
          <w:szCs w:val="32"/>
        </w:rPr>
        <w:t xml:space="preserve">        </w:t>
      </w:r>
    </w:p>
    <w:p>
      <w:pPr>
        <w:rPr>
          <w:rFonts w:ascii="宋体" w:cs="宋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03ABC"/>
    <w:rsid w:val="00015F01"/>
    <w:rsid w:val="000B0D95"/>
    <w:rsid w:val="000B624F"/>
    <w:rsid w:val="000E1A7D"/>
    <w:rsid w:val="0037050F"/>
    <w:rsid w:val="003B501C"/>
    <w:rsid w:val="004D3A30"/>
    <w:rsid w:val="0059555A"/>
    <w:rsid w:val="006C4819"/>
    <w:rsid w:val="009F7568"/>
    <w:rsid w:val="00A2145F"/>
    <w:rsid w:val="00AD72E3"/>
    <w:rsid w:val="00B01618"/>
    <w:rsid w:val="00B4694F"/>
    <w:rsid w:val="00FF5400"/>
    <w:rsid w:val="03A7308D"/>
    <w:rsid w:val="03D00EDD"/>
    <w:rsid w:val="066D2EC7"/>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A382039"/>
    <w:rsid w:val="6B984EB6"/>
    <w:rsid w:val="6DCB6A46"/>
    <w:rsid w:val="6E8C33A0"/>
    <w:rsid w:val="6F242CDD"/>
    <w:rsid w:val="70241DD0"/>
    <w:rsid w:val="72440C73"/>
    <w:rsid w:val="78E458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7">
    <w:name w:val="Footer Char"/>
    <w:basedOn w:val="5"/>
    <w:link w:val="2"/>
    <w:semiHidden/>
    <w:locked/>
    <w:uiPriority w:val="99"/>
    <w:rPr>
      <w:rFonts w:cs="Times New Roman"/>
      <w:sz w:val="18"/>
      <w:szCs w:val="18"/>
    </w:rPr>
  </w:style>
  <w:style w:type="character" w:customStyle="1" w:styleId="8">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2</Pages>
  <Words>147</Words>
  <Characters>841</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杨世妍</cp:lastModifiedBy>
  <cp:lastPrinted>2017-10-25T07:11:00Z</cp:lastPrinted>
  <dcterms:modified xsi:type="dcterms:W3CDTF">2024-03-21T07:20:37Z</dcterms:modified>
  <dc:title>关于对2016年部门决算公开情况通知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92F97BE4446B45B49CE2422C4C678D0D</vt:lpwstr>
  </property>
</Properties>
</file>