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监督索引号53312300632600000</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盈江县农业局2019年预算公开</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目录</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第一部分 盈江县农业局2019年部门预算编制说明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第二部分盈江县农业局2019年部门预算表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二、部门收入总体情况表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三、部门支出总体情况表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四、部门财政拨款收支总体情况表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五、部门一般公共预算本级财力安排支出情况表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六、部门基本支出情况表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七、部门政府性基金预算支出情况表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八、财政拨款支出明细表（按经济科目分类）</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九、部门一般公共预算“三公”经费支出情况表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十、县本级项目支出绩效目标表（本次下达）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十一、县本级项目支出绩效目标表（另文下达）</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十二、对下转移支付绩效目标表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十三、部门政府采购情况表</w:t>
      </w:r>
    </w:p>
    <w:p>
      <w:pPr>
        <w:keepNext w:val="0"/>
        <w:keepLines w:val="0"/>
        <w:widowControl/>
        <w:suppressLineNumbers w:val="0"/>
        <w:spacing w:before="0" w:beforeAutospacing="0" w:after="0" w:afterAutospacing="0" w:line="600" w:lineRule="atLeast"/>
        <w:ind w:left="0" w:right="0" w:firstLine="420"/>
        <w:jc w:val="center"/>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盈江县农业局2019年部门预算编制说明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Style w:val="10"/>
          <w:rFonts w:ascii="微软雅黑" w:hAnsi="微软雅黑" w:eastAsia="微软雅黑" w:cs="微软雅黑"/>
          <w:i w:val="0"/>
          <w:caps w:val="0"/>
          <w:color w:val="333333"/>
          <w:spacing w:val="0"/>
          <w:kern w:val="0"/>
          <w:sz w:val="24"/>
          <w:szCs w:val="24"/>
          <w:lang w:val="en-US" w:eastAsia="zh-CN" w:bidi="ar"/>
        </w:rPr>
        <w:t>一、基本职能及主要工作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（一）部门主要职责</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贯彻执行党和国家有关农业农村经济工作的方针政策、法律法规，拟订并组织实施全县种植业、蔗糖业、畜牧业、渔业、农业机械化、农产品质量安全等农业产业和农村经济发展规划，提出农村改革发展建议，承担农村经济与社会发展预测及综合统计工作；拟定全县农业与农村经济发展及农业机械化发展工作中长期规划和年度计划并组织实施。负责农业产业化经营、结构调整、资源优化配置和农产品质量安全改善等工作。</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（二）机构设置情况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根据《盈江县人民政府关于印发&lt;盈江县农业局主要职责内设机构和人员编制规定&gt;的通知(盈政发[2015]219号)文件，县编委核定盈江县农业局内设14个股室，下设盈江县农业技术推广中心、盈江县农机技术推广站、盈江县农业行政执法大队、盈江县茶叶技术推广站、盈江县农业环境监测与保护站、盈江县农业农村经营管理站、盈江县土肥站、盈江县农机安全监理站、盈江县烟办烟站、盈江县咖啡技术推广站、盈江县渔业站、盈江县种子管理站、盈江县植保站、盈江县畜牧站、盈江县动物卫生监督所、盈江县动物疫病防控中心等16个专业站所，1个一级预算单位。农业局执行政单位财务一级核算制度，站所及股室执行报账制管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（三）重点工作概述</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农业局从种植业、渔业、畜牧业、蔗糖业、种桑养蚕、农产品质量安全、农机安全、农业执法、烟叶生产、土地确权、农业保险、病虫害防治、农村集体经济产权制度改革等各项工作及全县农业农村工作的开展，结全脱贫攻坚工作，我局积极向上级部门争取强农惠农项目。对2019年经费收入，我单位将严格按照预算进行支出，对项目经费支出做到专款专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二、预算单位基本情况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我部门编制2019年部门预算单位共1个。其中：财政全供给单位1个；部分供给单位0个；特殊供给单位0个；自收自支单位0个。财政全供给单位中行政单位1个；参公管理事业单位0个；非参公管理事业单位0个。截止2018年11月统计，部门基本情况如下：</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在职人员编制268人，其中：行政编制 16人，工勤编制8人，事业编制244人。在职实有264人，其中： 财政全供养 264人，财政部分供养0人，非财政供养0人。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离退休人员 225人，其中： 离休 0人，退休 225人。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车辆编制5辆，实有车辆18辆，其中：站所业务用车13辆。</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三、预算单位收入情况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（一）部门财务收入情况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财务总收入4318.65万元，其中：一般公共预算财政拨款4318.65万元，政府性基金预算财政拨款0万元，国有资本经营预算财政拨款0万元，事业收入0万元，事业单位经营收入0万元，其他收入0万元，上年结转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（二）财政拨款收入情况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财政拨款收入4318.65万元，其中:本年收入4318.65万元，上年结转0万元。本年收入中，一般公共预算财政拨款4318.65万元（本级财力4318.65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Style w:val="10"/>
          <w:rFonts w:hint="default" w:ascii="微软雅黑" w:hAnsi="微软雅黑" w:eastAsia="微软雅黑" w:cs="微软雅黑"/>
          <w:i w:val="0"/>
          <w:caps w:val="0"/>
          <w:color w:val="333333"/>
          <w:spacing w:val="0"/>
          <w:kern w:val="0"/>
          <w:sz w:val="24"/>
          <w:szCs w:val="24"/>
          <w:lang w:val="en-US" w:eastAsia="zh-CN" w:bidi="ar"/>
        </w:rPr>
        <w:t>四、预算单位支出情况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2019年部门预算总支出4318.65万元。财政拨款安排支出4318.65万元，其中：基本支出3713.88万元，项目支出604.77 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（一）财政拨款安排支出按功能科目分类情况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1、208社会保障和就业支出 508.17万元，其中：</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2080501归口管理的行政单位离退休 3.66万元，主要用于行政退休人员日常公务开支。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2080502 事业单位离退休43.68万元，主要用于事业退休人员退休费及日常公务开支。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2080505 机关事业单位基本养老保险缴费支出431.79万元，主要用于机关事业单位在职人员养老保险缴费。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2080506 机关事业单位职业年金缴费支出29.04万元，主要用于2019年退休人员职业年金缴费。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2、213农林水支出3494.15万元，其中：</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2130101行政运行 452.37万元，主要用于在职行政人员工资支出及机关运行经费。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2130104事业运行 2555.91万元，主要用于在职事业人员工资支出、机关运行经费、遗属人员生活补助经费、村级动物防疫员工资、动物检疫协检员工资、蚕桑产业发展工作经费、农村集体产权制度改革工作经费等支出。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2130108病虫害控制 70万元，主要用于动物疫病防控绩效管理、动物及动物产品检疫工作支出、植物病虫害及有害生物防治经费。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2130109 农产品质量安全20万元，主要用于农产品质量安全检测站工作运转经费。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2130505 生产发展 395.87万元，主要用于农业保险县级配套补贴、蚕桑产业试验示范及协调发展等支出。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3、221住房保障支出316.33万元，其中：</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2210201住房公积金316.33万元，主要用于在职人员住房公积金补贴。</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（二）财政拨款安排支出按经济科目分类情况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经济科目分组（其中：基本支出3713.88万元，项目支出604.77万元）。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1、基本支出3713.88万元，用于以下支出：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2080501项302商品和服务支出3.66万元，主要用于农业局行政退休人员公用经费。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2080502项302商品和服务支出9.84万元，主要用于农业局事业退休人员公用经费；303对个人和家庭的补助33.84万元，主要用于事业单位退休财政补差人员退休费。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2080505项301工资福利支出431.79万元，主要用于兑付职工机关事业单位应缴纳养老保险。</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2080506项301工资福利支出29.04万元，主要用于2019年退休人员职业年金缴费。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2130301项301工资福利支出438.37万元，主要用于兑付行政在职职工工资；302商品和服务支出14万元，主要用于办公费、水费、电费、邮电费、差旅费、公务接待费、公务用车运行维护费、其他交通费用；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2130104项301工资福利支出2334.97万元，主要用于兑付事业在职职工工资；302商品和服务支出91.6万元，主要用于办公费、水费、电费、邮电费、差旅费、公务接待费、公务用车运行维护费、其他交通费用等；303对个人和家庭的补助10.44万元，主要用于兑付职工遗属生活补助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2210201项303住房公积金316.33万元，主要用于兑付职工住房公积金。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2、项目支出604.77万元，用于以下支出：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2130104项301工资福利支出30万元，主要用于兑付动物卫生监督所协检员工资及五险金；302商品和服务支出40.9万元，主要用于农村集体产权制度改革及蚕桑产业发展办公费、差旅费、其他交通费等工作运转支出；303对个人和家庭补助48万元，主要用于村级动物防疫员绩效管理经费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2130108项302商品和服务支出64.4万元，主要用于植物病虫害防治、动物产品检疫、重大动物疫病防控等工作办公费、差旅费、其他交通费等支出；303对个人和家庭补助5.6万元，主要用于植物病虫害防治购买农药、粘板等补助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2130109项302商品和服务支出20万元，主要用于对农副产品进行安全检测仪器设备维修及检定费、化学试剂费、玻璃器皿耗材、购买检测样品费、检测人员外出培训等支出。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2130505项302商品和服务支出115万元，主要用于蚕桑产业试验示范、技术培训、现场会议及外出学习等支出，303对个人和家庭补助280.87万元，主要用于农业保险县级配套补贴。</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Style w:val="10"/>
          <w:rFonts w:hint="default" w:ascii="微软雅黑" w:hAnsi="微软雅黑" w:eastAsia="微软雅黑" w:cs="微软雅黑"/>
          <w:i w:val="0"/>
          <w:caps w:val="0"/>
          <w:color w:val="333333"/>
          <w:spacing w:val="0"/>
          <w:kern w:val="0"/>
          <w:sz w:val="24"/>
          <w:szCs w:val="24"/>
          <w:lang w:val="en-US" w:eastAsia="zh-CN" w:bidi="ar"/>
        </w:rPr>
        <w:t>五、州对下专项转移支付情况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    本单位2019年无州对下专项转移支付</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六、政府采购预算情况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2019年本单位无政府采购项目。</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七、预算收支增减变化情况说明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（一）2019年预算收入总额4318.65万元（其中：基本支出3713.88万元，项目支出604.77万元），支出总额4318.65万元，2018年预算收支总额3290.78万元（其中：基本支出3182.78万元，项目支出108万元），支出总额3290.78万元。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2019年预算收支总额4318.65万元，比2018年3290.78万元增加1027.87万元，增幅31.2%，增加的主要原因为：一是人员工资增加，二是增加蚕桑产业发展经费及农村集体产权制度改革工作经费。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（二）“三公”经费增减变化情况及原因说明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1、因公出国（境）经费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2019年拟安排出国（境）经费预算0万元，2018年预算安排0万元，持平；</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2、公务接待费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2019年拟安排公务接待费预算15万元，主要用于按规定开支的各类公务接待产生的费用，2018年预算安排17万元，比上年减少2万元，减幅11.8%；</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3、公务用车购置及运行维护费</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拟安排公务用车购置及运行维护费29万元，其中：购置经费0万元、运行维护费29万元，主要用于保障本单位公务工作开展，拟产生的公务用车燃料费、维修费、过路过桥费、保险费等支出，2018年预算安排30万元，比上年减少1万元，减幅3.3%。</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2019年一般公共预算“三公”经费支出预算数44万元，比上年47万元下降3万元，降幅6.4%。下降原因主要为：本年厉行节约，减少三公经费支出，拟安排的公务接待费及公用车动物维护费减少。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default" w:ascii="微软雅黑" w:hAnsi="微软雅黑" w:eastAsia="微软雅黑" w:cs="微软雅黑"/>
          <w:b/>
          <w:i w:val="0"/>
          <w:caps w:val="0"/>
          <w:color w:val="333333"/>
          <w:spacing w:val="0"/>
          <w:kern w:val="0"/>
          <w:sz w:val="24"/>
          <w:szCs w:val="24"/>
          <w:lang w:val="en-US" w:eastAsia="zh-CN" w:bidi="ar"/>
        </w:rPr>
        <w:t>八、其他公开信息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（一）专业名词解释</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财政拨款收入：是指行政单位从同级财政部门取得的财政预算资金。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基本支出：为保障机构正常运行，完成日常工作任务而发生的人员支出和公用支出。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项目支出：指在基本支出之外为完成特定行政任务和事业发展目标所发生的支出。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“三公”经费：是指部门用财政拨款安排的因公出国(境)费、公务用 车购置及运行费和公务接待费。其中，因公出国(境)费反 映单位公务出国(境)的国际旅费、国外城市间交通费、住 宿费、伙食费、培训费、公杂费等支出;公务用车购置及运行费反映单位公务用车车辆购置支出(含车辆购置税)及租 用费、燃料费、维修费、过路过桥费、保险费用等支出;公务接待费反映单位按规定开支的各类公务接待 (含外宾接待)支出。</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机关运行经费：用于购买货物和服务的各项资金，包 括办公及印刷费、邮电费、差旅费、会议费、福利费、日常维修费、一般设备购置费、办公用房水电费、办 公用房取暖费、以及其他费用。 </w:t>
      </w:r>
    </w:p>
    <w:p>
      <w:pPr>
        <w:pStyle w:val="6"/>
        <w:keepNext w:val="0"/>
        <w:keepLines w:val="0"/>
        <w:widowControl/>
        <w:suppressLineNumbers w:val="0"/>
        <w:shd w:val="clear" w:fill="FFFFFF"/>
        <w:spacing w:before="0" w:beforeAutospacing="0" w:after="0" w:afterAutospacing="0" w:line="600" w:lineRule="atLeast"/>
        <w:ind w:left="0" w:right="0" w:firstLine="420"/>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sz w:val="24"/>
          <w:szCs w:val="24"/>
          <w:shd w:val="clear" w:fill="FFFFFF"/>
        </w:rPr>
        <w:t>对个人和家庭的补助支出：反映政府对个人和家庭的无偿性补助支出。具体包括离休费、退休费、退职（役）费、抚恤和生活补助、医疗费、住房公积金、助学金、其他等。</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（二）机关运行经费安排</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2019年盈江县农业局预算机关运行经费支出119.10万元，主要用于30201办公费20万元，30205水费1.5万元，30206电费0.1万元，30211差旅费25万元，30207邮电费3万元， 30202印刷费2万元， 30213维修（护）费5万元，30217接待费12万元，30226劳务费5万元，30231公务用车运行维护费23万元，30239 其他交通费用9万元，30299其他商品服务支出13.5万元。</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本年预算机关运行经费119.10万元，与上年121.72万元对比减少2.62万元，减少的主要原因为：一是盈江县农业局认真贯彻落实中央八项规定精神和厉行节约的有关要求，严格控制办公用品采购，节约用水用电，从严控制公务用车运行经费及公务接待等支出；二是2019年在职人员比上年减少7人，机关运行经费也相应减少。</w:t>
      </w:r>
    </w:p>
    <w:p>
      <w:pPr>
        <w:keepNext w:val="0"/>
        <w:keepLines w:val="0"/>
        <w:widowControl/>
        <w:suppressLineNumbers w:val="0"/>
        <w:jc w:val="left"/>
      </w:pPr>
      <w:r>
        <w:rPr>
          <w:rFonts w:hint="eastAsia" w:ascii="宋体" w:hAnsi="宋体" w:eastAsia="宋体" w:cs="宋体"/>
          <w:i w:val="0"/>
          <w:caps w:val="0"/>
          <w:color w:val="333333"/>
          <w:spacing w:val="0"/>
          <w:kern w:val="0"/>
          <w:sz w:val="24"/>
          <w:szCs w:val="24"/>
          <w:lang w:val="en-US" w:eastAsia="zh-CN" w:bidi="ar"/>
        </w:rPr>
        <w:t>  （三）国有资产占用情况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（四）本部门预算绩效情况说明</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1、基本支出3713.88万元，绩效指标来源：盈财预分指[2019]46号，盈江县财政局关于下达2019年部门预算批复的通知。主要用于保障人员经费，机关单位工作正常运转。</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2、项目支出604.77万元，绩效指标来源，盈财预分指[2019]46号，盈江县财政局关于下达2019年部门预算批复的通知。具体是：</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①协检员经费30万元，主要用于动物卫生监督所检疫检协员工资及五险金；</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②农村集体产权制度改革工作经费30.9万元，主要用于对集体所有的各类资产进行全面清产核资、在清产核资的基础上，明确资产所有权支出，保护和发展农民作为农村集体经济组织成员的合法权益；</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③蚕桑产业发展经费140万元，主要用于蚕桑产业政策宣传、技术资料印刷、11个乡镇技术培训、蚕桑工作会议、县级现场会等支出，发展蚕桑产业,实现农民增收、企业增效、财政增长；</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④村级动物防疫员绩效管理经费48万元，主要用于重大动物疫病防控工作及流行病学调查，防控应急物资储备和应急管理，100名村级动物防疫员管理经费，确保我县不发生区域重大动物疫情；</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⑤重大动物疫病防控经费30万元，主要用于15个乡镇畜牧兽医站和1个农场管理委员会开展重大动物疫病防控、狂犬病、奶牛“两病”防控和应急管理等，确保我县不发生区域性重大动物疫情；</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⑥动物及动物产品检疫经费30万元，主要进行动物及动物产品检疫，进一步提高动物检疫人员及协检员检疫操作技能，让我县人民群众吃上“放心肉”。</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⑦农产品质量安全检测费20万元，主要是对水果、 蔬菜等农副产品进行安全检测,土壤重金属检测等，确保我县农产品质量安全；</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⑧植保站病虫害防治及有害生物防治经费10万元，主要是用于对全县农作物病虫害进行防治工作经费，保障农业安全生产；</w:t>
      </w:r>
    </w:p>
    <w:p>
      <w:pPr>
        <w:keepNext w:val="0"/>
        <w:keepLines w:val="0"/>
        <w:widowControl/>
        <w:suppressLineNumbers w:val="0"/>
        <w:spacing w:before="0" w:beforeAutospacing="0" w:after="0" w:afterAutospacing="0" w:line="600" w:lineRule="atLeast"/>
        <w:ind w:left="0" w:right="0" w:firstLine="420"/>
        <w:jc w:val="left"/>
        <w:rPr>
          <w:rFonts w:hint="eastAsia" w:ascii="宋体" w:hAnsi="宋体" w:eastAsia="宋体" w:cs="宋体"/>
          <w:i w:val="0"/>
          <w:caps w:val="0"/>
          <w:color w:val="333333"/>
          <w:spacing w:val="0"/>
          <w:sz w:val="24"/>
          <w:szCs w:val="24"/>
        </w:rPr>
      </w:pPr>
      <w:r>
        <w:rPr>
          <w:rFonts w:hint="eastAsia" w:ascii="宋体" w:hAnsi="宋体" w:eastAsia="宋体" w:cs="宋体"/>
          <w:i w:val="0"/>
          <w:caps w:val="0"/>
          <w:color w:val="333333"/>
          <w:spacing w:val="0"/>
          <w:kern w:val="0"/>
          <w:sz w:val="24"/>
          <w:szCs w:val="24"/>
          <w:lang w:val="en-US" w:eastAsia="zh-CN" w:bidi="ar"/>
        </w:rPr>
        <w:t>⑨2019年农业保险县级配套补贴资金265.87万元，主要用于种植业(水稻、玉米、油菜）、养殖业（能繁母猪、奶牛、肉牛）、蔗糖业等保险补贴，为农户提供农业生产保障。</w:t>
      </w:r>
    </w:p>
    <w:p/>
    <w:p>
      <w:pPr>
        <w:widowControl/>
        <w:jc w:val="left"/>
        <w:rPr>
          <w:rFonts w:asciiTheme="minorEastAsia" w:hAnsiTheme="minorEastAsia" w:eastAsiaTheme="minorEastAsia"/>
          <w:kern w:val="0"/>
          <w:sz w:val="30"/>
          <w:szCs w:val="30"/>
        </w:rPr>
      </w:pPr>
      <w:bookmarkStart w:id="0" w:name="_GoBack"/>
      <w:bookmarkEnd w:id="0"/>
    </w:p>
    <w:p>
      <w:pPr>
        <w:widowControl/>
        <w:ind w:firstLine="600" w:firstLineChars="200"/>
        <w:jc w:val="left"/>
        <w:rPr>
          <w:rFonts w:asciiTheme="minorEastAsia" w:hAnsiTheme="minorEastAsia" w:eastAsiaTheme="minorEastAsia"/>
          <w:kern w:val="0"/>
          <w:sz w:val="30"/>
          <w:szCs w:val="30"/>
        </w:rPr>
      </w:pPr>
    </w:p>
    <w:p>
      <w:pPr>
        <w:widowControl/>
        <w:jc w:val="left"/>
        <w:rPr>
          <w:rFonts w:asciiTheme="minorEastAsia" w:hAnsiTheme="minorEastAsia" w:eastAsiaTheme="minorEastAsia"/>
          <w:kern w:val="0"/>
          <w:sz w:val="30"/>
          <w:szCs w:val="30"/>
        </w:rPr>
      </w:pPr>
    </w:p>
    <w:p>
      <w:pPr>
        <w:rPr>
          <w:rFonts w:ascii="Arial" w:hAnsi="Arial" w:eastAsia="Arial" w:cs="Arial"/>
          <w:b/>
          <w:sz w:val="36"/>
        </w:rPr>
      </w:pPr>
      <w:r>
        <w:rPr>
          <w:rFonts w:ascii="Arial" w:hAnsi="Arial" w:eastAsia="Arial" w:cs="Arial"/>
          <w:b/>
          <w:sz w:val="36"/>
        </w:rPr>
        <w:t>监督索引号53312300632600111</w:t>
      </w: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方正小标宋简体">
    <w:altName w:val="Arial Unicode MS"/>
    <w:panose1 w:val="02010601030101010101"/>
    <w:charset w:val="86"/>
    <w:family w:val="auto"/>
    <w:pitch w:val="default"/>
    <w:sig w:usb0="00000000" w:usb1="00000000" w:usb2="00000010" w:usb3="00000000" w:csb0="00040000" w:csb1="00000000"/>
  </w:font>
  <w:font w:name="Meiryo UI">
    <w:panose1 w:val="020B0604030504040204"/>
    <w:charset w:val="80"/>
    <w:family w:val="swiss"/>
    <w:pitch w:val="default"/>
    <w:sig w:usb0="E10102FF" w:usb1="EAC7FFFF" w:usb2="00010012" w:usb3="00000000" w:csb0="6002009F" w:csb1="DFD7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26999"/>
    <w:rsid w:val="0003248D"/>
    <w:rsid w:val="00034005"/>
    <w:rsid w:val="0005317B"/>
    <w:rsid w:val="000543CA"/>
    <w:rsid w:val="00054EA9"/>
    <w:rsid w:val="000559B2"/>
    <w:rsid w:val="00060B5F"/>
    <w:rsid w:val="00063177"/>
    <w:rsid w:val="00064C37"/>
    <w:rsid w:val="00070204"/>
    <w:rsid w:val="00073344"/>
    <w:rsid w:val="00074721"/>
    <w:rsid w:val="0008024F"/>
    <w:rsid w:val="00081157"/>
    <w:rsid w:val="00083CB1"/>
    <w:rsid w:val="00085843"/>
    <w:rsid w:val="000860FB"/>
    <w:rsid w:val="00087D4E"/>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06C8"/>
    <w:rsid w:val="001418E2"/>
    <w:rsid w:val="00143B99"/>
    <w:rsid w:val="0014414B"/>
    <w:rsid w:val="0014446D"/>
    <w:rsid w:val="001446A5"/>
    <w:rsid w:val="0014486B"/>
    <w:rsid w:val="00144CF1"/>
    <w:rsid w:val="0014558B"/>
    <w:rsid w:val="00146960"/>
    <w:rsid w:val="001509B4"/>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16750"/>
    <w:rsid w:val="002230AE"/>
    <w:rsid w:val="002247D0"/>
    <w:rsid w:val="00224F80"/>
    <w:rsid w:val="0022507C"/>
    <w:rsid w:val="00226979"/>
    <w:rsid w:val="002406F5"/>
    <w:rsid w:val="00242E76"/>
    <w:rsid w:val="00243464"/>
    <w:rsid w:val="002462A8"/>
    <w:rsid w:val="00247731"/>
    <w:rsid w:val="00253C74"/>
    <w:rsid w:val="00254450"/>
    <w:rsid w:val="00262BAD"/>
    <w:rsid w:val="002726B1"/>
    <w:rsid w:val="002727D0"/>
    <w:rsid w:val="002749C8"/>
    <w:rsid w:val="00275325"/>
    <w:rsid w:val="00281C06"/>
    <w:rsid w:val="00285DC4"/>
    <w:rsid w:val="00294AE7"/>
    <w:rsid w:val="002A1965"/>
    <w:rsid w:val="002A7BAE"/>
    <w:rsid w:val="002B11FA"/>
    <w:rsid w:val="002B1CDD"/>
    <w:rsid w:val="002B2CA6"/>
    <w:rsid w:val="002B34ED"/>
    <w:rsid w:val="002B37A7"/>
    <w:rsid w:val="002B4342"/>
    <w:rsid w:val="002B56EB"/>
    <w:rsid w:val="002B6D47"/>
    <w:rsid w:val="002C2555"/>
    <w:rsid w:val="002C7D21"/>
    <w:rsid w:val="002D27CD"/>
    <w:rsid w:val="002D2AED"/>
    <w:rsid w:val="002D3EC0"/>
    <w:rsid w:val="002D729F"/>
    <w:rsid w:val="002E0E3C"/>
    <w:rsid w:val="002E1812"/>
    <w:rsid w:val="002E2F7F"/>
    <w:rsid w:val="002E4B20"/>
    <w:rsid w:val="002E5FC6"/>
    <w:rsid w:val="002E6D7D"/>
    <w:rsid w:val="002F2C1E"/>
    <w:rsid w:val="002F6E99"/>
    <w:rsid w:val="00300C47"/>
    <w:rsid w:val="003050B6"/>
    <w:rsid w:val="00306734"/>
    <w:rsid w:val="0030726B"/>
    <w:rsid w:val="0031118B"/>
    <w:rsid w:val="0031122F"/>
    <w:rsid w:val="00315EFA"/>
    <w:rsid w:val="00316408"/>
    <w:rsid w:val="003179FB"/>
    <w:rsid w:val="0032118E"/>
    <w:rsid w:val="0032165F"/>
    <w:rsid w:val="00323A51"/>
    <w:rsid w:val="003244C9"/>
    <w:rsid w:val="0032468B"/>
    <w:rsid w:val="00327119"/>
    <w:rsid w:val="003333E4"/>
    <w:rsid w:val="00336580"/>
    <w:rsid w:val="00336E5B"/>
    <w:rsid w:val="0034184B"/>
    <w:rsid w:val="00350E25"/>
    <w:rsid w:val="003535EB"/>
    <w:rsid w:val="0035432A"/>
    <w:rsid w:val="00354D29"/>
    <w:rsid w:val="003555BE"/>
    <w:rsid w:val="00356356"/>
    <w:rsid w:val="00360593"/>
    <w:rsid w:val="00360EF7"/>
    <w:rsid w:val="00361A07"/>
    <w:rsid w:val="003710A2"/>
    <w:rsid w:val="00372470"/>
    <w:rsid w:val="00375DE2"/>
    <w:rsid w:val="00376707"/>
    <w:rsid w:val="0037788A"/>
    <w:rsid w:val="0038029B"/>
    <w:rsid w:val="00383096"/>
    <w:rsid w:val="00383CF5"/>
    <w:rsid w:val="00392AA8"/>
    <w:rsid w:val="003931E6"/>
    <w:rsid w:val="003A2CE9"/>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3F5E5D"/>
    <w:rsid w:val="0040002C"/>
    <w:rsid w:val="00400C3B"/>
    <w:rsid w:val="00402B1E"/>
    <w:rsid w:val="00403507"/>
    <w:rsid w:val="00403546"/>
    <w:rsid w:val="00404DA0"/>
    <w:rsid w:val="00405B9C"/>
    <w:rsid w:val="004158B8"/>
    <w:rsid w:val="00416B98"/>
    <w:rsid w:val="00421A99"/>
    <w:rsid w:val="0042780C"/>
    <w:rsid w:val="0043232E"/>
    <w:rsid w:val="00432BAC"/>
    <w:rsid w:val="00445161"/>
    <w:rsid w:val="004457F4"/>
    <w:rsid w:val="004466F8"/>
    <w:rsid w:val="004472BF"/>
    <w:rsid w:val="00447C85"/>
    <w:rsid w:val="004544A9"/>
    <w:rsid w:val="00455E38"/>
    <w:rsid w:val="00456CDD"/>
    <w:rsid w:val="004605B3"/>
    <w:rsid w:val="00466380"/>
    <w:rsid w:val="00467CD2"/>
    <w:rsid w:val="004718A9"/>
    <w:rsid w:val="00476EC1"/>
    <w:rsid w:val="00480582"/>
    <w:rsid w:val="0048694C"/>
    <w:rsid w:val="004911B1"/>
    <w:rsid w:val="004938CB"/>
    <w:rsid w:val="00495E43"/>
    <w:rsid w:val="004A362F"/>
    <w:rsid w:val="004A742B"/>
    <w:rsid w:val="004B29ED"/>
    <w:rsid w:val="004B50FC"/>
    <w:rsid w:val="004C064B"/>
    <w:rsid w:val="004C1CDF"/>
    <w:rsid w:val="004D1980"/>
    <w:rsid w:val="004D26D3"/>
    <w:rsid w:val="004D3A59"/>
    <w:rsid w:val="004D6E1D"/>
    <w:rsid w:val="004F2C44"/>
    <w:rsid w:val="004F4F9F"/>
    <w:rsid w:val="004F5C1B"/>
    <w:rsid w:val="005054B5"/>
    <w:rsid w:val="00505533"/>
    <w:rsid w:val="00506344"/>
    <w:rsid w:val="005148D7"/>
    <w:rsid w:val="00521069"/>
    <w:rsid w:val="005242F4"/>
    <w:rsid w:val="005248EA"/>
    <w:rsid w:val="0052572D"/>
    <w:rsid w:val="005431C8"/>
    <w:rsid w:val="005463F4"/>
    <w:rsid w:val="00552BA8"/>
    <w:rsid w:val="0055409A"/>
    <w:rsid w:val="00563EEF"/>
    <w:rsid w:val="00572E90"/>
    <w:rsid w:val="00574F33"/>
    <w:rsid w:val="00575EDA"/>
    <w:rsid w:val="00591B91"/>
    <w:rsid w:val="005952DC"/>
    <w:rsid w:val="00595A15"/>
    <w:rsid w:val="005A00B7"/>
    <w:rsid w:val="005A1F0D"/>
    <w:rsid w:val="005A51EE"/>
    <w:rsid w:val="005B0445"/>
    <w:rsid w:val="005B0A4A"/>
    <w:rsid w:val="005B1D4F"/>
    <w:rsid w:val="005B5412"/>
    <w:rsid w:val="005B679B"/>
    <w:rsid w:val="005B77D3"/>
    <w:rsid w:val="005C470B"/>
    <w:rsid w:val="005C640D"/>
    <w:rsid w:val="005C66D3"/>
    <w:rsid w:val="005D245F"/>
    <w:rsid w:val="005D3061"/>
    <w:rsid w:val="005D6260"/>
    <w:rsid w:val="005D6D58"/>
    <w:rsid w:val="005E6A58"/>
    <w:rsid w:val="005F310F"/>
    <w:rsid w:val="00602B8A"/>
    <w:rsid w:val="0060314C"/>
    <w:rsid w:val="00606590"/>
    <w:rsid w:val="00610CF7"/>
    <w:rsid w:val="00612D63"/>
    <w:rsid w:val="00614B12"/>
    <w:rsid w:val="006150EC"/>
    <w:rsid w:val="006164DB"/>
    <w:rsid w:val="0061679D"/>
    <w:rsid w:val="006253D8"/>
    <w:rsid w:val="00626153"/>
    <w:rsid w:val="006374A1"/>
    <w:rsid w:val="0064268A"/>
    <w:rsid w:val="00651B6C"/>
    <w:rsid w:val="006540CB"/>
    <w:rsid w:val="00660B2A"/>
    <w:rsid w:val="00663D84"/>
    <w:rsid w:val="00682553"/>
    <w:rsid w:val="0068515C"/>
    <w:rsid w:val="0068667C"/>
    <w:rsid w:val="006A26A0"/>
    <w:rsid w:val="006A4FDA"/>
    <w:rsid w:val="006B1C07"/>
    <w:rsid w:val="006B3DA5"/>
    <w:rsid w:val="006B5B25"/>
    <w:rsid w:val="006B7827"/>
    <w:rsid w:val="006C3E43"/>
    <w:rsid w:val="006D0172"/>
    <w:rsid w:val="006E1A3A"/>
    <w:rsid w:val="006E2230"/>
    <w:rsid w:val="006E2B9C"/>
    <w:rsid w:val="006E7E4C"/>
    <w:rsid w:val="006F02E3"/>
    <w:rsid w:val="006F1C64"/>
    <w:rsid w:val="006F279E"/>
    <w:rsid w:val="006F359E"/>
    <w:rsid w:val="006F3C19"/>
    <w:rsid w:val="00700438"/>
    <w:rsid w:val="007013C6"/>
    <w:rsid w:val="00701BE4"/>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444"/>
    <w:rsid w:val="007C05CB"/>
    <w:rsid w:val="007C1922"/>
    <w:rsid w:val="007C3153"/>
    <w:rsid w:val="007C4C7F"/>
    <w:rsid w:val="007C7656"/>
    <w:rsid w:val="007D066F"/>
    <w:rsid w:val="007D1AE5"/>
    <w:rsid w:val="007D5A91"/>
    <w:rsid w:val="007E2014"/>
    <w:rsid w:val="007E3441"/>
    <w:rsid w:val="007E460F"/>
    <w:rsid w:val="007E68C9"/>
    <w:rsid w:val="007E76F1"/>
    <w:rsid w:val="007F1DA0"/>
    <w:rsid w:val="00803F6B"/>
    <w:rsid w:val="00805901"/>
    <w:rsid w:val="00811B53"/>
    <w:rsid w:val="00816BAB"/>
    <w:rsid w:val="00817514"/>
    <w:rsid w:val="00825E03"/>
    <w:rsid w:val="00827ECC"/>
    <w:rsid w:val="008306F4"/>
    <w:rsid w:val="0083106D"/>
    <w:rsid w:val="0083313F"/>
    <w:rsid w:val="00834D98"/>
    <w:rsid w:val="00835730"/>
    <w:rsid w:val="00835F23"/>
    <w:rsid w:val="0084210A"/>
    <w:rsid w:val="00845657"/>
    <w:rsid w:val="0084624C"/>
    <w:rsid w:val="0085038C"/>
    <w:rsid w:val="00851C1D"/>
    <w:rsid w:val="00864E02"/>
    <w:rsid w:val="00874702"/>
    <w:rsid w:val="008775B4"/>
    <w:rsid w:val="008808A6"/>
    <w:rsid w:val="00884461"/>
    <w:rsid w:val="00885B69"/>
    <w:rsid w:val="0089228E"/>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E1B16"/>
    <w:rsid w:val="009F25BD"/>
    <w:rsid w:val="009F3C7E"/>
    <w:rsid w:val="009F5646"/>
    <w:rsid w:val="009F7873"/>
    <w:rsid w:val="009F7979"/>
    <w:rsid w:val="009F7AE7"/>
    <w:rsid w:val="00A01DF2"/>
    <w:rsid w:val="00A03FA7"/>
    <w:rsid w:val="00A06395"/>
    <w:rsid w:val="00A06AEF"/>
    <w:rsid w:val="00A10700"/>
    <w:rsid w:val="00A14D49"/>
    <w:rsid w:val="00A15184"/>
    <w:rsid w:val="00A1637D"/>
    <w:rsid w:val="00A2566B"/>
    <w:rsid w:val="00A2673E"/>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00C6"/>
    <w:rsid w:val="00B05787"/>
    <w:rsid w:val="00B10153"/>
    <w:rsid w:val="00B15323"/>
    <w:rsid w:val="00B259AC"/>
    <w:rsid w:val="00B268D9"/>
    <w:rsid w:val="00B26EC9"/>
    <w:rsid w:val="00B31B8F"/>
    <w:rsid w:val="00B333B0"/>
    <w:rsid w:val="00B43561"/>
    <w:rsid w:val="00B43A10"/>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473"/>
    <w:rsid w:val="00C04DD5"/>
    <w:rsid w:val="00C073D6"/>
    <w:rsid w:val="00C07645"/>
    <w:rsid w:val="00C12785"/>
    <w:rsid w:val="00C14D2D"/>
    <w:rsid w:val="00C15327"/>
    <w:rsid w:val="00C17232"/>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D6861"/>
    <w:rsid w:val="00CE1BDC"/>
    <w:rsid w:val="00CE1FA8"/>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A07"/>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C76AB"/>
    <w:rsid w:val="00DD0FFA"/>
    <w:rsid w:val="00DD18E2"/>
    <w:rsid w:val="00DD202C"/>
    <w:rsid w:val="00DD3863"/>
    <w:rsid w:val="00DD793B"/>
    <w:rsid w:val="00DE5376"/>
    <w:rsid w:val="00DE60D1"/>
    <w:rsid w:val="00DF050A"/>
    <w:rsid w:val="00DF59BD"/>
    <w:rsid w:val="00DF6FC3"/>
    <w:rsid w:val="00DF751A"/>
    <w:rsid w:val="00DF7A31"/>
    <w:rsid w:val="00E01827"/>
    <w:rsid w:val="00E05A1C"/>
    <w:rsid w:val="00E07333"/>
    <w:rsid w:val="00E07357"/>
    <w:rsid w:val="00E129EE"/>
    <w:rsid w:val="00E12BAD"/>
    <w:rsid w:val="00E13411"/>
    <w:rsid w:val="00E14AC6"/>
    <w:rsid w:val="00E30F62"/>
    <w:rsid w:val="00E36ECE"/>
    <w:rsid w:val="00E46B69"/>
    <w:rsid w:val="00E573AC"/>
    <w:rsid w:val="00E57B94"/>
    <w:rsid w:val="00E62839"/>
    <w:rsid w:val="00E62E85"/>
    <w:rsid w:val="00E64EE1"/>
    <w:rsid w:val="00E65C1E"/>
    <w:rsid w:val="00E75D5A"/>
    <w:rsid w:val="00E75F13"/>
    <w:rsid w:val="00E76022"/>
    <w:rsid w:val="00E77028"/>
    <w:rsid w:val="00E83456"/>
    <w:rsid w:val="00E9585E"/>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36B4"/>
    <w:rsid w:val="00F35CB9"/>
    <w:rsid w:val="00F36445"/>
    <w:rsid w:val="00F37540"/>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09"/>
    <w:rsid w:val="00F657F3"/>
    <w:rsid w:val="00F73F52"/>
    <w:rsid w:val="00F77FDD"/>
    <w:rsid w:val="00F80BF6"/>
    <w:rsid w:val="00F81802"/>
    <w:rsid w:val="00F82819"/>
    <w:rsid w:val="00F844F8"/>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1A17"/>
    <w:rsid w:val="00FD228E"/>
    <w:rsid w:val="00FD4E9B"/>
    <w:rsid w:val="00FD7D5F"/>
    <w:rsid w:val="00FE1A2F"/>
    <w:rsid w:val="00FE5F50"/>
    <w:rsid w:val="00FE7F9C"/>
    <w:rsid w:val="00FF1B25"/>
    <w:rsid w:val="00FF4010"/>
    <w:rsid w:val="00FF7A85"/>
    <w:rsid w:val="025737A0"/>
    <w:rsid w:val="03F0214E"/>
    <w:rsid w:val="06325B44"/>
    <w:rsid w:val="0AB77A2F"/>
    <w:rsid w:val="1A0B3DDD"/>
    <w:rsid w:val="1CB025D6"/>
    <w:rsid w:val="2D7B7E3A"/>
    <w:rsid w:val="39466C4F"/>
    <w:rsid w:val="724A4A01"/>
    <w:rsid w:val="7B1E5394"/>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line="276" w:lineRule="auto"/>
      <w:jc w:val="left"/>
    </w:pPr>
    <w:rPr>
      <w:rFonts w:ascii="宋体" w:hAnsi="宋体" w:cs="宋体"/>
      <w:kern w:val="0"/>
      <w:sz w:val="24"/>
    </w:rPr>
  </w:style>
  <w:style w:type="paragraph" w:styleId="7">
    <w:name w:val="annotation subject"/>
    <w:basedOn w:val="2"/>
    <w:next w:val="2"/>
    <w:semiHidden/>
    <w:qFormat/>
    <w:uiPriority w:val="0"/>
    <w:rPr>
      <w:b/>
      <w:bCs/>
    </w:rPr>
  </w:style>
  <w:style w:type="character" w:styleId="10">
    <w:name w:val="Strong"/>
    <w:basedOn w:val="9"/>
    <w:qFormat/>
    <w:uiPriority w:val="0"/>
    <w:rPr>
      <w:b/>
    </w:rPr>
  </w:style>
  <w:style w:type="character" w:styleId="11">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60DCD1-505A-4D82-A233-EA16B6178456}">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12</Pages>
  <Words>850</Words>
  <Characters>4848</Characters>
  <Lines>40</Lines>
  <Paragraphs>11</Paragraphs>
  <TotalTime>0</TotalTime>
  <ScaleCrop>false</ScaleCrop>
  <LinksUpToDate>false</LinksUpToDate>
  <CharactersWithSpaces>5687</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windows</cp:lastModifiedBy>
  <cp:lastPrinted>2018-01-31T03:32:00Z</cp:lastPrinted>
  <dcterms:modified xsi:type="dcterms:W3CDTF">2019-12-26T06:38:21Z</dcterms:modified>
  <dc:title>年部门预算编制说明</dc:title>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