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监督索引号53312300633200000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ascii="方正小标宋简体" w:hAnsi="方正小标宋简体" w:eastAsia="方正小标宋简体" w:cs="方正小标宋简体"/>
          <w:i w:val="0"/>
          <w:caps w:val="0"/>
          <w:color w:val="333333"/>
          <w:spacing w:val="0"/>
          <w:kern w:val="0"/>
          <w:sz w:val="36"/>
          <w:szCs w:val="36"/>
          <w:lang w:val="en-US" w:eastAsia="zh-CN" w:bidi="ar"/>
        </w:rPr>
        <w:t>盈江县水利局</w:t>
      </w:r>
      <w:r>
        <w:rPr>
          <w:rFonts w:hint="eastAsia" w:ascii="宋体" w:hAnsi="宋体" w:eastAsia="宋体" w:cs="宋体"/>
          <w:i w:val="0"/>
          <w:caps w:val="0"/>
          <w:color w:val="333333"/>
          <w:spacing w:val="0"/>
          <w:kern w:val="0"/>
          <w:sz w:val="24"/>
          <w:szCs w:val="24"/>
          <w:lang w:val="en-US" w:eastAsia="zh-CN" w:bidi="ar"/>
        </w:rPr>
        <w:t>2019</w:t>
      </w:r>
      <w:r>
        <w:rPr>
          <w:rFonts w:hint="default" w:ascii="方正小标宋简体" w:hAnsi="方正小标宋简体" w:eastAsia="方正小标宋简体" w:cs="方正小标宋简体"/>
          <w:i w:val="0"/>
          <w:caps w:val="0"/>
          <w:color w:val="333333"/>
          <w:spacing w:val="0"/>
          <w:kern w:val="0"/>
          <w:sz w:val="36"/>
          <w:szCs w:val="36"/>
          <w:lang w:val="en-US" w:eastAsia="zh-CN" w:bidi="ar"/>
        </w:rPr>
        <w:t>年预算公开</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kern w:val="0"/>
          <w:sz w:val="36"/>
          <w:szCs w:val="36"/>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黑体" w:hAnsi="宋体" w:eastAsia="黑体" w:cs="黑体"/>
          <w:i w:val="0"/>
          <w:caps w:val="0"/>
          <w:color w:val="333333"/>
          <w:spacing w:val="0"/>
          <w:kern w:val="0"/>
          <w:sz w:val="30"/>
          <w:szCs w:val="30"/>
          <w:lang w:val="en-US" w:eastAsia="zh-CN" w:bidi="ar"/>
        </w:rPr>
        <w:t>第一部分盈江县水利局</w:t>
      </w:r>
      <w:r>
        <w:rPr>
          <w:rFonts w:hint="eastAsia" w:ascii="宋体" w:hAnsi="宋体" w:eastAsia="宋体" w:cs="宋体"/>
          <w:i w:val="0"/>
          <w:caps w:val="0"/>
          <w:color w:val="333333"/>
          <w:spacing w:val="0"/>
          <w:kern w:val="0"/>
          <w:sz w:val="24"/>
          <w:szCs w:val="24"/>
          <w:lang w:val="en-US" w:eastAsia="zh-CN" w:bidi="ar"/>
        </w:rPr>
        <w:t>2019</w:t>
      </w:r>
      <w:r>
        <w:rPr>
          <w:rFonts w:hint="eastAsia" w:ascii="黑体" w:hAnsi="宋体" w:eastAsia="黑体" w:cs="黑体"/>
          <w:i w:val="0"/>
          <w:caps w:val="0"/>
          <w:color w:val="333333"/>
          <w:spacing w:val="0"/>
          <w:kern w:val="0"/>
          <w:sz w:val="30"/>
          <w:szCs w:val="30"/>
          <w:lang w:val="en-US" w:eastAsia="zh-CN" w:bidi="ar"/>
        </w:rPr>
        <w:t>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第二部分盈江县水利局</w:t>
      </w:r>
      <w:r>
        <w:rPr>
          <w:rFonts w:hint="eastAsia" w:ascii="宋体" w:hAnsi="宋体" w:eastAsia="宋体" w:cs="宋体"/>
          <w:i w:val="0"/>
          <w:caps w:val="0"/>
          <w:color w:val="333333"/>
          <w:spacing w:val="0"/>
          <w:kern w:val="0"/>
          <w:sz w:val="24"/>
          <w:szCs w:val="24"/>
          <w:lang w:val="en-US" w:eastAsia="zh-CN" w:bidi="ar"/>
        </w:rPr>
        <w:t>2019</w:t>
      </w:r>
      <w:r>
        <w:rPr>
          <w:rFonts w:hint="eastAsia" w:ascii="黑体" w:hAnsi="宋体" w:eastAsia="黑体" w:cs="黑体"/>
          <w:i w:val="0"/>
          <w:caps w:val="0"/>
          <w:color w:val="333333"/>
          <w:spacing w:val="0"/>
          <w:kern w:val="0"/>
          <w:sz w:val="30"/>
          <w:szCs w:val="30"/>
          <w:lang w:val="en-US" w:eastAsia="zh-CN" w:bidi="ar"/>
        </w:rPr>
        <w:t>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九、部门一般公共预算“三公”经费支出情况表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十二、对下转移支付绩效目标表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kern w:val="0"/>
          <w:sz w:val="36"/>
          <w:szCs w:val="36"/>
          <w:lang w:val="en-US" w:eastAsia="zh-CN" w:bidi="ar"/>
        </w:rPr>
        <w:t>盈江县水利局</w:t>
      </w:r>
      <w:r>
        <w:rPr>
          <w:rFonts w:hint="eastAsia" w:ascii="宋体" w:hAnsi="宋体" w:eastAsia="宋体" w:cs="宋体"/>
          <w:i w:val="0"/>
          <w:caps w:val="0"/>
          <w:color w:val="333333"/>
          <w:spacing w:val="0"/>
          <w:kern w:val="0"/>
          <w:sz w:val="24"/>
          <w:szCs w:val="24"/>
          <w:lang w:val="en-US" w:eastAsia="zh-CN" w:bidi="ar"/>
        </w:rPr>
        <w:t>2019</w:t>
      </w:r>
      <w:r>
        <w:rPr>
          <w:rFonts w:hint="default" w:ascii="方正小标宋简体" w:hAnsi="方正小标宋简体" w:eastAsia="方正小标宋简体" w:cs="方正小标宋简体"/>
          <w:i w:val="0"/>
          <w:caps w:val="0"/>
          <w:color w:val="333333"/>
          <w:spacing w:val="0"/>
          <w:kern w:val="0"/>
          <w:sz w:val="36"/>
          <w:szCs w:val="36"/>
          <w:lang w:val="en-US" w:eastAsia="zh-CN" w:bidi="ar"/>
        </w:rPr>
        <w:t>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⑴贯彻执行国家和省、州、水行政工作方针政策和法规；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⑵组织拟订全县水利发展战略，中长期规划、组织编制全县主要江河、国际河流的综合规划和有关专业规划，并负责组织和监督经批准后的规划的实施。</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⑶统一管理全县水资源；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⑷主管全县水利设施，水域及岸线；</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⑸按照国家资源与环保保护的有关法</w:t>
      </w:r>
      <w:bookmarkStart w:id="0" w:name="_GoBack"/>
      <w:bookmarkEnd w:id="0"/>
      <w:r>
        <w:rPr>
          <w:rFonts w:hint="eastAsia" w:ascii="宋体" w:hAnsi="宋体" w:eastAsia="宋体" w:cs="宋体"/>
          <w:i w:val="0"/>
          <w:caps w:val="0"/>
          <w:color w:val="333333"/>
          <w:spacing w:val="0"/>
          <w:kern w:val="0"/>
          <w:sz w:val="30"/>
          <w:szCs w:val="30"/>
          <w:lang w:val="en-US" w:eastAsia="zh-CN" w:bidi="ar"/>
        </w:rPr>
        <w:t>律法规和标准，拟订水资源保护规划并实施监督管理；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⑹组织指导全县水行政执法工作；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⑺主管全县水土保持工作；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⑻对水资源的使用进行调节产实施监督；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⑼主管全县农村水利、乡镇供水和农村人畜饮水：</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⑽组织协调农村电气化建设工作；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⑾负责全县水利系统的科技、教育和对外经济、技术合作与交流；</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⑿主管全县防汛抗旱工作，负责县防汛指挥部的日常工作；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⒀承办县委、县政府和上级有关部门交办的其他事项；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纳入2019年部门预算编报的单位共1个。内设机构设置5个股室：办公室、水政水保管理股、规划计划管理股、河道管理股、农村水利水电管理股。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（三）重点工作概述</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30"/>
          <w:szCs w:val="30"/>
        </w:rPr>
        <w:t>⒈防汛抗旱工作全面落实到位。</w:t>
      </w:r>
      <w:r>
        <w:rPr>
          <w:rFonts w:hint="eastAsia" w:ascii="宋体" w:hAnsi="宋体" w:eastAsia="宋体" w:cs="宋体"/>
          <w:b/>
          <w:i w:val="0"/>
          <w:caps w:val="0"/>
          <w:color w:val="333333"/>
          <w:spacing w:val="0"/>
          <w:sz w:val="30"/>
          <w:szCs w:val="30"/>
        </w:rPr>
        <w:t>一是</w:t>
      </w:r>
      <w:r>
        <w:rPr>
          <w:rFonts w:hint="eastAsia" w:ascii="宋体" w:hAnsi="宋体" w:eastAsia="宋体" w:cs="宋体"/>
          <w:i w:val="0"/>
          <w:caps w:val="0"/>
          <w:color w:val="333333"/>
          <w:spacing w:val="0"/>
          <w:sz w:val="30"/>
          <w:szCs w:val="30"/>
        </w:rPr>
        <w:t>落实以行政首长负责制为核心的防汛责任制。及时调整完善</w:t>
      </w:r>
      <w:r>
        <w:rPr>
          <w:rFonts w:hint="eastAsia" w:ascii="宋体" w:hAnsi="宋体" w:eastAsia="宋体" w:cs="宋体"/>
          <w:i w:val="0"/>
          <w:caps w:val="0"/>
          <w:color w:val="333333"/>
          <w:spacing w:val="0"/>
          <w:sz w:val="24"/>
          <w:szCs w:val="24"/>
        </w:rPr>
        <w:t>了以县政府副县长为指挥长，县水利局局长为副指挥长的</w:t>
      </w:r>
      <w:r>
        <w:rPr>
          <w:rFonts w:hint="eastAsia" w:ascii="宋体" w:hAnsi="宋体" w:eastAsia="宋体" w:cs="宋体"/>
          <w:i w:val="0"/>
          <w:caps w:val="0"/>
          <w:color w:val="333333"/>
          <w:spacing w:val="0"/>
          <w:sz w:val="30"/>
          <w:szCs w:val="30"/>
        </w:rPr>
        <w:t>全县防汛指挥部领导小组机构，年初</w:t>
      </w:r>
      <w:r>
        <w:rPr>
          <w:rFonts w:hint="eastAsia" w:ascii="宋体" w:hAnsi="宋体" w:eastAsia="宋体" w:cs="宋体"/>
          <w:i w:val="0"/>
          <w:caps w:val="0"/>
          <w:color w:val="333333"/>
          <w:spacing w:val="0"/>
          <w:sz w:val="24"/>
          <w:szCs w:val="24"/>
        </w:rPr>
        <w:t>县防汛抗旱指挥部与</w:t>
      </w:r>
      <w:r>
        <w:rPr>
          <w:rFonts w:hint="eastAsia" w:ascii="宋体" w:hAnsi="宋体" w:eastAsia="宋体" w:cs="宋体"/>
          <w:i w:val="0"/>
          <w:caps w:val="0"/>
          <w:color w:val="333333"/>
          <w:spacing w:val="0"/>
          <w:sz w:val="30"/>
          <w:szCs w:val="30"/>
        </w:rPr>
        <w:t>15个乡镇及农场签订了防汛抗旱考核工作目标责任书。同时明确了我县重要堤防、县城、水库、水电站的防汛责任人并在盈江电视台进行了公示。</w:t>
      </w:r>
      <w:r>
        <w:rPr>
          <w:rFonts w:hint="eastAsia" w:ascii="宋体" w:hAnsi="宋体" w:eastAsia="宋体" w:cs="宋体"/>
          <w:b/>
          <w:i w:val="0"/>
          <w:caps w:val="0"/>
          <w:color w:val="333333"/>
          <w:spacing w:val="0"/>
          <w:sz w:val="30"/>
          <w:szCs w:val="30"/>
        </w:rPr>
        <w:t>二是</w:t>
      </w:r>
      <w:r>
        <w:rPr>
          <w:rFonts w:hint="eastAsia" w:ascii="宋体" w:hAnsi="宋体" w:eastAsia="宋体" w:cs="宋体"/>
          <w:i w:val="0"/>
          <w:caps w:val="0"/>
          <w:color w:val="333333"/>
          <w:spacing w:val="0"/>
          <w:sz w:val="30"/>
          <w:szCs w:val="30"/>
        </w:rPr>
        <w:t>严格执行24小时值班和领导带班制度。</w:t>
      </w:r>
      <w:r>
        <w:rPr>
          <w:rFonts w:hint="eastAsia" w:ascii="宋体" w:hAnsi="宋体" w:eastAsia="宋体" w:cs="宋体"/>
          <w:i w:val="0"/>
          <w:caps w:val="0"/>
          <w:color w:val="333333"/>
          <w:spacing w:val="0"/>
          <w:sz w:val="24"/>
          <w:szCs w:val="24"/>
        </w:rPr>
        <w:t>确保信息上下畅通、严格执行汛情报告制度，确保一旦发生汛情能迅速报出，重大汛情及时处置。</w:t>
      </w:r>
      <w:r>
        <w:rPr>
          <w:rFonts w:hint="eastAsia" w:ascii="宋体" w:hAnsi="宋体" w:eastAsia="宋体" w:cs="宋体"/>
          <w:b/>
          <w:i w:val="0"/>
          <w:caps w:val="0"/>
          <w:color w:val="333333"/>
          <w:spacing w:val="0"/>
          <w:sz w:val="24"/>
          <w:szCs w:val="24"/>
        </w:rPr>
        <w:t>三是</w:t>
      </w:r>
      <w:r>
        <w:rPr>
          <w:rFonts w:hint="eastAsia" w:ascii="宋体" w:hAnsi="宋体" w:eastAsia="宋体" w:cs="宋体"/>
          <w:i w:val="0"/>
          <w:caps w:val="0"/>
          <w:color w:val="333333"/>
          <w:spacing w:val="0"/>
          <w:sz w:val="24"/>
          <w:szCs w:val="24"/>
        </w:rPr>
        <w:t>认真开展</w:t>
      </w:r>
      <w:r>
        <w:rPr>
          <w:rFonts w:hint="eastAsia" w:ascii="宋体" w:hAnsi="宋体" w:eastAsia="宋体" w:cs="宋体"/>
          <w:i w:val="0"/>
          <w:caps w:val="0"/>
          <w:color w:val="333333"/>
          <w:spacing w:val="0"/>
          <w:sz w:val="30"/>
          <w:szCs w:val="30"/>
        </w:rPr>
        <w:t>防洪隐患排查。</w:t>
      </w:r>
      <w:r>
        <w:rPr>
          <w:rFonts w:hint="eastAsia" w:ascii="宋体" w:hAnsi="宋体" w:eastAsia="宋体" w:cs="宋体"/>
          <w:i w:val="0"/>
          <w:caps w:val="0"/>
          <w:color w:val="333333"/>
          <w:spacing w:val="0"/>
          <w:sz w:val="24"/>
          <w:szCs w:val="24"/>
        </w:rPr>
        <w:t>对</w:t>
      </w:r>
      <w:r>
        <w:rPr>
          <w:rFonts w:hint="eastAsia" w:ascii="宋体" w:hAnsi="宋体" w:eastAsia="宋体" w:cs="宋体"/>
          <w:i w:val="0"/>
          <w:caps w:val="0"/>
          <w:color w:val="333333"/>
          <w:spacing w:val="0"/>
          <w:sz w:val="30"/>
          <w:szCs w:val="30"/>
        </w:rPr>
        <w:t>2018年盈江县防汛抗旱指挥部成员单位分成七个组分别检查防汛工作。县水利局成立了三个工作组对全县水利工程设施防汛工作进行汛前、汛中检查，及时发现堤防、水库及水电站存在的安全隐患并及时进行整改。</w:t>
      </w:r>
      <w:r>
        <w:rPr>
          <w:rFonts w:hint="eastAsia" w:ascii="宋体" w:hAnsi="宋体" w:eastAsia="宋体" w:cs="宋体"/>
          <w:b/>
          <w:i w:val="0"/>
          <w:caps w:val="0"/>
          <w:color w:val="333333"/>
          <w:spacing w:val="0"/>
          <w:sz w:val="30"/>
          <w:szCs w:val="30"/>
        </w:rPr>
        <w:t>四是</w:t>
      </w:r>
      <w:r>
        <w:rPr>
          <w:rFonts w:hint="eastAsia" w:ascii="宋体" w:hAnsi="宋体" w:eastAsia="宋体" w:cs="宋体"/>
          <w:i w:val="0"/>
          <w:caps w:val="0"/>
          <w:color w:val="333333"/>
          <w:spacing w:val="0"/>
          <w:sz w:val="30"/>
          <w:szCs w:val="30"/>
        </w:rPr>
        <w:t>认真抓好应急抢险救灾准备工作。</w:t>
      </w:r>
      <w:r>
        <w:rPr>
          <w:rFonts w:hint="eastAsia" w:ascii="宋体" w:hAnsi="宋体" w:eastAsia="宋体" w:cs="宋体"/>
          <w:i w:val="0"/>
          <w:caps w:val="0"/>
          <w:color w:val="333333"/>
          <w:spacing w:val="0"/>
          <w:sz w:val="24"/>
          <w:szCs w:val="24"/>
        </w:rPr>
        <w:t>对乡镇、各有关部门开展了各类预案修订工作，加强培训、宣传、演练，完善全县</w:t>
      </w:r>
      <w:r>
        <w:rPr>
          <w:rFonts w:hint="eastAsia" w:ascii="宋体" w:hAnsi="宋体" w:eastAsia="宋体" w:cs="宋体"/>
          <w:i w:val="0"/>
          <w:caps w:val="0"/>
          <w:color w:val="333333"/>
          <w:spacing w:val="0"/>
          <w:sz w:val="30"/>
          <w:szCs w:val="30"/>
        </w:rPr>
        <w:t>141支5118人的抢险突击队伍并及时储备相关防汛物资。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⒉民生水利工程建设进一步巩固。</w:t>
      </w:r>
      <w:r>
        <w:rPr>
          <w:rFonts w:ascii="微软雅黑" w:hAnsi="微软雅黑" w:eastAsia="微软雅黑" w:cs="微软雅黑"/>
          <w:b/>
          <w:i w:val="0"/>
          <w:caps w:val="0"/>
          <w:color w:val="333333"/>
          <w:spacing w:val="0"/>
          <w:kern w:val="0"/>
          <w:sz w:val="30"/>
          <w:szCs w:val="30"/>
          <w:lang w:val="en-US" w:eastAsia="zh-CN" w:bidi="ar"/>
        </w:rPr>
        <w:t>一是</w:t>
      </w:r>
      <w:r>
        <w:rPr>
          <w:rFonts w:hint="eastAsia" w:ascii="宋体" w:hAnsi="宋体" w:eastAsia="宋体" w:cs="宋体"/>
          <w:i w:val="0"/>
          <w:caps w:val="0"/>
          <w:color w:val="333333"/>
          <w:spacing w:val="0"/>
          <w:kern w:val="0"/>
          <w:sz w:val="30"/>
          <w:szCs w:val="30"/>
          <w:lang w:val="en-US" w:eastAsia="zh-CN" w:bidi="ar"/>
        </w:rPr>
        <w:t>积极推进盈江县2018年农村饮水安全巩固提升工程。项目批复投资5181.44万元，其中：中央209万元，州级80万元，县级4892.44万元，解决12个乡镇50个行政村315人村民小组86345人（其中：建档立卡户3846户，贫困人口14765人）饮水问题。</w:t>
      </w:r>
      <w:r>
        <w:rPr>
          <w:rFonts w:hint="default" w:ascii="微软雅黑" w:hAnsi="微软雅黑" w:eastAsia="微软雅黑" w:cs="微软雅黑"/>
          <w:b/>
          <w:i w:val="0"/>
          <w:caps w:val="0"/>
          <w:color w:val="333333"/>
          <w:spacing w:val="0"/>
          <w:kern w:val="0"/>
          <w:sz w:val="30"/>
          <w:szCs w:val="30"/>
          <w:lang w:val="en-US" w:eastAsia="zh-CN" w:bidi="ar"/>
        </w:rPr>
        <w:t>二是</w:t>
      </w:r>
      <w:r>
        <w:rPr>
          <w:rFonts w:hint="eastAsia" w:ascii="宋体" w:hAnsi="宋体" w:eastAsia="宋体" w:cs="宋体"/>
          <w:i w:val="0"/>
          <w:caps w:val="0"/>
          <w:color w:val="333333"/>
          <w:spacing w:val="0"/>
          <w:kern w:val="0"/>
          <w:sz w:val="30"/>
          <w:szCs w:val="30"/>
          <w:lang w:val="en-US" w:eastAsia="zh-CN" w:bidi="ar"/>
        </w:rPr>
        <w:t>实施2018年度山区“小水网”建设项目。项目批复投资1464.34万元，完成引水渠及支渠配套改造6.6公里，水源工程取水坝2处，管材订购26公里。</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⒊重点水利工程建设顺利推进。</w:t>
      </w:r>
      <w:r>
        <w:rPr>
          <w:rFonts w:hint="default" w:ascii="微软雅黑" w:hAnsi="微软雅黑" w:eastAsia="微软雅黑" w:cs="微软雅黑"/>
          <w:b/>
          <w:i w:val="0"/>
          <w:caps w:val="0"/>
          <w:color w:val="333333"/>
          <w:spacing w:val="0"/>
          <w:kern w:val="0"/>
          <w:sz w:val="30"/>
          <w:szCs w:val="30"/>
          <w:lang w:val="en-US" w:eastAsia="zh-CN" w:bidi="ar"/>
        </w:rPr>
        <w:t>一是</w:t>
      </w:r>
      <w:r>
        <w:rPr>
          <w:rFonts w:hint="eastAsia" w:ascii="宋体" w:hAnsi="宋体" w:eastAsia="宋体" w:cs="宋体"/>
          <w:i w:val="0"/>
          <w:caps w:val="0"/>
          <w:color w:val="333333"/>
          <w:spacing w:val="0"/>
          <w:kern w:val="0"/>
          <w:sz w:val="30"/>
          <w:szCs w:val="30"/>
          <w:lang w:val="en-US" w:eastAsia="zh-CN" w:bidi="ar"/>
        </w:rPr>
        <w:t>长地方水库工程项目。长地方水库属中型水库，总库容1311.4万立方米，项目总投资24808.43万元。导流输水隧洞工程已基本完工；主坝完成心墙开挖、灌浆盖板浇筑及坝基防渗处理；完成溢洪道进口引渠段开挖。</w:t>
      </w:r>
      <w:r>
        <w:rPr>
          <w:rFonts w:hint="default" w:ascii="微软雅黑" w:hAnsi="微软雅黑" w:eastAsia="微软雅黑" w:cs="微软雅黑"/>
          <w:b/>
          <w:i w:val="0"/>
          <w:caps w:val="0"/>
          <w:color w:val="333333"/>
          <w:spacing w:val="0"/>
          <w:kern w:val="0"/>
          <w:sz w:val="30"/>
          <w:szCs w:val="30"/>
          <w:lang w:val="en-US" w:eastAsia="zh-CN" w:bidi="ar"/>
        </w:rPr>
        <w:t>二是</w:t>
      </w:r>
      <w:r>
        <w:rPr>
          <w:rFonts w:hint="eastAsia" w:ascii="宋体" w:hAnsi="宋体" w:eastAsia="宋体" w:cs="宋体"/>
          <w:i w:val="0"/>
          <w:caps w:val="0"/>
          <w:color w:val="333333"/>
          <w:spacing w:val="0"/>
          <w:kern w:val="0"/>
          <w:sz w:val="30"/>
          <w:szCs w:val="30"/>
          <w:lang w:val="en-US" w:eastAsia="zh-CN" w:bidi="ar"/>
        </w:rPr>
        <w:t>芒回水库工程项目。盈江县芒回水库属小= 1 \* GB4 ㈠型水库，水库总库容295.7万立方米，项目总投资13930.57万元。已完成泄洪输水隧洞进出口洞脸和竖井平台的开挖及支护；泄洪输水隧洞和竖井已贯通及拦河坝左岸坝肩护坡工程。正在进行防渗心墙浇筑工作。</w:t>
      </w:r>
      <w:r>
        <w:rPr>
          <w:rFonts w:hint="default" w:ascii="微软雅黑" w:hAnsi="微软雅黑" w:eastAsia="微软雅黑" w:cs="微软雅黑"/>
          <w:b/>
          <w:i w:val="0"/>
          <w:caps w:val="0"/>
          <w:color w:val="333333"/>
          <w:spacing w:val="0"/>
          <w:kern w:val="0"/>
          <w:sz w:val="30"/>
          <w:szCs w:val="30"/>
          <w:lang w:val="en-US" w:eastAsia="zh-CN" w:bidi="ar"/>
        </w:rPr>
        <w:t>三是</w:t>
      </w:r>
      <w:r>
        <w:rPr>
          <w:rFonts w:hint="eastAsia" w:ascii="宋体" w:hAnsi="宋体" w:eastAsia="宋体" w:cs="宋体"/>
          <w:i w:val="0"/>
          <w:caps w:val="0"/>
          <w:color w:val="333333"/>
          <w:spacing w:val="0"/>
          <w:kern w:val="0"/>
          <w:sz w:val="30"/>
          <w:szCs w:val="30"/>
          <w:lang w:val="en-US" w:eastAsia="zh-CN" w:bidi="ar"/>
        </w:rPr>
        <w:t>大盈江综合治理工程贺哈取水坝建设项目。项目计划总投资11972.46万元。完成橡胶坝主坝施工长度270米、管理房面积240平方米。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⒋河长制工作全面推进。</w:t>
      </w:r>
      <w:r>
        <w:rPr>
          <w:rFonts w:hint="default" w:ascii="微软雅黑" w:hAnsi="微软雅黑" w:eastAsia="微软雅黑" w:cs="微软雅黑"/>
          <w:b/>
          <w:i w:val="0"/>
          <w:caps w:val="0"/>
          <w:color w:val="333333"/>
          <w:spacing w:val="0"/>
          <w:kern w:val="0"/>
          <w:sz w:val="30"/>
          <w:szCs w:val="30"/>
          <w:lang w:val="en-US" w:eastAsia="zh-CN" w:bidi="ar"/>
        </w:rPr>
        <w:t>一是</w:t>
      </w:r>
      <w:r>
        <w:rPr>
          <w:rFonts w:hint="eastAsia" w:ascii="宋体" w:hAnsi="宋体" w:eastAsia="宋体" w:cs="宋体"/>
          <w:i w:val="0"/>
          <w:caps w:val="0"/>
          <w:color w:val="333333"/>
          <w:spacing w:val="0"/>
          <w:kern w:val="0"/>
          <w:sz w:val="30"/>
          <w:szCs w:val="30"/>
          <w:lang w:val="en-US" w:eastAsia="zh-CN" w:bidi="ar"/>
        </w:rPr>
        <w:t>建立健全组织责任体系。印发了《盈江县全面推行湖长制实施方案》和盈江县1、2号河长令，盈江县全面推行河长制工作等四项配套制度，为全面推进河长制工作提供了强有力的制度保障；</w:t>
      </w:r>
      <w:r>
        <w:rPr>
          <w:rFonts w:hint="default" w:ascii="微软雅黑" w:hAnsi="微软雅黑" w:eastAsia="微软雅黑" w:cs="微软雅黑"/>
          <w:b/>
          <w:i w:val="0"/>
          <w:caps w:val="0"/>
          <w:color w:val="333333"/>
          <w:spacing w:val="0"/>
          <w:kern w:val="0"/>
          <w:sz w:val="30"/>
          <w:szCs w:val="30"/>
          <w:lang w:val="en-US" w:eastAsia="zh-CN" w:bidi="ar"/>
        </w:rPr>
        <w:t>二是</w:t>
      </w:r>
      <w:r>
        <w:rPr>
          <w:rFonts w:hint="eastAsia" w:ascii="宋体" w:hAnsi="宋体" w:eastAsia="宋体" w:cs="宋体"/>
          <w:i w:val="0"/>
          <w:caps w:val="0"/>
          <w:color w:val="333333"/>
          <w:spacing w:val="0"/>
          <w:kern w:val="0"/>
          <w:sz w:val="30"/>
          <w:szCs w:val="30"/>
          <w:lang w:val="en-US" w:eastAsia="zh-CN" w:bidi="ar"/>
        </w:rPr>
        <w:t>经费保障落实到位。2018年县政府拨付200万元的专项经费，用于保障我县河湖长制工作顺利开展。目前，专项经费已拨付到账，实行专账专人管理；</w:t>
      </w:r>
      <w:r>
        <w:rPr>
          <w:rFonts w:hint="default" w:ascii="微软雅黑" w:hAnsi="微软雅黑" w:eastAsia="微软雅黑" w:cs="微软雅黑"/>
          <w:b/>
          <w:i w:val="0"/>
          <w:caps w:val="0"/>
          <w:color w:val="333333"/>
          <w:spacing w:val="0"/>
          <w:kern w:val="0"/>
          <w:sz w:val="30"/>
          <w:szCs w:val="30"/>
          <w:lang w:val="en-US" w:eastAsia="zh-CN" w:bidi="ar"/>
        </w:rPr>
        <w:t>三是</w:t>
      </w:r>
      <w:r>
        <w:rPr>
          <w:rFonts w:hint="eastAsia" w:ascii="宋体" w:hAnsi="宋体" w:eastAsia="宋体" w:cs="宋体"/>
          <w:i w:val="0"/>
          <w:caps w:val="0"/>
          <w:color w:val="333333"/>
          <w:spacing w:val="0"/>
          <w:kern w:val="0"/>
          <w:sz w:val="30"/>
          <w:szCs w:val="30"/>
          <w:lang w:val="en-US" w:eastAsia="zh-CN" w:bidi="ar"/>
        </w:rPr>
        <w:t>组织体系建设完善。全县共设立县级河长84名，乡级河长159名、村级河长284名，县级成员单位31个，设置河、湖、水库及渠道河长公示牌541块，县、乡、村三级相关工作方案及制度也已全部出台印发。</w:t>
      </w:r>
      <w:r>
        <w:rPr>
          <w:rFonts w:hint="default" w:ascii="微软雅黑" w:hAnsi="微软雅黑" w:eastAsia="微软雅黑" w:cs="微软雅黑"/>
          <w:b/>
          <w:i w:val="0"/>
          <w:caps w:val="0"/>
          <w:color w:val="333333"/>
          <w:spacing w:val="0"/>
          <w:kern w:val="0"/>
          <w:sz w:val="30"/>
          <w:szCs w:val="30"/>
          <w:lang w:val="en-US" w:eastAsia="zh-CN" w:bidi="ar"/>
        </w:rPr>
        <w:t>四是</w:t>
      </w:r>
      <w:r>
        <w:rPr>
          <w:rFonts w:hint="eastAsia" w:ascii="宋体" w:hAnsi="宋体" w:eastAsia="宋体" w:cs="宋体"/>
          <w:i w:val="0"/>
          <w:caps w:val="0"/>
          <w:color w:val="333333"/>
          <w:spacing w:val="0"/>
          <w:kern w:val="0"/>
          <w:sz w:val="30"/>
          <w:szCs w:val="30"/>
          <w:lang w:val="en-US" w:eastAsia="zh-CN" w:bidi="ar"/>
        </w:rPr>
        <w:t>各级河湖长履职尽责。全县县级河长累计开展巡河233次，乡镇级河长巡河934次，村级河长巡河1030次，河湖长巡河制度已经形成常态化。</w:t>
      </w:r>
      <w:r>
        <w:rPr>
          <w:rFonts w:hint="default" w:ascii="微软雅黑" w:hAnsi="微软雅黑" w:eastAsia="微软雅黑" w:cs="微软雅黑"/>
          <w:b/>
          <w:i w:val="0"/>
          <w:caps w:val="0"/>
          <w:color w:val="333333"/>
          <w:spacing w:val="0"/>
          <w:kern w:val="0"/>
          <w:sz w:val="30"/>
          <w:szCs w:val="30"/>
          <w:lang w:val="en-US" w:eastAsia="zh-CN" w:bidi="ar"/>
        </w:rPr>
        <w:t>五是</w:t>
      </w:r>
      <w:r>
        <w:rPr>
          <w:rFonts w:hint="eastAsia" w:ascii="宋体" w:hAnsi="宋体" w:eastAsia="宋体" w:cs="宋体"/>
          <w:i w:val="0"/>
          <w:caps w:val="0"/>
          <w:color w:val="333333"/>
          <w:spacing w:val="0"/>
          <w:kern w:val="0"/>
          <w:sz w:val="30"/>
          <w:szCs w:val="30"/>
          <w:lang w:val="en-US" w:eastAsia="zh-CN" w:bidi="ar"/>
        </w:rPr>
        <w:t>河湖库渠治理工作成效显著。积极组织全县各级河长开展“清河行动”、“清四乱”及河道围垦整治等工作，累计投入人力1.4万余人次，出动执法人员2500余人次，投入资金700余万元，清理河道168.68公里，沿岸垃圾200.69吨，淤泥30余万方，砂石34万余方，恢复大盈江河道滩涂4000余亩。</w:t>
      </w:r>
      <w:r>
        <w:rPr>
          <w:rFonts w:hint="default" w:ascii="微软雅黑" w:hAnsi="微软雅黑" w:eastAsia="微软雅黑" w:cs="微软雅黑"/>
          <w:b/>
          <w:i w:val="0"/>
          <w:caps w:val="0"/>
          <w:color w:val="333333"/>
          <w:spacing w:val="0"/>
          <w:kern w:val="0"/>
          <w:sz w:val="30"/>
          <w:szCs w:val="30"/>
          <w:lang w:val="en-US" w:eastAsia="zh-CN" w:bidi="ar"/>
        </w:rPr>
        <w:t>六是</w:t>
      </w:r>
      <w:r>
        <w:rPr>
          <w:rFonts w:hint="eastAsia" w:ascii="宋体" w:hAnsi="宋体" w:eastAsia="宋体" w:cs="宋体"/>
          <w:i w:val="0"/>
          <w:caps w:val="0"/>
          <w:color w:val="333333"/>
          <w:spacing w:val="0"/>
          <w:kern w:val="0"/>
          <w:sz w:val="30"/>
          <w:szCs w:val="30"/>
          <w:lang w:val="en-US" w:eastAsia="zh-CN" w:bidi="ar"/>
        </w:rPr>
        <w:t>执法监管工作进一步加强。大力开展非法采砂 “铁拳”专项行动，出动执法人员2480余人次、执法车辆580余辆次。共查处非法采砂点64处，捣毁采砂船44艘、清运非法采砂船19艘、碎石机1台、分砂筛架50余个、浮筒210余个，扣押非法采砂挖掘机5台、装载机10辆、车辆13辆；清运非法堆放砂石344043.7立方。持续开展非法采砂稽查执法工作。在丙汉桥岔路和芒线下帮中两个稽查点，</w:t>
      </w:r>
      <w:r>
        <w:rPr>
          <w:rFonts w:hint="eastAsia" w:ascii="宋体" w:hAnsi="宋体" w:cs="宋体"/>
          <w:i w:val="0"/>
          <w:caps w:val="0"/>
          <w:color w:val="333333"/>
          <w:spacing w:val="0"/>
          <w:kern w:val="0"/>
          <w:sz w:val="30"/>
          <w:szCs w:val="30"/>
          <w:lang w:val="en-US" w:eastAsia="zh-CN" w:bidi="ar"/>
        </w:rPr>
        <w:t>截至目前</w:t>
      </w:r>
      <w:r>
        <w:rPr>
          <w:rFonts w:hint="eastAsia" w:ascii="宋体" w:hAnsi="宋体" w:eastAsia="宋体" w:cs="宋体"/>
          <w:i w:val="0"/>
          <w:caps w:val="0"/>
          <w:color w:val="333333"/>
          <w:spacing w:val="0"/>
          <w:kern w:val="0"/>
          <w:sz w:val="30"/>
          <w:szCs w:val="30"/>
          <w:lang w:val="en-US" w:eastAsia="zh-CN" w:bidi="ar"/>
        </w:rPr>
        <w:t>共查验砂石运输车辆1800余辆次，查处非法拉运砂石车辆17辆。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⒌依法行政和水生态文明建设不断加强。</w:t>
      </w:r>
      <w:r>
        <w:rPr>
          <w:rFonts w:hint="default" w:ascii="微软雅黑" w:hAnsi="微软雅黑" w:eastAsia="微软雅黑" w:cs="微软雅黑"/>
          <w:b/>
          <w:i w:val="0"/>
          <w:caps w:val="0"/>
          <w:color w:val="333333"/>
          <w:spacing w:val="0"/>
          <w:kern w:val="0"/>
          <w:sz w:val="30"/>
          <w:szCs w:val="30"/>
          <w:lang w:val="en-US" w:eastAsia="zh-CN" w:bidi="ar"/>
        </w:rPr>
        <w:t>一是</w:t>
      </w:r>
      <w:r>
        <w:rPr>
          <w:rFonts w:hint="eastAsia" w:ascii="宋体" w:hAnsi="宋体" w:eastAsia="宋体" w:cs="宋体"/>
          <w:i w:val="0"/>
          <w:caps w:val="0"/>
          <w:color w:val="333333"/>
          <w:spacing w:val="0"/>
          <w:kern w:val="0"/>
          <w:sz w:val="30"/>
          <w:szCs w:val="30"/>
          <w:lang w:val="en-US" w:eastAsia="zh-CN" w:bidi="ar"/>
        </w:rPr>
        <w:t>认真贯彻执行《水法》、《防洪法》、《水土保持法》、《河道管理条例》等法律、法规，做到水利建设与法治建设同步推进。</w:t>
      </w:r>
      <w:r>
        <w:rPr>
          <w:rFonts w:hint="default" w:ascii="微软雅黑" w:hAnsi="微软雅黑" w:eastAsia="微软雅黑" w:cs="微软雅黑"/>
          <w:b/>
          <w:i w:val="0"/>
          <w:caps w:val="0"/>
          <w:color w:val="333333"/>
          <w:spacing w:val="0"/>
          <w:kern w:val="0"/>
          <w:sz w:val="30"/>
          <w:szCs w:val="30"/>
          <w:lang w:val="en-US" w:eastAsia="zh-CN" w:bidi="ar"/>
        </w:rPr>
        <w:t>二是</w:t>
      </w:r>
      <w:r>
        <w:rPr>
          <w:rFonts w:hint="eastAsia" w:ascii="宋体" w:hAnsi="宋体" w:eastAsia="宋体" w:cs="宋体"/>
          <w:i w:val="0"/>
          <w:caps w:val="0"/>
          <w:color w:val="333333"/>
          <w:spacing w:val="0"/>
          <w:kern w:val="0"/>
          <w:sz w:val="30"/>
          <w:szCs w:val="30"/>
          <w:lang w:val="en-US" w:eastAsia="zh-CN" w:bidi="ar"/>
        </w:rPr>
        <w:t>水法宣传力度持续加大，2018年，共开展宣传活动6场次，共出动宣传车辆12辆次，宣传人员25人次，印发相关法律法规手册8300份，宣传册900份，宣传环保袋子11000只，制作宣传布标27幅，展出展板15个，投入宣传资金5.5万余元。</w:t>
      </w:r>
      <w:r>
        <w:rPr>
          <w:rFonts w:hint="default" w:ascii="微软雅黑" w:hAnsi="微软雅黑" w:eastAsia="微软雅黑" w:cs="微软雅黑"/>
          <w:b/>
          <w:i w:val="0"/>
          <w:caps w:val="0"/>
          <w:color w:val="333333"/>
          <w:spacing w:val="0"/>
          <w:kern w:val="0"/>
          <w:sz w:val="30"/>
          <w:szCs w:val="30"/>
          <w:lang w:val="en-US" w:eastAsia="zh-CN" w:bidi="ar"/>
        </w:rPr>
        <w:t>三是</w:t>
      </w:r>
      <w:r>
        <w:rPr>
          <w:rFonts w:hint="eastAsia" w:ascii="宋体" w:hAnsi="宋体" w:eastAsia="宋体" w:cs="宋体"/>
          <w:i w:val="0"/>
          <w:caps w:val="0"/>
          <w:color w:val="333333"/>
          <w:spacing w:val="0"/>
          <w:kern w:val="0"/>
          <w:sz w:val="30"/>
          <w:szCs w:val="30"/>
          <w:lang w:val="en-US" w:eastAsia="zh-CN" w:bidi="ar"/>
        </w:rPr>
        <w:t>大力开展水政执法工作。开展</w:t>
      </w:r>
      <w:r>
        <w:rPr>
          <w:rFonts w:hint="eastAsia" w:ascii="宋体" w:hAnsi="宋体" w:cs="宋体"/>
          <w:i w:val="0"/>
          <w:caps w:val="0"/>
          <w:color w:val="333333"/>
          <w:spacing w:val="0"/>
          <w:kern w:val="0"/>
          <w:sz w:val="30"/>
          <w:szCs w:val="30"/>
          <w:lang w:val="en-US" w:eastAsia="zh-CN" w:bidi="ar"/>
        </w:rPr>
        <w:t>水行政执法</w:t>
      </w:r>
      <w:r>
        <w:rPr>
          <w:rFonts w:hint="eastAsia" w:ascii="宋体" w:hAnsi="宋体" w:eastAsia="宋体" w:cs="宋体"/>
          <w:i w:val="0"/>
          <w:caps w:val="0"/>
          <w:color w:val="333333"/>
          <w:spacing w:val="0"/>
          <w:kern w:val="0"/>
          <w:sz w:val="30"/>
          <w:szCs w:val="30"/>
          <w:lang w:val="en-US" w:eastAsia="zh-CN" w:bidi="ar"/>
        </w:rPr>
        <w:t>巡查65次，对大盈江沿岸、槟榔江、南底河、盏达河等河道管理范围内侵占、围垦河道种植作物、非法采砂、河道弃渣等进行清理、整治。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⒍脱贫攻坚挂钩帮扶成效明显。全力做好挂钩村帮扶工作，</w:t>
      </w:r>
      <w:r>
        <w:rPr>
          <w:rFonts w:hint="default" w:ascii="微软雅黑" w:hAnsi="微软雅黑" w:eastAsia="微软雅黑" w:cs="微软雅黑"/>
          <w:b/>
          <w:i w:val="0"/>
          <w:caps w:val="0"/>
          <w:color w:val="333333"/>
          <w:spacing w:val="0"/>
          <w:kern w:val="0"/>
          <w:sz w:val="30"/>
          <w:szCs w:val="30"/>
          <w:lang w:val="en-US" w:eastAsia="zh-CN" w:bidi="ar"/>
        </w:rPr>
        <w:t>一是</w:t>
      </w:r>
      <w:r>
        <w:rPr>
          <w:rFonts w:hint="eastAsia" w:ascii="宋体" w:hAnsi="宋体" w:eastAsia="宋体" w:cs="宋体"/>
          <w:i w:val="0"/>
          <w:caps w:val="0"/>
          <w:color w:val="333333"/>
          <w:spacing w:val="0"/>
          <w:kern w:val="0"/>
          <w:sz w:val="30"/>
          <w:szCs w:val="30"/>
          <w:lang w:val="en-US" w:eastAsia="zh-CN" w:bidi="ar"/>
        </w:rPr>
        <w:t>深入调研破解脱贫出列短板难题。局领导班子成员多次深入挂钩村调研，找问题补短板，听取驻村工作队、村“两委”班子、村民小组关于全村基础设施建设、危房改造、产业发展、精准扶贫等脱贫攻坚中存在的问题和困难，及时召开脱贫攻坚专题会研究解决。</w:t>
      </w:r>
      <w:r>
        <w:rPr>
          <w:rFonts w:hint="default" w:ascii="微软雅黑" w:hAnsi="微软雅黑" w:eastAsia="微软雅黑" w:cs="微软雅黑"/>
          <w:b/>
          <w:i w:val="0"/>
          <w:caps w:val="0"/>
          <w:color w:val="333333"/>
          <w:spacing w:val="0"/>
          <w:kern w:val="0"/>
          <w:sz w:val="30"/>
          <w:szCs w:val="30"/>
          <w:lang w:val="en-US" w:eastAsia="zh-CN" w:bidi="ar"/>
        </w:rPr>
        <w:t>二是</w:t>
      </w:r>
      <w:r>
        <w:rPr>
          <w:rFonts w:hint="eastAsia" w:ascii="宋体" w:hAnsi="宋体" w:eastAsia="宋体" w:cs="宋体"/>
          <w:i w:val="0"/>
          <w:caps w:val="0"/>
          <w:color w:val="333333"/>
          <w:spacing w:val="0"/>
          <w:kern w:val="0"/>
          <w:sz w:val="30"/>
          <w:szCs w:val="30"/>
          <w:lang w:val="en-US" w:eastAsia="zh-CN" w:bidi="ar"/>
        </w:rPr>
        <w:t>抓实项目强基础，切实解决贫困村基础设施薄弱问题。围绕贫困村脱贫出列指标，通过向上争取、部门的协调对接帮扶，现已解决11个村民小组的村内道路硬化、农田水利基础设施、人畜饮水及村委会建设巩固提升工程等基础设施建设。</w:t>
      </w:r>
      <w:r>
        <w:rPr>
          <w:rFonts w:hint="default" w:ascii="微软雅黑" w:hAnsi="微软雅黑" w:eastAsia="微软雅黑" w:cs="微软雅黑"/>
          <w:b/>
          <w:i w:val="0"/>
          <w:caps w:val="0"/>
          <w:color w:val="333333"/>
          <w:spacing w:val="0"/>
          <w:kern w:val="0"/>
          <w:sz w:val="30"/>
          <w:szCs w:val="30"/>
          <w:lang w:val="en-US" w:eastAsia="zh-CN" w:bidi="ar"/>
        </w:rPr>
        <w:t>三是</w:t>
      </w:r>
      <w:r>
        <w:rPr>
          <w:rFonts w:hint="eastAsia" w:ascii="宋体" w:hAnsi="宋体" w:eastAsia="宋体" w:cs="宋体"/>
          <w:i w:val="0"/>
          <w:caps w:val="0"/>
          <w:color w:val="333333"/>
          <w:spacing w:val="0"/>
          <w:kern w:val="0"/>
          <w:sz w:val="30"/>
          <w:szCs w:val="30"/>
          <w:lang w:val="en-US" w:eastAsia="zh-CN" w:bidi="ar"/>
        </w:rPr>
        <w:t>抓实农村住房改造，切实解决群众住房不安全问题。全面排查锁定农村危房改造，采取政府补助、农户自筹、部门帮扶，统建与自建相结合，及时安排施工队、发动群众，对支东村128户危房、52户不达遮风避雨住房进行改造。</w:t>
      </w:r>
      <w:r>
        <w:rPr>
          <w:rFonts w:hint="default" w:ascii="微软雅黑" w:hAnsi="微软雅黑" w:eastAsia="微软雅黑" w:cs="微软雅黑"/>
          <w:b/>
          <w:i w:val="0"/>
          <w:caps w:val="0"/>
          <w:color w:val="333333"/>
          <w:spacing w:val="0"/>
          <w:kern w:val="0"/>
          <w:sz w:val="30"/>
          <w:szCs w:val="30"/>
          <w:lang w:val="en-US" w:eastAsia="zh-CN" w:bidi="ar"/>
        </w:rPr>
        <w:t>四是</w:t>
      </w:r>
      <w:r>
        <w:rPr>
          <w:rFonts w:hint="eastAsia" w:ascii="宋体" w:hAnsi="宋体" w:eastAsia="宋体" w:cs="宋体"/>
          <w:i w:val="0"/>
          <w:caps w:val="0"/>
          <w:color w:val="333333"/>
          <w:spacing w:val="0"/>
          <w:kern w:val="0"/>
          <w:sz w:val="30"/>
          <w:szCs w:val="30"/>
          <w:lang w:val="en-US" w:eastAsia="zh-CN" w:bidi="ar"/>
        </w:rPr>
        <w:t>抓产业，提增效，切实实现贫困群众的致富增收。抓好引领带动。对全村的产业合理规划布局，依托“草果、蚕桑、甘蔗、坚果”等产业，以企业+基地+农户，实现产供销的发展格局，在资金技术上引领能人、让产业大户放胆做给贫困户看、带着贫困户干，以产业大户、贫困户组团等发展模式，提高产业发展组织化程度。</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盈江县水利局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在职人员编制65人，其中：行政编制 10人，事业编制55人。在职实有60人，其中：财政全供养60人，财政部分供养0人，非财政供养0人。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离退休人员 49人，其中：离休 0人，退休 49人。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车辆编制2辆，实有车辆2辆。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2019年部门财务总收入 807.82万元，其中：一般公共预算财政拨款807.82万元，政府性基金预算财政拨款0万元，国有资本经营预算财政拨款0万元，事业收入0万元，事业单位经营收入0万元，其他收入0万元，上年结转0万元。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2019部门财政拨款收入 807.82万元，其中:本年收入807.82万元，上年结转0万元。本年收入中，一般公共预算财政拨款807.82万元（本级财力807.82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2019年部门预算总支出807.82万元。财政拨款安排支出 807.82万元，其中，基本支出797.82万元，项目支出10万元。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功能科目分组，盈江县水利局2019年预算支出807.82万元，主要用于以下支出。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1）208类社会保障和就业支出99.28万元，其中：2080501项行政单位离退休支出0.96万元，用于水利局行政退休公用经费；2080502项事业单位离退休2.15万元，用于水利局事业退休公用经费；2080505项机关事业单位基本养老保险缴费支出96.17万元，用于职工机关事业单位应缴纳养老保险。</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（2）213类农林水支出640.33万元，其中：2130301项行政运行，用于人员工资支出135.45万元，商品和服务支出（公务运行经费）</w:t>
      </w:r>
      <w:r>
        <w:rPr>
          <w:rFonts w:hint="eastAsia" w:ascii="宋体" w:hAnsi="宋体" w:eastAsia="宋体" w:cs="宋体"/>
          <w:i w:val="0"/>
          <w:caps w:val="0"/>
          <w:color w:val="333333"/>
          <w:spacing w:val="0"/>
          <w:kern w:val="0"/>
          <w:sz w:val="24"/>
          <w:szCs w:val="24"/>
          <w:lang w:val="en-US" w:eastAsia="zh-CN" w:bidi="ar"/>
        </w:rPr>
        <w:t>16.56</w:t>
      </w:r>
      <w:r>
        <w:rPr>
          <w:rFonts w:hint="eastAsia" w:ascii="宋体" w:hAnsi="宋体" w:eastAsia="宋体" w:cs="宋体"/>
          <w:i w:val="0"/>
          <w:caps w:val="0"/>
          <w:color w:val="333333"/>
          <w:spacing w:val="0"/>
          <w:kern w:val="0"/>
          <w:sz w:val="30"/>
          <w:szCs w:val="30"/>
          <w:lang w:val="en-US" w:eastAsia="zh-CN" w:bidi="ar"/>
        </w:rPr>
        <w:t>万元，对个人和家庭补助（水利局离退休职工遗属补助）3.24万元；2130399项其他水利支出用于人员工资支出450.08万元，商品和服务支出（公务运行经费）</w:t>
      </w:r>
      <w:r>
        <w:rPr>
          <w:rFonts w:hint="eastAsia" w:ascii="宋体" w:hAnsi="宋体" w:eastAsia="宋体" w:cs="宋体"/>
          <w:i w:val="0"/>
          <w:caps w:val="0"/>
          <w:color w:val="333333"/>
          <w:spacing w:val="0"/>
          <w:kern w:val="0"/>
          <w:sz w:val="24"/>
          <w:szCs w:val="24"/>
          <w:lang w:val="en-US" w:eastAsia="zh-CN" w:bidi="ar"/>
        </w:rPr>
        <w:t>25</w:t>
      </w:r>
      <w:r>
        <w:rPr>
          <w:rFonts w:hint="eastAsia" w:ascii="宋体" w:hAnsi="宋体" w:eastAsia="宋体" w:cs="宋体"/>
          <w:i w:val="0"/>
          <w:caps w:val="0"/>
          <w:color w:val="333333"/>
          <w:spacing w:val="0"/>
          <w:kern w:val="0"/>
          <w:sz w:val="30"/>
          <w:szCs w:val="30"/>
          <w:lang w:val="en-US" w:eastAsia="zh-CN" w:bidi="ar"/>
        </w:rPr>
        <w:t>万元；2130314项防汛10万元，用于防汛期间防汛抢险、汛期专业工工资、信息服务、防汛值班等方面。</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（3）221类住房保障支出68.21万元，其中2210201项住房保障支出68.21万元；主要用于住房公积金。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经济科目分组（其中：基本支出797.82万元，项目支出10万元）。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w:t>
      </w:r>
      <w:r>
        <w:rPr>
          <w:rFonts w:hint="eastAsia" w:ascii="宋体" w:hAnsi="宋体" w:eastAsia="宋体" w:cs="宋体"/>
          <w:i w:val="0"/>
          <w:caps w:val="0"/>
          <w:color w:val="333333"/>
          <w:spacing w:val="0"/>
          <w:kern w:val="0"/>
          <w:sz w:val="24"/>
          <w:szCs w:val="24"/>
          <w:lang w:val="en-US" w:eastAsia="zh-CN" w:bidi="ar"/>
        </w:rPr>
        <w:t>1</w:t>
      </w:r>
      <w:r>
        <w:rPr>
          <w:rFonts w:hint="eastAsia" w:ascii="宋体" w:hAnsi="宋体" w:eastAsia="宋体" w:cs="宋体"/>
          <w:i w:val="0"/>
          <w:caps w:val="0"/>
          <w:color w:val="333333"/>
          <w:spacing w:val="0"/>
          <w:kern w:val="0"/>
          <w:sz w:val="30"/>
          <w:szCs w:val="30"/>
          <w:lang w:val="en-US" w:eastAsia="zh-CN" w:bidi="ar"/>
        </w:rPr>
        <w:t>）基本支出</w:t>
      </w:r>
      <w:r>
        <w:rPr>
          <w:rFonts w:hint="eastAsia" w:ascii="宋体" w:hAnsi="宋体" w:eastAsia="宋体" w:cs="宋体"/>
          <w:i w:val="0"/>
          <w:caps w:val="0"/>
          <w:color w:val="333333"/>
          <w:spacing w:val="0"/>
          <w:kern w:val="0"/>
          <w:sz w:val="24"/>
          <w:szCs w:val="24"/>
          <w:lang w:val="en-US" w:eastAsia="zh-CN" w:bidi="ar"/>
        </w:rPr>
        <w:t>797.82</w:t>
      </w:r>
      <w:r>
        <w:rPr>
          <w:rFonts w:hint="eastAsia" w:ascii="宋体" w:hAnsi="宋体" w:eastAsia="宋体" w:cs="宋体"/>
          <w:i w:val="0"/>
          <w:caps w:val="0"/>
          <w:color w:val="333333"/>
          <w:spacing w:val="0"/>
          <w:kern w:val="0"/>
          <w:sz w:val="30"/>
          <w:szCs w:val="30"/>
          <w:lang w:val="en-US" w:eastAsia="zh-CN" w:bidi="ar"/>
        </w:rPr>
        <w:t>万元，用于以下支出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2080501项基本支出，</w:t>
      </w:r>
      <w:r>
        <w:rPr>
          <w:rFonts w:hint="eastAsia" w:ascii="宋体" w:hAnsi="宋体" w:eastAsia="宋体" w:cs="宋体"/>
          <w:i w:val="0"/>
          <w:caps w:val="0"/>
          <w:color w:val="333333"/>
          <w:spacing w:val="0"/>
          <w:kern w:val="0"/>
          <w:sz w:val="24"/>
          <w:szCs w:val="24"/>
          <w:lang w:val="en-US" w:eastAsia="zh-CN" w:bidi="ar"/>
        </w:rPr>
        <w:t>302</w:t>
      </w:r>
      <w:r>
        <w:rPr>
          <w:rFonts w:hint="eastAsia" w:ascii="宋体" w:hAnsi="宋体" w:eastAsia="宋体" w:cs="宋体"/>
          <w:i w:val="0"/>
          <w:caps w:val="0"/>
          <w:color w:val="333333"/>
          <w:spacing w:val="0"/>
          <w:kern w:val="0"/>
          <w:sz w:val="30"/>
          <w:szCs w:val="30"/>
          <w:lang w:val="en-US" w:eastAsia="zh-CN" w:bidi="ar"/>
        </w:rPr>
        <w:t>商品和服务支出</w:t>
      </w:r>
      <w:r>
        <w:rPr>
          <w:rFonts w:hint="eastAsia" w:ascii="宋体" w:hAnsi="宋体" w:eastAsia="宋体" w:cs="宋体"/>
          <w:i w:val="0"/>
          <w:caps w:val="0"/>
          <w:color w:val="333333"/>
          <w:spacing w:val="0"/>
          <w:kern w:val="0"/>
          <w:sz w:val="24"/>
          <w:szCs w:val="24"/>
          <w:lang w:val="en-US" w:eastAsia="zh-CN" w:bidi="ar"/>
        </w:rPr>
        <w:t>0.96</w:t>
      </w:r>
      <w:r>
        <w:rPr>
          <w:rFonts w:hint="eastAsia" w:ascii="宋体" w:hAnsi="宋体" w:eastAsia="宋体" w:cs="宋体"/>
          <w:i w:val="0"/>
          <w:caps w:val="0"/>
          <w:color w:val="333333"/>
          <w:spacing w:val="0"/>
          <w:kern w:val="0"/>
          <w:sz w:val="30"/>
          <w:szCs w:val="30"/>
          <w:lang w:val="en-US" w:eastAsia="zh-CN" w:bidi="ar"/>
        </w:rPr>
        <w:t>万元，主要用于兑付水利局行政退休公用经费。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 2080502项</w:t>
      </w:r>
      <w:r>
        <w:rPr>
          <w:rFonts w:hint="eastAsia" w:ascii="宋体" w:hAnsi="宋体" w:eastAsia="宋体" w:cs="宋体"/>
          <w:i w:val="0"/>
          <w:caps w:val="0"/>
          <w:color w:val="333333"/>
          <w:spacing w:val="0"/>
          <w:kern w:val="0"/>
          <w:sz w:val="24"/>
          <w:szCs w:val="24"/>
          <w:lang w:val="en-US" w:eastAsia="zh-CN" w:bidi="ar"/>
        </w:rPr>
        <w:t>302</w:t>
      </w:r>
      <w:r>
        <w:rPr>
          <w:rFonts w:hint="eastAsia" w:ascii="宋体" w:hAnsi="宋体" w:eastAsia="宋体" w:cs="宋体"/>
          <w:i w:val="0"/>
          <w:caps w:val="0"/>
          <w:color w:val="333333"/>
          <w:spacing w:val="0"/>
          <w:kern w:val="0"/>
          <w:sz w:val="30"/>
          <w:szCs w:val="30"/>
          <w:lang w:val="en-US" w:eastAsia="zh-CN" w:bidi="ar"/>
        </w:rPr>
        <w:t>商品和服务支出</w:t>
      </w:r>
      <w:r>
        <w:rPr>
          <w:rFonts w:hint="eastAsia" w:ascii="宋体" w:hAnsi="宋体" w:eastAsia="宋体" w:cs="宋体"/>
          <w:i w:val="0"/>
          <w:caps w:val="0"/>
          <w:color w:val="333333"/>
          <w:spacing w:val="0"/>
          <w:kern w:val="0"/>
          <w:sz w:val="24"/>
          <w:szCs w:val="24"/>
          <w:lang w:val="en-US" w:eastAsia="zh-CN" w:bidi="ar"/>
        </w:rPr>
        <w:t>2.15</w:t>
      </w:r>
      <w:r>
        <w:rPr>
          <w:rFonts w:hint="eastAsia" w:ascii="宋体" w:hAnsi="宋体" w:eastAsia="宋体" w:cs="宋体"/>
          <w:i w:val="0"/>
          <w:caps w:val="0"/>
          <w:color w:val="333333"/>
          <w:spacing w:val="0"/>
          <w:kern w:val="0"/>
          <w:sz w:val="30"/>
          <w:szCs w:val="30"/>
          <w:lang w:val="en-US" w:eastAsia="zh-CN" w:bidi="ar"/>
        </w:rPr>
        <w:t>万元主要用于兑付水利局事业退休公用经费。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2080505项</w:t>
      </w:r>
      <w:r>
        <w:rPr>
          <w:rFonts w:hint="eastAsia" w:ascii="宋体" w:hAnsi="宋体" w:eastAsia="宋体" w:cs="宋体"/>
          <w:i w:val="0"/>
          <w:caps w:val="0"/>
          <w:color w:val="333333"/>
          <w:spacing w:val="0"/>
          <w:kern w:val="0"/>
          <w:sz w:val="24"/>
          <w:szCs w:val="24"/>
          <w:lang w:val="en-US" w:eastAsia="zh-CN" w:bidi="ar"/>
        </w:rPr>
        <w:t>301</w:t>
      </w:r>
      <w:r>
        <w:rPr>
          <w:rFonts w:hint="eastAsia" w:ascii="宋体" w:hAnsi="宋体" w:eastAsia="宋体" w:cs="宋体"/>
          <w:i w:val="0"/>
          <w:caps w:val="0"/>
          <w:color w:val="333333"/>
          <w:spacing w:val="0"/>
          <w:kern w:val="0"/>
          <w:sz w:val="30"/>
          <w:szCs w:val="30"/>
          <w:lang w:val="en-US" w:eastAsia="zh-CN" w:bidi="ar"/>
        </w:rPr>
        <w:t>工资福利支出</w:t>
      </w:r>
      <w:r>
        <w:rPr>
          <w:rFonts w:hint="eastAsia" w:ascii="宋体" w:hAnsi="宋体" w:eastAsia="宋体" w:cs="宋体"/>
          <w:i w:val="0"/>
          <w:caps w:val="0"/>
          <w:color w:val="333333"/>
          <w:spacing w:val="0"/>
          <w:kern w:val="0"/>
          <w:sz w:val="24"/>
          <w:szCs w:val="24"/>
          <w:lang w:val="en-US" w:eastAsia="zh-CN" w:bidi="ar"/>
        </w:rPr>
        <w:t>96.17</w:t>
      </w:r>
      <w:r>
        <w:rPr>
          <w:rFonts w:hint="eastAsia" w:ascii="宋体" w:hAnsi="宋体" w:eastAsia="宋体" w:cs="宋体"/>
          <w:i w:val="0"/>
          <w:caps w:val="0"/>
          <w:color w:val="333333"/>
          <w:spacing w:val="0"/>
          <w:kern w:val="0"/>
          <w:sz w:val="30"/>
          <w:szCs w:val="30"/>
          <w:lang w:val="en-US" w:eastAsia="zh-CN" w:bidi="ar"/>
        </w:rPr>
        <w:t>万元，主要用于兑付职工机关事业单位应缴纳养老保险。</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2130301项301工资福利支出135.45万元。主要用于兑付行政职工工资。302商品和服务支出16.56万元。主要用于办公费、水费、电费、邮电费、差旅费、公务接待费、公务用车运行维护费、其他交通费用。303对个人和家庭的补助支出3.24万元。主要用于水利局退休职工遗属补助。</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2130399项</w:t>
      </w:r>
      <w:r>
        <w:rPr>
          <w:rFonts w:hint="eastAsia" w:ascii="宋体" w:hAnsi="宋体" w:eastAsia="宋体" w:cs="宋体"/>
          <w:i w:val="0"/>
          <w:caps w:val="0"/>
          <w:color w:val="333333"/>
          <w:spacing w:val="0"/>
          <w:kern w:val="0"/>
          <w:sz w:val="24"/>
          <w:szCs w:val="24"/>
          <w:lang w:val="en-US" w:eastAsia="zh-CN" w:bidi="ar"/>
        </w:rPr>
        <w:t>399</w:t>
      </w:r>
      <w:r>
        <w:rPr>
          <w:rFonts w:hint="eastAsia" w:ascii="宋体" w:hAnsi="宋体" w:eastAsia="宋体" w:cs="宋体"/>
          <w:i w:val="0"/>
          <w:caps w:val="0"/>
          <w:color w:val="333333"/>
          <w:spacing w:val="0"/>
          <w:kern w:val="0"/>
          <w:sz w:val="30"/>
          <w:szCs w:val="30"/>
          <w:lang w:val="en-US" w:eastAsia="zh-CN" w:bidi="ar"/>
        </w:rPr>
        <w:t>工资福利支出450.08万元，主要用于兑付事业职工工资。302商品和服务支出25万元。主要用于办公费、水费、电费、邮电费、差旅费、公务接待费、公务用车运行维护费、其他交通费用。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2210201项</w:t>
      </w:r>
      <w:r>
        <w:rPr>
          <w:rFonts w:hint="eastAsia" w:ascii="宋体" w:hAnsi="宋体" w:eastAsia="宋体" w:cs="宋体"/>
          <w:i w:val="0"/>
          <w:caps w:val="0"/>
          <w:color w:val="333333"/>
          <w:spacing w:val="0"/>
          <w:kern w:val="0"/>
          <w:sz w:val="24"/>
          <w:szCs w:val="24"/>
          <w:lang w:val="en-US" w:eastAsia="zh-CN" w:bidi="ar"/>
        </w:rPr>
        <w:t>301</w:t>
      </w:r>
      <w:r>
        <w:rPr>
          <w:rFonts w:hint="eastAsia" w:ascii="宋体" w:hAnsi="宋体" w:eastAsia="宋体" w:cs="宋体"/>
          <w:i w:val="0"/>
          <w:caps w:val="0"/>
          <w:color w:val="333333"/>
          <w:spacing w:val="0"/>
          <w:kern w:val="0"/>
          <w:sz w:val="30"/>
          <w:szCs w:val="30"/>
          <w:lang w:val="en-US" w:eastAsia="zh-CN" w:bidi="ar"/>
        </w:rPr>
        <w:t>住房公积金68.21万元，主要用于兑付职工住房公积金。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w:t>
      </w:r>
      <w:r>
        <w:rPr>
          <w:rFonts w:hint="eastAsia" w:ascii="宋体" w:hAnsi="宋体" w:eastAsia="宋体" w:cs="宋体"/>
          <w:i w:val="0"/>
          <w:caps w:val="0"/>
          <w:color w:val="333333"/>
          <w:spacing w:val="0"/>
          <w:kern w:val="0"/>
          <w:sz w:val="24"/>
          <w:szCs w:val="24"/>
          <w:lang w:val="en-US" w:eastAsia="zh-CN" w:bidi="ar"/>
        </w:rPr>
        <w:t>2</w:t>
      </w:r>
      <w:r>
        <w:rPr>
          <w:rFonts w:hint="eastAsia" w:ascii="宋体" w:hAnsi="宋体" w:eastAsia="宋体" w:cs="宋体"/>
          <w:i w:val="0"/>
          <w:caps w:val="0"/>
          <w:color w:val="333333"/>
          <w:spacing w:val="0"/>
          <w:kern w:val="0"/>
          <w:sz w:val="30"/>
          <w:szCs w:val="30"/>
          <w:lang w:val="en-US" w:eastAsia="zh-CN" w:bidi="ar"/>
        </w:rPr>
        <w:t>）项目支出</w:t>
      </w:r>
      <w:r>
        <w:rPr>
          <w:rFonts w:hint="eastAsia" w:ascii="宋体" w:hAnsi="宋体" w:eastAsia="宋体" w:cs="宋体"/>
          <w:i w:val="0"/>
          <w:caps w:val="0"/>
          <w:color w:val="333333"/>
          <w:spacing w:val="0"/>
          <w:kern w:val="0"/>
          <w:sz w:val="24"/>
          <w:szCs w:val="24"/>
          <w:lang w:val="en-US" w:eastAsia="zh-CN" w:bidi="ar"/>
        </w:rPr>
        <w:t>10</w:t>
      </w:r>
      <w:r>
        <w:rPr>
          <w:rFonts w:hint="eastAsia" w:ascii="宋体" w:hAnsi="宋体" w:eastAsia="宋体" w:cs="宋体"/>
          <w:i w:val="0"/>
          <w:caps w:val="0"/>
          <w:color w:val="333333"/>
          <w:spacing w:val="0"/>
          <w:kern w:val="0"/>
          <w:sz w:val="30"/>
          <w:szCs w:val="30"/>
          <w:lang w:val="en-US" w:eastAsia="zh-CN" w:bidi="ar"/>
        </w:rPr>
        <w:t>万元，用于以下支出。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2130314项310资本性支出10万元。主要用于支出防汛期间防汛抢险、汛期专业工工资、信息服务、防汛值班等方面支出。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五、对下专项转移支付情况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本单位</w:t>
      </w:r>
      <w:r>
        <w:rPr>
          <w:rFonts w:hint="eastAsia" w:ascii="宋体" w:hAnsi="宋体" w:eastAsia="宋体" w:cs="宋体"/>
          <w:i w:val="0"/>
          <w:caps w:val="0"/>
          <w:color w:val="333333"/>
          <w:spacing w:val="0"/>
          <w:kern w:val="0"/>
          <w:sz w:val="24"/>
          <w:szCs w:val="24"/>
          <w:lang w:val="en-US" w:eastAsia="zh-CN" w:bidi="ar"/>
        </w:rPr>
        <w:t>2019</w:t>
      </w:r>
      <w:r>
        <w:rPr>
          <w:rFonts w:hint="eastAsia" w:ascii="宋体" w:hAnsi="宋体" w:eastAsia="宋体" w:cs="宋体"/>
          <w:i w:val="0"/>
          <w:caps w:val="0"/>
          <w:color w:val="333333"/>
          <w:spacing w:val="0"/>
          <w:kern w:val="0"/>
          <w:sz w:val="30"/>
          <w:szCs w:val="30"/>
          <w:lang w:val="en-US" w:eastAsia="zh-CN" w:bidi="ar"/>
        </w:rPr>
        <w:t>年无县对下专项转移支付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2019年本单位无政府采购项目。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（一）2018年年初预算安排1172.66万元（其中基本1152.66万元，项目20.00万元），2019年年初预算安排807.82万元（其中基本797.82万元，项目10.00万元）。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2019年基本支出</w:t>
      </w:r>
      <w:r>
        <w:rPr>
          <w:rFonts w:hint="eastAsia" w:ascii="宋体" w:hAnsi="宋体" w:eastAsia="宋体" w:cs="宋体"/>
          <w:i w:val="0"/>
          <w:caps w:val="0"/>
          <w:color w:val="333333"/>
          <w:spacing w:val="0"/>
          <w:kern w:val="0"/>
          <w:sz w:val="24"/>
          <w:szCs w:val="24"/>
          <w:lang w:val="en-US" w:eastAsia="zh-CN" w:bidi="ar"/>
        </w:rPr>
        <w:t>797.82</w:t>
      </w:r>
      <w:r>
        <w:rPr>
          <w:rFonts w:hint="eastAsia" w:ascii="宋体" w:hAnsi="宋体" w:eastAsia="宋体" w:cs="宋体"/>
          <w:i w:val="0"/>
          <w:caps w:val="0"/>
          <w:color w:val="333333"/>
          <w:spacing w:val="0"/>
          <w:kern w:val="0"/>
          <w:sz w:val="30"/>
          <w:szCs w:val="30"/>
          <w:lang w:val="en-US" w:eastAsia="zh-CN" w:bidi="ar"/>
        </w:rPr>
        <w:t>比2018年基本支出</w:t>
      </w:r>
      <w:r>
        <w:rPr>
          <w:rFonts w:hint="eastAsia" w:ascii="宋体" w:hAnsi="宋体" w:eastAsia="宋体" w:cs="宋体"/>
          <w:i w:val="0"/>
          <w:caps w:val="0"/>
          <w:color w:val="333333"/>
          <w:spacing w:val="0"/>
          <w:kern w:val="0"/>
          <w:sz w:val="24"/>
          <w:szCs w:val="24"/>
          <w:lang w:val="en-US" w:eastAsia="zh-CN" w:bidi="ar"/>
        </w:rPr>
        <w:t>1152.66</w:t>
      </w:r>
      <w:r>
        <w:rPr>
          <w:rFonts w:hint="eastAsia" w:ascii="宋体" w:hAnsi="宋体" w:eastAsia="宋体" w:cs="宋体"/>
          <w:i w:val="0"/>
          <w:caps w:val="0"/>
          <w:color w:val="333333"/>
          <w:spacing w:val="0"/>
          <w:kern w:val="0"/>
          <w:sz w:val="30"/>
          <w:szCs w:val="30"/>
          <w:lang w:val="en-US" w:eastAsia="zh-CN" w:bidi="ar"/>
        </w:rPr>
        <w:t>万元减少</w:t>
      </w:r>
      <w:r>
        <w:rPr>
          <w:rFonts w:hint="eastAsia" w:ascii="宋体" w:hAnsi="宋体" w:eastAsia="宋体" w:cs="宋体"/>
          <w:i w:val="0"/>
          <w:caps w:val="0"/>
          <w:color w:val="333333"/>
          <w:spacing w:val="0"/>
          <w:kern w:val="0"/>
          <w:sz w:val="24"/>
          <w:szCs w:val="24"/>
          <w:lang w:val="en-US" w:eastAsia="zh-CN" w:bidi="ar"/>
        </w:rPr>
        <w:t>354.84</w:t>
      </w:r>
      <w:r>
        <w:rPr>
          <w:rFonts w:hint="eastAsia" w:ascii="宋体" w:hAnsi="宋体" w:eastAsia="宋体" w:cs="宋体"/>
          <w:i w:val="0"/>
          <w:caps w:val="0"/>
          <w:color w:val="333333"/>
          <w:spacing w:val="0"/>
          <w:kern w:val="0"/>
          <w:sz w:val="30"/>
          <w:szCs w:val="30"/>
          <w:lang w:val="en-US" w:eastAsia="zh-CN" w:bidi="ar"/>
        </w:rPr>
        <w:t>万元，增减幅度30.78%，减少的原因是事业编制退休4人，行政工勤人员调出1人。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2019年项目支出</w:t>
      </w:r>
      <w:r>
        <w:rPr>
          <w:rFonts w:hint="eastAsia" w:ascii="宋体" w:hAnsi="宋体" w:eastAsia="宋体" w:cs="宋体"/>
          <w:i w:val="0"/>
          <w:caps w:val="0"/>
          <w:color w:val="333333"/>
          <w:spacing w:val="0"/>
          <w:kern w:val="0"/>
          <w:sz w:val="24"/>
          <w:szCs w:val="24"/>
          <w:lang w:val="en-US" w:eastAsia="zh-CN" w:bidi="ar"/>
        </w:rPr>
        <w:t>10</w:t>
      </w:r>
      <w:r>
        <w:rPr>
          <w:rFonts w:hint="eastAsia" w:ascii="宋体" w:hAnsi="宋体" w:eastAsia="宋体" w:cs="宋体"/>
          <w:i w:val="0"/>
          <w:caps w:val="0"/>
          <w:color w:val="333333"/>
          <w:spacing w:val="0"/>
          <w:kern w:val="0"/>
          <w:sz w:val="30"/>
          <w:szCs w:val="30"/>
          <w:lang w:val="en-US" w:eastAsia="zh-CN" w:bidi="ar"/>
        </w:rPr>
        <w:t>万元比2018年项目支出</w:t>
      </w:r>
      <w:r>
        <w:rPr>
          <w:rFonts w:hint="eastAsia" w:ascii="宋体" w:hAnsi="宋体" w:eastAsia="宋体" w:cs="宋体"/>
          <w:i w:val="0"/>
          <w:caps w:val="0"/>
          <w:color w:val="333333"/>
          <w:spacing w:val="0"/>
          <w:kern w:val="0"/>
          <w:sz w:val="24"/>
          <w:szCs w:val="24"/>
          <w:lang w:val="en-US" w:eastAsia="zh-CN" w:bidi="ar"/>
        </w:rPr>
        <w:t>20</w:t>
      </w:r>
      <w:r>
        <w:rPr>
          <w:rFonts w:hint="eastAsia" w:ascii="宋体" w:hAnsi="宋体" w:eastAsia="宋体" w:cs="宋体"/>
          <w:i w:val="0"/>
          <w:caps w:val="0"/>
          <w:color w:val="333333"/>
          <w:spacing w:val="0"/>
          <w:kern w:val="0"/>
          <w:sz w:val="30"/>
          <w:szCs w:val="30"/>
          <w:lang w:val="en-US" w:eastAsia="zh-CN" w:bidi="ar"/>
        </w:rPr>
        <w:t>万元减少</w:t>
      </w:r>
      <w:r>
        <w:rPr>
          <w:rFonts w:hint="eastAsia" w:ascii="宋体" w:hAnsi="宋体" w:eastAsia="宋体" w:cs="宋体"/>
          <w:i w:val="0"/>
          <w:caps w:val="0"/>
          <w:color w:val="333333"/>
          <w:spacing w:val="0"/>
          <w:kern w:val="0"/>
          <w:sz w:val="24"/>
          <w:szCs w:val="24"/>
          <w:lang w:val="en-US" w:eastAsia="zh-CN" w:bidi="ar"/>
        </w:rPr>
        <w:t>10</w:t>
      </w:r>
      <w:r>
        <w:rPr>
          <w:rFonts w:hint="eastAsia" w:ascii="宋体" w:hAnsi="宋体" w:eastAsia="宋体" w:cs="宋体"/>
          <w:i w:val="0"/>
          <w:caps w:val="0"/>
          <w:color w:val="333333"/>
          <w:spacing w:val="0"/>
          <w:kern w:val="0"/>
          <w:sz w:val="30"/>
          <w:szCs w:val="30"/>
          <w:lang w:val="en-US" w:eastAsia="zh-CN" w:bidi="ar"/>
        </w:rPr>
        <w:t>万元，增减幅度50%，减少的原因是预算减少。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（二）部门</w:t>
      </w:r>
      <w:r>
        <w:rPr>
          <w:rFonts w:hint="eastAsia" w:ascii="宋体" w:hAnsi="宋体" w:eastAsia="宋体" w:cs="宋体"/>
          <w:i w:val="0"/>
          <w:caps w:val="0"/>
          <w:color w:val="333333"/>
          <w:spacing w:val="0"/>
          <w:kern w:val="0"/>
          <w:sz w:val="24"/>
          <w:szCs w:val="24"/>
          <w:lang w:val="en-US" w:eastAsia="zh-CN" w:bidi="ar"/>
        </w:rPr>
        <w:t>“</w:t>
      </w:r>
      <w:r>
        <w:rPr>
          <w:rFonts w:hint="eastAsia" w:ascii="宋体" w:hAnsi="宋体" w:eastAsia="宋体" w:cs="宋体"/>
          <w:i w:val="0"/>
          <w:caps w:val="0"/>
          <w:color w:val="333333"/>
          <w:spacing w:val="0"/>
          <w:kern w:val="0"/>
          <w:sz w:val="30"/>
          <w:szCs w:val="30"/>
          <w:lang w:val="en-US" w:eastAsia="zh-CN" w:bidi="ar"/>
        </w:rPr>
        <w:t>三公</w:t>
      </w:r>
      <w:r>
        <w:rPr>
          <w:rFonts w:hint="eastAsia" w:ascii="宋体" w:hAnsi="宋体" w:eastAsia="宋体" w:cs="宋体"/>
          <w:i w:val="0"/>
          <w:caps w:val="0"/>
          <w:color w:val="333333"/>
          <w:spacing w:val="0"/>
          <w:kern w:val="0"/>
          <w:sz w:val="24"/>
          <w:szCs w:val="24"/>
          <w:lang w:val="en-US" w:eastAsia="zh-CN" w:bidi="ar"/>
        </w:rPr>
        <w:t>”</w:t>
      </w:r>
      <w:r>
        <w:rPr>
          <w:rFonts w:hint="eastAsia" w:ascii="宋体" w:hAnsi="宋体" w:eastAsia="宋体" w:cs="宋体"/>
          <w:i w:val="0"/>
          <w:caps w:val="0"/>
          <w:color w:val="333333"/>
          <w:spacing w:val="0"/>
          <w:kern w:val="0"/>
          <w:sz w:val="30"/>
          <w:szCs w:val="30"/>
          <w:lang w:val="en-US" w:eastAsia="zh-CN" w:bidi="ar"/>
        </w:rPr>
        <w:t>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⑴因公出国（境）经费预算拟安排0万元。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2018年预算安排0万元，2019年预算安排0万元，持平。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⑵公务接待费预算拟安排9万元。主要用于按规定开支的各类公务接待产生的费用。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2018年预算拟安排9万元，2019年预算拟安排9万元，持平。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⑶公务用车购置及运行维护费拟安排公务用车购置及运行维护费10万元，其中：购置经费0万元、运行维护费10万元，主要用于保障政府部门、党群部门、其他部门公务工作开展，拟产生的公务用车燃料费、维修费、过路过桥费、保险费等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2018年公务用车购置及运行维护费预算拟安排10万元，2019年公务用车购置及运行维护费预算拟安排10万元，持平。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（一）专业名词解释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财政拨款收入：是指行政单位从同级财政部门取得的财政预算资金。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基本支出：为保障机构正常运行，完成日常工作任务而发生的人员支出和公用支出。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项目支出：指在基本支出之外为完成特定行政任务和事业发展目标所发生的支出。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用等支出;公务接待费反映单位按规定开支的各类公务接待 (含外宾接待)支出。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机关运行经费:用于购买货物和服务的各项资金，包括办公及印刷费、邮电费、差旅费、会议费、福利费、日常维修费、一般设备购置费、办公用房水电费、办公用房取暖费、以及其他费用。</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30"/>
          <w:szCs w:val="30"/>
        </w:rPr>
        <w:t>对个人和家庭的补助支出：反映政府对个人和家庭的无偿性补助支出。具体包括离休费、退休费、退职（役）费、抚恤和生活补助、医疗费、住房公积金、助学金、其他等。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2019年盈江县水利局预算机关运行经费支出44.67万元比2018年盈江县水利局预算机关运行经费支出64.49万元减少19.82万元，减少的原因是盈江县水利局认真贯彻落实中央八项规定精神和厉行节约的有关要求，严控办公用品，节约用水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部门机关运行经费主要用于：30201办公费13.11万元比2018年办公费19.49万元减少6.38万元，减少的原因严格控制办公用品数量，节约使用办公用品；30205水费1.5万元比2018年2.8万元减少1.3万元，减少的原因是经常检查供水设备，节约用水；30206电费2.5万元比2018年3.9万元减少1.4万元，减少的原因是节约</w:t>
      </w:r>
      <w:r>
        <w:rPr>
          <w:rFonts w:hint="eastAsia" w:ascii="宋体" w:hAnsi="宋体" w:eastAsia="宋体" w:cs="宋体"/>
          <w:b w:val="0"/>
          <w:i w:val="0"/>
          <w:caps w:val="0"/>
          <w:color w:val="666666"/>
          <w:spacing w:val="0"/>
          <w:kern w:val="0"/>
          <w:sz w:val="24"/>
          <w:szCs w:val="24"/>
          <w:u w:val="none"/>
          <w:lang w:val="en-US" w:eastAsia="zh-CN" w:bidi="ar"/>
        </w:rPr>
        <w:fldChar w:fldCharType="begin"/>
      </w:r>
      <w:r>
        <w:rPr>
          <w:rFonts w:hint="eastAsia" w:ascii="宋体" w:hAnsi="宋体" w:eastAsia="宋体" w:cs="宋体"/>
          <w:b w:val="0"/>
          <w:i w:val="0"/>
          <w:caps w:val="0"/>
          <w:color w:val="666666"/>
          <w:spacing w:val="0"/>
          <w:kern w:val="0"/>
          <w:sz w:val="24"/>
          <w:szCs w:val="24"/>
          <w:u w:val="none"/>
          <w:lang w:val="en-US" w:eastAsia="zh-CN" w:bidi="ar"/>
        </w:rPr>
        <w:instrText xml:space="preserve"> HYPERLINK "http://www.so.com/s?q=%E7%94%A8%E7%94%B5&amp;ie=utf-8&amp;src=internal_wenda_recommend_textn" </w:instrText>
      </w:r>
      <w:r>
        <w:rPr>
          <w:rFonts w:hint="eastAsia" w:ascii="宋体" w:hAnsi="宋体" w:eastAsia="宋体" w:cs="宋体"/>
          <w:b w:val="0"/>
          <w:i w:val="0"/>
          <w:caps w:val="0"/>
          <w:color w:val="666666"/>
          <w:spacing w:val="0"/>
          <w:kern w:val="0"/>
          <w:sz w:val="24"/>
          <w:szCs w:val="24"/>
          <w:u w:val="none"/>
          <w:lang w:val="en-US" w:eastAsia="zh-CN" w:bidi="ar"/>
        </w:rPr>
        <w:fldChar w:fldCharType="separate"/>
      </w:r>
      <w:r>
        <w:rPr>
          <w:rStyle w:val="10"/>
          <w:rFonts w:hint="eastAsia" w:ascii="宋体" w:hAnsi="宋体" w:eastAsia="宋体" w:cs="宋体"/>
          <w:b w:val="0"/>
          <w:i w:val="0"/>
          <w:caps w:val="0"/>
          <w:color w:val="000000"/>
          <w:spacing w:val="0"/>
          <w:sz w:val="24"/>
          <w:szCs w:val="24"/>
          <w:u w:val="none"/>
        </w:rPr>
        <w:t>用电</w:t>
      </w:r>
      <w:r>
        <w:rPr>
          <w:rFonts w:hint="eastAsia" w:ascii="宋体" w:hAnsi="宋体" w:eastAsia="宋体" w:cs="宋体"/>
          <w:b w:val="0"/>
          <w:i w:val="0"/>
          <w:caps w:val="0"/>
          <w:color w:val="666666"/>
          <w:spacing w:val="0"/>
          <w:kern w:val="0"/>
          <w:sz w:val="24"/>
          <w:szCs w:val="24"/>
          <w:u w:val="none"/>
          <w:lang w:val="en-US" w:eastAsia="zh-CN" w:bidi="ar"/>
        </w:rPr>
        <w:fldChar w:fldCharType="end"/>
      </w:r>
      <w:r>
        <w:rPr>
          <w:rFonts w:hint="eastAsia" w:ascii="宋体" w:hAnsi="宋体" w:eastAsia="宋体" w:cs="宋体"/>
          <w:i w:val="0"/>
          <w:caps w:val="0"/>
          <w:color w:val="000000"/>
          <w:spacing w:val="0"/>
          <w:kern w:val="0"/>
          <w:sz w:val="24"/>
          <w:szCs w:val="24"/>
          <w:lang w:val="en-US" w:eastAsia="zh-CN" w:bidi="ar"/>
        </w:rPr>
        <w:t>,</w:t>
      </w:r>
      <w:r>
        <w:rPr>
          <w:rFonts w:hint="eastAsia" w:ascii="宋体" w:hAnsi="宋体" w:eastAsia="宋体" w:cs="宋体"/>
          <w:i w:val="0"/>
          <w:caps w:val="0"/>
          <w:color w:val="333333"/>
          <w:spacing w:val="0"/>
          <w:kern w:val="0"/>
          <w:sz w:val="24"/>
          <w:szCs w:val="24"/>
          <w:lang w:val="en-US" w:eastAsia="zh-CN" w:bidi="ar"/>
        </w:rPr>
        <w:t>下班后关闭所有电源；30207邮电费6万元比2018年12.7万元减少6.7万元，减少的原因是厉行节约，严格控制邮电费支出；30211差旅费7万元比2018年6.1万元增加0.9万元，增加的原因是外出培训、参加会议增加，30217公务接待费2万元比2018年9万元减少7万元，减少的原因是盈江县水利局认真贯彻落实中央八项规定精神和厉行节约的有关要求，从严控制接待经费支出；30231公务用车运行维护费2万元比2018年10万元减少8万元，减少的原因是原因盈江县水利局认真贯彻落实中央八项规定精神和厉行节约的有关要求，从严控制公务用车运行经费支出，30239其他交通费用10.56万元比2018年0元增加10.56万元，增加的原因是单位公务用车改革，本单位公务车辆减少，租用公务用车增加。</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（三）国有资产占用情况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（四）本部门预算绩效情况说明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⑴基本支出797.82万元，主要用于保障人员经费，保障单位运行。绩效指标来源，盈财预分指[2019]47号，盈江县财政局关于下达2019年部门预算批复的通知。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⑵项目支出：2019年年度水利防汛费10万元，主要用于防主要用于防汛期间防汛抢险、汛期专业工工资、信息服务、防汛值班等方面的开支，确保开展防汛工作有经费做保障。（县级资金10万元，其中：（1）、防汛抢险应急费43200元；（2）、汛期专业队工资56800元）。绩效指标来源，盈财预分指[2019]47号，盈江县财政局关于下达2019年部门预算批复的通知。</w:t>
      </w:r>
    </w:p>
    <w:p/>
    <w:p>
      <w:pPr>
        <w:rPr>
          <w:rFonts w:ascii="Arial" w:hAnsi="Arial" w:eastAsia="Arial" w:cs="Arial"/>
          <w:b/>
          <w:sz w:val="36"/>
        </w:rPr>
      </w:pPr>
      <w:r>
        <w:rPr>
          <w:rFonts w:ascii="Arial" w:hAnsi="Arial" w:eastAsia="Arial" w:cs="Arial"/>
          <w:b/>
          <w:sz w:val="36"/>
        </w:rPr>
        <w:t>监督索引号53312300633200111</w:t>
      </w:r>
    </w:p>
    <w:sectPr>
      <w:headerReference r:id="rId7" w:type="first"/>
      <w:footerReference r:id="rId10" w:type="first"/>
      <w:headerReference r:id="rId5" w:type="default"/>
      <w:footerReference r:id="rId8" w:type="default"/>
      <w:headerReference r:id="rId6" w:type="even"/>
      <w:footerReference r:id="rId9"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147D"/>
    <w:rsid w:val="000237AB"/>
    <w:rsid w:val="0003248D"/>
    <w:rsid w:val="00034005"/>
    <w:rsid w:val="0003715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6ACD"/>
    <w:rsid w:val="000A74AF"/>
    <w:rsid w:val="000A7B19"/>
    <w:rsid w:val="000B0125"/>
    <w:rsid w:val="000B59B5"/>
    <w:rsid w:val="000B5BAB"/>
    <w:rsid w:val="000B7EA9"/>
    <w:rsid w:val="000C3AE5"/>
    <w:rsid w:val="000C5123"/>
    <w:rsid w:val="000C51D7"/>
    <w:rsid w:val="000D4394"/>
    <w:rsid w:val="000E2B18"/>
    <w:rsid w:val="000E4503"/>
    <w:rsid w:val="000E530D"/>
    <w:rsid w:val="000F365A"/>
    <w:rsid w:val="000F4C86"/>
    <w:rsid w:val="001046C0"/>
    <w:rsid w:val="00104701"/>
    <w:rsid w:val="00114FB7"/>
    <w:rsid w:val="00122B32"/>
    <w:rsid w:val="00123DF3"/>
    <w:rsid w:val="001265C4"/>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3ECE"/>
    <w:rsid w:val="00155639"/>
    <w:rsid w:val="00155ABC"/>
    <w:rsid w:val="00155D5E"/>
    <w:rsid w:val="00157BA7"/>
    <w:rsid w:val="0017029C"/>
    <w:rsid w:val="001704E4"/>
    <w:rsid w:val="00175223"/>
    <w:rsid w:val="00175B2E"/>
    <w:rsid w:val="00176F17"/>
    <w:rsid w:val="001804E3"/>
    <w:rsid w:val="00180C9A"/>
    <w:rsid w:val="00182D13"/>
    <w:rsid w:val="00183B42"/>
    <w:rsid w:val="00186C54"/>
    <w:rsid w:val="00192C05"/>
    <w:rsid w:val="00197CAA"/>
    <w:rsid w:val="00197E5D"/>
    <w:rsid w:val="001A1B3A"/>
    <w:rsid w:val="001A23E3"/>
    <w:rsid w:val="001A3CEE"/>
    <w:rsid w:val="001A784A"/>
    <w:rsid w:val="001B045D"/>
    <w:rsid w:val="001C1C89"/>
    <w:rsid w:val="001C55D5"/>
    <w:rsid w:val="001C5E7C"/>
    <w:rsid w:val="001C7E99"/>
    <w:rsid w:val="001D120C"/>
    <w:rsid w:val="001E03BD"/>
    <w:rsid w:val="001E684A"/>
    <w:rsid w:val="00200BD6"/>
    <w:rsid w:val="00213694"/>
    <w:rsid w:val="00216177"/>
    <w:rsid w:val="002230AE"/>
    <w:rsid w:val="002247D0"/>
    <w:rsid w:val="00224F80"/>
    <w:rsid w:val="0022507C"/>
    <w:rsid w:val="00226979"/>
    <w:rsid w:val="002272A3"/>
    <w:rsid w:val="002406F5"/>
    <w:rsid w:val="00242E76"/>
    <w:rsid w:val="00243464"/>
    <w:rsid w:val="002462A8"/>
    <w:rsid w:val="00247731"/>
    <w:rsid w:val="00253C74"/>
    <w:rsid w:val="00262BAD"/>
    <w:rsid w:val="002726B1"/>
    <w:rsid w:val="002727D0"/>
    <w:rsid w:val="002749C8"/>
    <w:rsid w:val="00275325"/>
    <w:rsid w:val="00281C06"/>
    <w:rsid w:val="00281FD7"/>
    <w:rsid w:val="00285DC4"/>
    <w:rsid w:val="002908B1"/>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4731A"/>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345C8"/>
    <w:rsid w:val="00445161"/>
    <w:rsid w:val="004457F4"/>
    <w:rsid w:val="004472BF"/>
    <w:rsid w:val="00447C85"/>
    <w:rsid w:val="004544A9"/>
    <w:rsid w:val="00455E38"/>
    <w:rsid w:val="00456CDD"/>
    <w:rsid w:val="004605B3"/>
    <w:rsid w:val="00467CD2"/>
    <w:rsid w:val="004718A9"/>
    <w:rsid w:val="00476EC1"/>
    <w:rsid w:val="0048032E"/>
    <w:rsid w:val="00480582"/>
    <w:rsid w:val="0048694C"/>
    <w:rsid w:val="00490E44"/>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35A2"/>
    <w:rsid w:val="005053A5"/>
    <w:rsid w:val="005054B5"/>
    <w:rsid w:val="00505533"/>
    <w:rsid w:val="00506344"/>
    <w:rsid w:val="005148D7"/>
    <w:rsid w:val="00521069"/>
    <w:rsid w:val="005248EA"/>
    <w:rsid w:val="0052572D"/>
    <w:rsid w:val="005347CE"/>
    <w:rsid w:val="005431C8"/>
    <w:rsid w:val="005463F4"/>
    <w:rsid w:val="005522A7"/>
    <w:rsid w:val="00552BA8"/>
    <w:rsid w:val="00553648"/>
    <w:rsid w:val="0055409A"/>
    <w:rsid w:val="00563EEF"/>
    <w:rsid w:val="005711E7"/>
    <w:rsid w:val="00572E90"/>
    <w:rsid w:val="00575EDA"/>
    <w:rsid w:val="00591B91"/>
    <w:rsid w:val="005952DC"/>
    <w:rsid w:val="005A00B7"/>
    <w:rsid w:val="005A1F0D"/>
    <w:rsid w:val="005A51EE"/>
    <w:rsid w:val="005A5D4D"/>
    <w:rsid w:val="005B0445"/>
    <w:rsid w:val="005B0A4A"/>
    <w:rsid w:val="005B5412"/>
    <w:rsid w:val="005B679B"/>
    <w:rsid w:val="005B77D3"/>
    <w:rsid w:val="005C470B"/>
    <w:rsid w:val="005C66D3"/>
    <w:rsid w:val="005D245F"/>
    <w:rsid w:val="005D3061"/>
    <w:rsid w:val="005D6260"/>
    <w:rsid w:val="005D6D58"/>
    <w:rsid w:val="005E6A58"/>
    <w:rsid w:val="005F310F"/>
    <w:rsid w:val="005F6F5C"/>
    <w:rsid w:val="00602B8A"/>
    <w:rsid w:val="0060314C"/>
    <w:rsid w:val="00610CF7"/>
    <w:rsid w:val="00612D63"/>
    <w:rsid w:val="00614B12"/>
    <w:rsid w:val="006150EC"/>
    <w:rsid w:val="006164DB"/>
    <w:rsid w:val="0061679D"/>
    <w:rsid w:val="00623558"/>
    <w:rsid w:val="006253D8"/>
    <w:rsid w:val="00626153"/>
    <w:rsid w:val="006374A1"/>
    <w:rsid w:val="00651B6C"/>
    <w:rsid w:val="006540CB"/>
    <w:rsid w:val="00660B2A"/>
    <w:rsid w:val="00663D84"/>
    <w:rsid w:val="00675718"/>
    <w:rsid w:val="006776E0"/>
    <w:rsid w:val="00682553"/>
    <w:rsid w:val="0068515C"/>
    <w:rsid w:val="0068667C"/>
    <w:rsid w:val="0069247C"/>
    <w:rsid w:val="00692C5D"/>
    <w:rsid w:val="006A26A0"/>
    <w:rsid w:val="006A4FDA"/>
    <w:rsid w:val="006A6453"/>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03F0"/>
    <w:rsid w:val="00772DB4"/>
    <w:rsid w:val="00774DD3"/>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7F5D1A"/>
    <w:rsid w:val="00803F6B"/>
    <w:rsid w:val="00805901"/>
    <w:rsid w:val="00811B53"/>
    <w:rsid w:val="00816BAB"/>
    <w:rsid w:val="00817514"/>
    <w:rsid w:val="00825E03"/>
    <w:rsid w:val="00827ECC"/>
    <w:rsid w:val="0083106D"/>
    <w:rsid w:val="0083313F"/>
    <w:rsid w:val="008332C5"/>
    <w:rsid w:val="00834D98"/>
    <w:rsid w:val="00835730"/>
    <w:rsid w:val="00835F23"/>
    <w:rsid w:val="0084210A"/>
    <w:rsid w:val="00845657"/>
    <w:rsid w:val="0084624C"/>
    <w:rsid w:val="00851C1D"/>
    <w:rsid w:val="00864E02"/>
    <w:rsid w:val="00874702"/>
    <w:rsid w:val="008775B4"/>
    <w:rsid w:val="008808A6"/>
    <w:rsid w:val="00884461"/>
    <w:rsid w:val="00885B69"/>
    <w:rsid w:val="00894638"/>
    <w:rsid w:val="008A159E"/>
    <w:rsid w:val="008A38E5"/>
    <w:rsid w:val="008A3F94"/>
    <w:rsid w:val="008A4B32"/>
    <w:rsid w:val="008A6037"/>
    <w:rsid w:val="008B2777"/>
    <w:rsid w:val="008B3519"/>
    <w:rsid w:val="008B4667"/>
    <w:rsid w:val="008B7085"/>
    <w:rsid w:val="008C0CBC"/>
    <w:rsid w:val="008C1602"/>
    <w:rsid w:val="008C1FFC"/>
    <w:rsid w:val="008C4054"/>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0F17"/>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32B9"/>
    <w:rsid w:val="00A472C6"/>
    <w:rsid w:val="00A51E78"/>
    <w:rsid w:val="00A570A1"/>
    <w:rsid w:val="00A60974"/>
    <w:rsid w:val="00A61DCD"/>
    <w:rsid w:val="00A65535"/>
    <w:rsid w:val="00A718D0"/>
    <w:rsid w:val="00A724CF"/>
    <w:rsid w:val="00A7532F"/>
    <w:rsid w:val="00A761CF"/>
    <w:rsid w:val="00A81682"/>
    <w:rsid w:val="00A84D92"/>
    <w:rsid w:val="00A84E65"/>
    <w:rsid w:val="00A95B6C"/>
    <w:rsid w:val="00AA6CE7"/>
    <w:rsid w:val="00AA7480"/>
    <w:rsid w:val="00AB1481"/>
    <w:rsid w:val="00AB2ABB"/>
    <w:rsid w:val="00AB5C67"/>
    <w:rsid w:val="00AB7C98"/>
    <w:rsid w:val="00AC47D9"/>
    <w:rsid w:val="00AC7A02"/>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2F6"/>
    <w:rsid w:val="00B268D9"/>
    <w:rsid w:val="00B26EC9"/>
    <w:rsid w:val="00B31B8F"/>
    <w:rsid w:val="00B333B0"/>
    <w:rsid w:val="00B43561"/>
    <w:rsid w:val="00B440DB"/>
    <w:rsid w:val="00B44128"/>
    <w:rsid w:val="00B4415D"/>
    <w:rsid w:val="00B45103"/>
    <w:rsid w:val="00B45D24"/>
    <w:rsid w:val="00B52992"/>
    <w:rsid w:val="00B538C6"/>
    <w:rsid w:val="00B62018"/>
    <w:rsid w:val="00B63114"/>
    <w:rsid w:val="00B64A22"/>
    <w:rsid w:val="00B67D14"/>
    <w:rsid w:val="00B700C3"/>
    <w:rsid w:val="00B739C6"/>
    <w:rsid w:val="00B8042D"/>
    <w:rsid w:val="00B810FF"/>
    <w:rsid w:val="00B8418B"/>
    <w:rsid w:val="00B84519"/>
    <w:rsid w:val="00B87463"/>
    <w:rsid w:val="00B91E5C"/>
    <w:rsid w:val="00BA00E2"/>
    <w:rsid w:val="00BA4255"/>
    <w:rsid w:val="00BA4F5A"/>
    <w:rsid w:val="00BA7BBA"/>
    <w:rsid w:val="00BB3DE5"/>
    <w:rsid w:val="00BB4394"/>
    <w:rsid w:val="00BB5ABD"/>
    <w:rsid w:val="00BB7789"/>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17535"/>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E3F1D"/>
    <w:rsid w:val="00CF3E52"/>
    <w:rsid w:val="00D00043"/>
    <w:rsid w:val="00D003BE"/>
    <w:rsid w:val="00D03468"/>
    <w:rsid w:val="00D03E18"/>
    <w:rsid w:val="00D06094"/>
    <w:rsid w:val="00D110CC"/>
    <w:rsid w:val="00D1310A"/>
    <w:rsid w:val="00D165B0"/>
    <w:rsid w:val="00D171C4"/>
    <w:rsid w:val="00D249EC"/>
    <w:rsid w:val="00D30CFE"/>
    <w:rsid w:val="00D314BC"/>
    <w:rsid w:val="00D319FC"/>
    <w:rsid w:val="00D37964"/>
    <w:rsid w:val="00D40468"/>
    <w:rsid w:val="00D41BD8"/>
    <w:rsid w:val="00D45C6D"/>
    <w:rsid w:val="00D45FD5"/>
    <w:rsid w:val="00D46D3D"/>
    <w:rsid w:val="00D501E4"/>
    <w:rsid w:val="00D51F3A"/>
    <w:rsid w:val="00D6213F"/>
    <w:rsid w:val="00D62340"/>
    <w:rsid w:val="00D63F18"/>
    <w:rsid w:val="00D6527D"/>
    <w:rsid w:val="00D6795D"/>
    <w:rsid w:val="00D729EC"/>
    <w:rsid w:val="00D74B92"/>
    <w:rsid w:val="00D751F3"/>
    <w:rsid w:val="00D83633"/>
    <w:rsid w:val="00D83A9A"/>
    <w:rsid w:val="00D83DD0"/>
    <w:rsid w:val="00D841C1"/>
    <w:rsid w:val="00D86E6F"/>
    <w:rsid w:val="00D93010"/>
    <w:rsid w:val="00D946E9"/>
    <w:rsid w:val="00D9604F"/>
    <w:rsid w:val="00D9737C"/>
    <w:rsid w:val="00DA76AC"/>
    <w:rsid w:val="00DA7E64"/>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1BD0"/>
    <w:rsid w:val="00E05A1C"/>
    <w:rsid w:val="00E07333"/>
    <w:rsid w:val="00E129EE"/>
    <w:rsid w:val="00E12BAD"/>
    <w:rsid w:val="00E13411"/>
    <w:rsid w:val="00E14AC6"/>
    <w:rsid w:val="00E30F62"/>
    <w:rsid w:val="00E36ECE"/>
    <w:rsid w:val="00E46B69"/>
    <w:rsid w:val="00E573AC"/>
    <w:rsid w:val="00E57B94"/>
    <w:rsid w:val="00E57E1E"/>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2064"/>
    <w:rsid w:val="00F03838"/>
    <w:rsid w:val="00F03945"/>
    <w:rsid w:val="00F04C86"/>
    <w:rsid w:val="00F0598E"/>
    <w:rsid w:val="00F11D4E"/>
    <w:rsid w:val="00F12CC8"/>
    <w:rsid w:val="00F20765"/>
    <w:rsid w:val="00F20D44"/>
    <w:rsid w:val="00F238CE"/>
    <w:rsid w:val="00F24EE1"/>
    <w:rsid w:val="00F32F88"/>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2779"/>
    <w:rsid w:val="00FB35BE"/>
    <w:rsid w:val="00FC43B8"/>
    <w:rsid w:val="00FC4E58"/>
    <w:rsid w:val="00FC51C4"/>
    <w:rsid w:val="00FC7004"/>
    <w:rsid w:val="00FD06A0"/>
    <w:rsid w:val="00FD13FB"/>
    <w:rsid w:val="00FD228E"/>
    <w:rsid w:val="00FD4E9B"/>
    <w:rsid w:val="00FD7D5F"/>
    <w:rsid w:val="00FE1A2F"/>
    <w:rsid w:val="00FE5F50"/>
    <w:rsid w:val="00FF1B25"/>
    <w:rsid w:val="00FF7A85"/>
    <w:rsid w:val="015A0F92"/>
    <w:rsid w:val="025737A0"/>
    <w:rsid w:val="03886B84"/>
    <w:rsid w:val="03F0214E"/>
    <w:rsid w:val="04E81F6E"/>
    <w:rsid w:val="06325B44"/>
    <w:rsid w:val="06493465"/>
    <w:rsid w:val="085733B6"/>
    <w:rsid w:val="0930354F"/>
    <w:rsid w:val="0A1F41C4"/>
    <w:rsid w:val="0AB77A2F"/>
    <w:rsid w:val="0C257E30"/>
    <w:rsid w:val="0FE40165"/>
    <w:rsid w:val="10465EA8"/>
    <w:rsid w:val="10AC28F6"/>
    <w:rsid w:val="13B82353"/>
    <w:rsid w:val="152920C7"/>
    <w:rsid w:val="15930898"/>
    <w:rsid w:val="165D142B"/>
    <w:rsid w:val="166B3524"/>
    <w:rsid w:val="18563BC5"/>
    <w:rsid w:val="18FE70BD"/>
    <w:rsid w:val="1A0B3DDD"/>
    <w:rsid w:val="1D001053"/>
    <w:rsid w:val="1D1B6082"/>
    <w:rsid w:val="1E722EBF"/>
    <w:rsid w:val="1F0B69B5"/>
    <w:rsid w:val="1F125DB3"/>
    <w:rsid w:val="1F5247A7"/>
    <w:rsid w:val="1F5F3FB1"/>
    <w:rsid w:val="216076D3"/>
    <w:rsid w:val="217F170F"/>
    <w:rsid w:val="22E13B74"/>
    <w:rsid w:val="23D2370B"/>
    <w:rsid w:val="247014E3"/>
    <w:rsid w:val="264A6902"/>
    <w:rsid w:val="27CC0E4E"/>
    <w:rsid w:val="28C37952"/>
    <w:rsid w:val="2A9A7DAE"/>
    <w:rsid w:val="2B317D4E"/>
    <w:rsid w:val="2CF32BEB"/>
    <w:rsid w:val="2D7B7E3A"/>
    <w:rsid w:val="2DA87BE9"/>
    <w:rsid w:val="2E1615EA"/>
    <w:rsid w:val="2EFC7A67"/>
    <w:rsid w:val="325F7B5F"/>
    <w:rsid w:val="334E7B48"/>
    <w:rsid w:val="33575546"/>
    <w:rsid w:val="33733458"/>
    <w:rsid w:val="34BF1404"/>
    <w:rsid w:val="36234CBE"/>
    <w:rsid w:val="37D17BCA"/>
    <w:rsid w:val="39466C4F"/>
    <w:rsid w:val="3A722A5F"/>
    <w:rsid w:val="3C637FF3"/>
    <w:rsid w:val="3CEB1050"/>
    <w:rsid w:val="3F746C92"/>
    <w:rsid w:val="3FE52935"/>
    <w:rsid w:val="43431DB1"/>
    <w:rsid w:val="435017B6"/>
    <w:rsid w:val="43715584"/>
    <w:rsid w:val="43E3204F"/>
    <w:rsid w:val="441A77D3"/>
    <w:rsid w:val="442E3217"/>
    <w:rsid w:val="45480BBC"/>
    <w:rsid w:val="45663FAB"/>
    <w:rsid w:val="45D630E0"/>
    <w:rsid w:val="469659EC"/>
    <w:rsid w:val="48300C7B"/>
    <w:rsid w:val="48614653"/>
    <w:rsid w:val="4879413E"/>
    <w:rsid w:val="48B442A7"/>
    <w:rsid w:val="48FB62DE"/>
    <w:rsid w:val="4AD50EAE"/>
    <w:rsid w:val="4B35088D"/>
    <w:rsid w:val="4C3C613E"/>
    <w:rsid w:val="4C5A2C05"/>
    <w:rsid w:val="4CD25A95"/>
    <w:rsid w:val="4EE80A66"/>
    <w:rsid w:val="50A15F8E"/>
    <w:rsid w:val="50D458E8"/>
    <w:rsid w:val="50E80B92"/>
    <w:rsid w:val="519E6033"/>
    <w:rsid w:val="51A05303"/>
    <w:rsid w:val="5235695D"/>
    <w:rsid w:val="57AC194F"/>
    <w:rsid w:val="58DA6252"/>
    <w:rsid w:val="58F8408C"/>
    <w:rsid w:val="595D3AB3"/>
    <w:rsid w:val="596652F9"/>
    <w:rsid w:val="59861B63"/>
    <w:rsid w:val="5BA3289C"/>
    <w:rsid w:val="5D976DFF"/>
    <w:rsid w:val="5E4762A7"/>
    <w:rsid w:val="5FEF0E40"/>
    <w:rsid w:val="60A05BDE"/>
    <w:rsid w:val="61E1251D"/>
    <w:rsid w:val="62147E31"/>
    <w:rsid w:val="62D82E30"/>
    <w:rsid w:val="6350579A"/>
    <w:rsid w:val="65BE55E3"/>
    <w:rsid w:val="665B1808"/>
    <w:rsid w:val="66853BEB"/>
    <w:rsid w:val="668B5FBE"/>
    <w:rsid w:val="69453F10"/>
    <w:rsid w:val="69ED0974"/>
    <w:rsid w:val="6A7F0574"/>
    <w:rsid w:val="6BAB4B99"/>
    <w:rsid w:val="6E8D6606"/>
    <w:rsid w:val="6F0E6C14"/>
    <w:rsid w:val="6FED4985"/>
    <w:rsid w:val="6FF53AAD"/>
    <w:rsid w:val="707F3EBA"/>
    <w:rsid w:val="71A14B92"/>
    <w:rsid w:val="72361726"/>
    <w:rsid w:val="724A4A01"/>
    <w:rsid w:val="72B3433B"/>
    <w:rsid w:val="730E162C"/>
    <w:rsid w:val="73D87965"/>
    <w:rsid w:val="745C4D27"/>
    <w:rsid w:val="74784457"/>
    <w:rsid w:val="754C2E6E"/>
    <w:rsid w:val="75F27951"/>
    <w:rsid w:val="76510642"/>
    <w:rsid w:val="777C05EA"/>
    <w:rsid w:val="78602F40"/>
    <w:rsid w:val="78B91CAD"/>
    <w:rsid w:val="78DD38F3"/>
    <w:rsid w:val="7A487BAC"/>
    <w:rsid w:val="7B1E5394"/>
    <w:rsid w:val="7C0C6A5F"/>
    <w:rsid w:val="7CCA58EE"/>
    <w:rsid w:val="7D1C10DC"/>
    <w:rsid w:val="7DA73B7D"/>
    <w:rsid w:val="7DBC41A9"/>
    <w:rsid w:val="7E1A0EF2"/>
    <w:rsid w:val="7F5B4C73"/>
    <w:rsid w:val="7FED7F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99"/>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13"/>
    <w:semiHidden/>
    <w:qFormat/>
    <w:uiPriority w:val="99"/>
    <w:rPr>
      <w:b/>
      <w:bCs/>
    </w:rPr>
  </w:style>
  <w:style w:type="character" w:styleId="10">
    <w:name w:val="Hyperlink"/>
    <w:basedOn w:val="9"/>
    <w:qFormat/>
    <w:locked/>
    <w:uiPriority w:val="0"/>
    <w:rPr>
      <w:color w:val="0000FF"/>
      <w:u w:val="single"/>
    </w:rPr>
  </w:style>
  <w:style w:type="character" w:styleId="11">
    <w:name w:val="annotation reference"/>
    <w:basedOn w:val="9"/>
    <w:semiHidden/>
    <w:qFormat/>
    <w:uiPriority w:val="99"/>
    <w:rPr>
      <w:rFonts w:cs="Times New Roman"/>
      <w:sz w:val="21"/>
    </w:rPr>
  </w:style>
  <w:style w:type="character" w:customStyle="1" w:styleId="12">
    <w:name w:val="Comment Text Char"/>
    <w:basedOn w:val="9"/>
    <w:link w:val="2"/>
    <w:semiHidden/>
    <w:qFormat/>
    <w:locked/>
    <w:uiPriority w:val="99"/>
    <w:rPr>
      <w:rFonts w:cs="Times New Roman"/>
      <w:sz w:val="24"/>
      <w:szCs w:val="24"/>
    </w:rPr>
  </w:style>
  <w:style w:type="character" w:customStyle="1" w:styleId="13">
    <w:name w:val="Comment Subject Char"/>
    <w:basedOn w:val="12"/>
    <w:link w:val="7"/>
    <w:semiHidden/>
    <w:qFormat/>
    <w:locked/>
    <w:uiPriority w:val="99"/>
    <w:rPr>
      <w:b/>
      <w:bCs/>
    </w:rPr>
  </w:style>
  <w:style w:type="character" w:customStyle="1" w:styleId="14">
    <w:name w:val="Balloon Text Char"/>
    <w:basedOn w:val="9"/>
    <w:link w:val="3"/>
    <w:semiHidden/>
    <w:qFormat/>
    <w:locked/>
    <w:uiPriority w:val="99"/>
    <w:rPr>
      <w:rFonts w:cs="Times New Roman"/>
      <w:sz w:val="2"/>
    </w:rPr>
  </w:style>
  <w:style w:type="character" w:customStyle="1" w:styleId="15">
    <w:name w:val="Footer Char"/>
    <w:basedOn w:val="9"/>
    <w:link w:val="4"/>
    <w:semiHidden/>
    <w:qFormat/>
    <w:locked/>
    <w:uiPriority w:val="99"/>
    <w:rPr>
      <w:rFonts w:cs="Times New Roman"/>
      <w:sz w:val="18"/>
      <w:szCs w:val="18"/>
    </w:rPr>
  </w:style>
  <w:style w:type="character" w:customStyle="1" w:styleId="16">
    <w:name w:val="Header Char"/>
    <w:basedOn w:val="9"/>
    <w:link w:val="5"/>
    <w:semiHidden/>
    <w:qFormat/>
    <w:locked/>
    <w:uiPriority w:val="99"/>
    <w:rPr>
      <w:rFonts w:cs="Times New Roman"/>
      <w:sz w:val="18"/>
      <w:szCs w:val="18"/>
    </w:rPr>
  </w:style>
  <w:style w:type="paragraph" w:customStyle="1" w:styleId="17">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zhlx</Company>
  <Pages>13</Pages>
  <Words>1040</Words>
  <Characters>5934</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2019-04-22T09:21:00Z</dcterms:created>
  <dc:creator>lx</dc:creator>
  <dc:description>ZHGenApp().GetProperty("Certification")</dc:description>
  <cp:lastModifiedBy>杨世妍</cp:lastModifiedBy>
  <cp:lastPrinted>2018-01-31T03:32:00Z</cp:lastPrinted>
  <dcterms:modified xsi:type="dcterms:W3CDTF">2024-06-19T09:01:53Z</dcterms:modified>
  <dc:title>年部门预算编制说明</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9F59B44425104D2FB45AAE7B110AC43A</vt:lpwstr>
  </property>
</Properties>
</file>