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监督索引号53312300643300000</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盈江县盈江农场管理委员会2019年预算公开</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目录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第一部分 盈江县盈江农场管理委员会2019年部门预算编制说明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第二部分 盈江县盈江农场管理委员会2019年部门预算表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一、部门财务收支总体情况表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二、部门收入总体情况表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三、部门支出总体情况表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四、部门财政拨款收支总体情况表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五、部门一般公共预算本级财力安排支出情况表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六、部门基本支出情况表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七、部门政府性基金预算支出情况表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八、财政拨款支出明细表（按经济科目分类）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九、部门一般公共预算“三公”经费支出情况表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十、县本级项目支出绩效目标表（本次下达）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十一、县本级项目支出绩效目标表（另文下达）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十二、县对下转移支付绩效目标表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十三、部门政府采购情况表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盈江县盈江农场管理委员会2019年部门预算编制说明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根据德机编[2010]54号文、盈机编[2012]45号  文件规定，主要职能是：贯彻落实省、州和县市区党委（工委）、政府（管委）、有关农垦工作的方针政策，为县市区党委（工委）、政府（管委）决策服务；经县市区党委（工委）政府（管委）授权，承担农场区域内经济社会事务公共管理职能，服务垦区经济社会发展；完成县市区党委（工委）、政府（管委）交办的其他任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（二）机构设置情况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根据德机编[2010]54号文、盈机编[2012]45号  文件规定，机构设置参照乡镇公共服务机构设置：司法所、财政所、统计所、劳动和社会保障所、规划建设土地所、农林水综合服务中心、宣传文化服务中心7个农场所属事业机构。四个综合性办公室：综合办公室、经济发展办公室、社会事务办公室、综治维稳办。</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（三）重点工作概述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1、扎实开展</w:t>
      </w:r>
      <w:r>
        <w:rPr>
          <w:rFonts w:hint="eastAsia" w:ascii="宋体" w:hAnsi="宋体" w:cs="宋体"/>
          <w:b/>
          <w:i w:val="0"/>
          <w:caps w:val="0"/>
          <w:color w:val="333333"/>
          <w:spacing w:val="0"/>
          <w:kern w:val="0"/>
          <w:sz w:val="24"/>
          <w:szCs w:val="24"/>
          <w:lang w:val="en-US" w:eastAsia="zh-CN" w:bidi="ar"/>
        </w:rPr>
        <w:t>“两学一做”学习教育</w:t>
      </w:r>
      <w:r>
        <w:rPr>
          <w:rFonts w:hint="eastAsia" w:ascii="宋体" w:hAnsi="宋体" w:eastAsia="宋体" w:cs="宋体"/>
          <w:b/>
          <w:i w:val="0"/>
          <w:caps w:val="0"/>
          <w:color w:val="333333"/>
          <w:spacing w:val="0"/>
          <w:kern w:val="0"/>
          <w:sz w:val="24"/>
          <w:szCs w:val="24"/>
          <w:lang w:val="en-US" w:eastAsia="zh-CN" w:bidi="ar"/>
        </w:rPr>
        <w:t>，着力培养素质高、作风实、能干事的党员干部队伍。</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3、扎实开展边疆党建“人心工程”活动。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4、加强党风廉政建设，增强全场领</w:t>
      </w:r>
      <w:bookmarkStart w:id="0" w:name="_GoBack"/>
      <w:bookmarkEnd w:id="0"/>
      <w:r>
        <w:rPr>
          <w:rFonts w:hint="eastAsia" w:ascii="宋体" w:hAnsi="宋体" w:eastAsia="宋体" w:cs="宋体"/>
          <w:b/>
          <w:i w:val="0"/>
          <w:caps w:val="0"/>
          <w:color w:val="333333"/>
          <w:spacing w:val="0"/>
          <w:kern w:val="0"/>
          <w:sz w:val="24"/>
          <w:szCs w:val="24"/>
          <w:lang w:val="en-US" w:eastAsia="zh-CN" w:bidi="ar"/>
        </w:rPr>
        <w:t>导干部廉洁意识。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5、宣传文化服务工作成效明显，农场影响力不断扩大。</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6、落实综治维稳目标，全面创建平安农场。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7、关心关爱老年人，全力推动老干工作协调发展。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8、重视民族团结，确保农场稳定和谐。</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9、未雨绸缪，及早部署，确保汛期安全。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10、加强动物疫病防控，降低职工风险。</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11、坚持“安全第一，预防为主，综合治理”的方针，扎实推进各项工作安全作业。</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12、齐抓共管，分级负责，层层落实消防安全。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13、加强国防教育，狠抓武装工作。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14狠抓主导产业，全力促进职工增收。</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（1）冬季农业开发工作成效显著。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（2）甘蔗种植情况。县政府下达我场2017年甘蔗种植任务1100亩，目前农场按照县政府要求认真落实任务，确保任务数圆满完成。</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（3）加强橡胶种植及橡胶管理培训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（4）组织开展标准茶园建设工作。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我部门编制2019年部门预算单位共1个。其中：财政全供给单位1个；部分供给单位0个；特殊供给单位0个；自收自支单位0个。财政全供给单位中行政单位0个；参公管理事业单位1个；非参公管理事业单位0个。截止2018年11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在职人员编制50人，其中：行政编制 22人，事业编制28人。在职实有49人，其中： 财政全供养 49人，财政部分供养0人，非财政供养0人。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离退休人员 4人，其中： 离休 0人，退休4人。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车辆编制1辆，实有车辆1辆。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2019年部门财务总收入1005万元，其中：一般公共预算财政拨款1005万元，政府性基金预算财政拨款0万元，国有资本经营预算财政拨款0万元，事业收入0万元，事业单位经营收入0万元，其他收入0万元，上年结转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2019年部门财政拨款收入1005万元，其中:本年收入1005万元，上年结转0万元。本年收入中，一般公共预算财政拨款1005万元（本级财力1005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四、预算单位支出情况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2019年部门预算总支出1005万元。财政拨款安排支出1005万元，其中，基本支出883万元，项目支出122万元。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（一）财政拨款安排支出按功能科目分类情况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盈江县盈江农场管理委员会2019预算支出1005万元，主要用于：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201类一般公共服务支出20.98万元，其中2011101项行政运行4.5万元，用于缴纳农管委水电费等;2013299项其他组织事务支出10万元；用于开展组织事务;2013699项其他共产党事务支出6.48万元,用于开展党建相关工作。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208类社会保障和就业支出232.80万元，其中2080208项基层政权和社区建设132.59万元；用于农管委基层社区建设;2080501项归口管理的行政单位离退休13.25万元；用于归口管理的行政单位离退休干部支出;2080502项事业单位离退休11.61万元；用于事业单位离退休干部支出：2080505项机关事业单位基本养老保险缴费支出73.26万元；用于机关事业单位基本养老保险缴费：2080506项机关事业单位职业年金缴费支出2.09万元，用于机关事业单位职业年金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210类卫生健康支出6万元，2100799项其他计划生育事务支出6万元，用于农场计划生育事务。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212类城乡社区支出10.80万元，2120101项行政运行10.80万元，用于农场行政运行保障。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213类农林水支出676.87万元，2130105项农垦运行676.87万元，用于农管委农林水事务支出及人员经费。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221类住房保障支出57.55万元，2210201项住房公积金57.55万元，用于住房公积金缴纳。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（二）财政拨款安排支出按经济科目分类情况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    盈江县盈江农场管理委员会2019预算支出1005万元，主要用于：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1.301类工资福利支出654.03万元（其中：基本支出654.03万元分别用于2080505项机关事业单位基本养老保险缴费支出73.26万元；2130105项农垦运行521.13万元用于支付工资福利；2210201项住房公积金57.55万元用于缴纳住房公积金，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2.302类商品和服务支出（其中：基本支出40.6万元，分别用于2080501项归口管理的行政单位离退休1.14万元；用于归口管理的行政单位离退休干部支出。2080502项事业单位离退休0.66万元；用于事业单位离退休事务。2130105项农垦运行38.80万元，用于支付机关差旅费、水电费、公务用车运行维护费等。项目支出122万元，分别用于2013299项其他组织事物支出农管委党组织建设经费10.00万元；主要用于农管委党组织建设。2130105项农管委五个片区组织办公经费50万元；用于农管委五个片区组织办公事务。农管委关工委工作经费0.5万元；用于农管委关工委工作。农管委30个生产队党建及运转经费60万元；用于农管委30个生产队党建及运转事务。农管委工会妇联工作经费1万元，用于农管委工会妇联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3.303类对个人和家庭的补助（其中：基本支出188.37万元，主要用于2011101项行政运行4.50万元；2013699项其他共产党事务支出6.48万元；2080208项基层政权和社区建设132.59万元；2080501项归口管理的行政单位离退休12.11万元；项2080502项事业单位离退休10.95万元；2100799项其他计划生育事务支出6万元；2120101项行政运行10.80万元；2130105项农垦运行4.94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五、县对下专项转移支付情况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    本单位2019年无县对下专项转移支付</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本单位2019年无政府采购预算支出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七、预算收支增减变化情况说明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（一）部门“三公”经费增减变化情况及原因说明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     2019年“三公”经费预算数与2018年“三公”经费持平，其中公务接待费7万元，持平；公务用车购置及运行费9.5万元，持平，合计16.5万元。2018、2019年均无因公出国（境）费用。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（二）部门收支入增减变化情况及原因说明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2019年年初收入预算数为1005.00万元，2018年年初收入预算数为939.75万元，相比增加65.25万元，上升6.9%，原因是社会保障和事务支出增加；2019年支出预算数为1005.00万元（其中：基本支出883.00万元，项目支出122.00万元），2018年年支出预算数为939.75万元（其中基本支出817.75万元，项目支出122.00万元），基本支出相比增加65.25万元，上升6.9%，主要原因是社会保障和事务支出增加。</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（一）专业名词解释</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财政拨款收入：是指行政单位从同级财政部门取得的财政预算资金。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基本支出：为保障机构正常运行，完成日常工作任务而发生的人员支出和公用支出。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项目支出：指在基本支出之外为完成特定行政任务和事业发展目标所发生的支出。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三公”经费:是指部门用财政拨款安排的因公出国(境)费、公务用车购置及运行费和公务接待费。其中，因公出国(境)费反 映单位公务出国(境)的国际旅费、国外城市间交通费、住 宿费、伙食费、培训费、公杂费等支出;公务用车购置及运行费反映单位公务用车车辆购置支出(含车辆购置税)及租 用费、燃料费、维修费、过路过桥费、保险费用等支出;公务接待费反映单位按规定开支的各类公务接待 (含外宾接待)支出。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机关运行经费:用于购买货物和服务的各项资金，包 括办公及印刷费、邮电费、差旅费、会议费、福利费、日常维修费、一般设备购置费、办公用房水电费、办公用房取暖费、以及其他费用。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对个人和家庭的补助支出：反映政府对个人和家庭的无偿性补助支出。具体包括离休费、退休费、退职（役）费、抚恤和生活补助、医疗费、住房公积金、助学金、其他等。</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（二）机关运行经费安排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   2019年盈江县盈江农场管理委员会预算机关运行经费支出40.60万元，部门机关运行经费主要用于30201办公费8.86万元，30205水费0.4万元，30206电费2万元，30211差旅费5万元，30231公务用车运行维护费5万元，30216培训费0.14万元，30239其他交通费用19.20万元，与上年机关运行经费26.54万相比上升52.98%，原因是增加设立五个社区，开支增大。</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（三）国有资产占用情况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本单位截止上一年度12月31日占有使用国有资产总额61.08万元，其中流动资产2144.93万元，固定资产61.08万元。无形资产0万元。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主要实物资产数据情况：我固定资产期末账面数原值61.08万元，累计折旧0万元，净值61.08万元，其中：通用设备52.94万元，占86.69%；专用设备3.95万元，占6.47%；图书档案0.35万元占0.57%，家具、用具、装具及动植物3.83万元，占6.27%。</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（四）本部门预算绩效情况说明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2019年部门财政预算拨款收入1005万元，其中:基本支出883.00万元，主要绩效目标为：保障干部职工工资福利支出、补贴支出，提高干部的工作积极性，保障干部的合法权益；保障机构运转经费，确保农管委各项工作的正常运转。</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i w:val="0"/>
          <w:caps w:val="0"/>
          <w:color w:val="333333"/>
          <w:spacing w:val="0"/>
          <w:kern w:val="0"/>
          <w:sz w:val="24"/>
          <w:szCs w:val="24"/>
          <w:lang w:val="en-US" w:eastAsia="zh-CN" w:bidi="ar"/>
        </w:rPr>
        <w:t>项目支出122.00万元，主要绩效目标为：农管委团委工作经费，资金投入可以预期达到的目标是保障生产队团委工作。农管委关公委工作经费，投入可以预期达到的目标是保障生产队关公委工作顺利开展。农管委工会妇联工作经费可以预期达到的目标是保障生产队工会工作。农管委党组织建设经费，投入可以预期达到的目标是保障农场党组织建设</w:t>
      </w:r>
    </w:p>
    <w:p/>
    <w:p>
      <w:pPr>
        <w:widowControl/>
        <w:ind w:firstLine="640" w:firstLineChars="200"/>
        <w:jc w:val="left"/>
        <w:rPr>
          <w:rFonts w:hint="eastAsia" w:ascii="仿宋" w:hAnsi="仿宋" w:eastAsia="仿宋" w:cs="仿宋"/>
          <w:sz w:val="32"/>
          <w:szCs w:val="32"/>
          <w:lang w:val="en-US" w:eastAsia="zh-CN"/>
        </w:rPr>
      </w:pPr>
    </w:p>
    <w:p>
      <w:pPr>
        <w:rPr>
          <w:rFonts w:ascii="Arial" w:hAnsi="Arial" w:eastAsia="Arial" w:cs="Arial"/>
          <w:b/>
          <w:sz w:val="36"/>
        </w:rPr>
      </w:pPr>
      <w:r>
        <w:rPr>
          <w:rFonts w:ascii="Arial" w:hAnsi="Arial" w:eastAsia="Arial" w:cs="Arial"/>
          <w:b/>
          <w:sz w:val="36"/>
        </w:rPr>
        <w:t>监督索引号53312300643300111</w:t>
      </w:r>
    </w:p>
    <w:sectPr>
      <w:headerReference r:id="rId5" w:type="default"/>
      <w:headerReference r:id="rId6"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296F68"/>
    <w:rsid w:val="025737A0"/>
    <w:rsid w:val="03F0214E"/>
    <w:rsid w:val="06325B44"/>
    <w:rsid w:val="08AE01AF"/>
    <w:rsid w:val="0AB77A2F"/>
    <w:rsid w:val="103D5F86"/>
    <w:rsid w:val="17052FC9"/>
    <w:rsid w:val="1A0B3DDD"/>
    <w:rsid w:val="1D6C7307"/>
    <w:rsid w:val="2C8B02F0"/>
    <w:rsid w:val="2D206934"/>
    <w:rsid w:val="2D7B7E3A"/>
    <w:rsid w:val="2DD26720"/>
    <w:rsid w:val="2EBE287A"/>
    <w:rsid w:val="2F7A4622"/>
    <w:rsid w:val="354646C6"/>
    <w:rsid w:val="375947EE"/>
    <w:rsid w:val="39466C4F"/>
    <w:rsid w:val="41DD1070"/>
    <w:rsid w:val="44664416"/>
    <w:rsid w:val="45DD3C67"/>
    <w:rsid w:val="4B4016D8"/>
    <w:rsid w:val="545E6738"/>
    <w:rsid w:val="62833037"/>
    <w:rsid w:val="63555733"/>
    <w:rsid w:val="6C015F32"/>
    <w:rsid w:val="6F2E63A2"/>
    <w:rsid w:val="724A4A01"/>
    <w:rsid w:val="742D48C9"/>
    <w:rsid w:val="74876452"/>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1255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2024-06-19T09:03:23Z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0FFC234A4F60441F938086EDC5249182</vt:lpwstr>
  </property>
</Properties>
</file>