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盈江县民族初级中学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盈江县民族初级中学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盈江县民族初级中学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jc w:val="left"/>
        <w:rPr>
          <w:rFonts w:ascii="Times New Roman" w:hAnsi="Times New Roman" w:eastAsia="仿宋_GB2312"/>
          <w:sz w:val="30"/>
          <w:szCs w:val="30"/>
        </w:rPr>
      </w:pPr>
    </w:p>
    <w:p>
      <w:pPr>
        <w:widowControl/>
        <w:ind w:firstLine="720" w:firstLineChars="200"/>
        <w:jc w:val="both"/>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盈江县民族初级中学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盈江县民族初级中学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21</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盈江县民族初级中学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kern w:val="0"/>
          <w:sz w:val="30"/>
          <w:szCs w:val="30"/>
        </w:rPr>
      </w:pPr>
      <w:r>
        <w:rPr>
          <w:rFonts w:hint="eastAsia" w:ascii="楷体_GB2312" w:eastAsia="楷体_GB2312"/>
          <w:kern w:val="0"/>
          <w:sz w:val="30"/>
          <w:szCs w:val="30"/>
        </w:rPr>
        <w:t>（</w:t>
      </w:r>
      <w:r>
        <w:rPr>
          <w:rFonts w:hint="eastAsia" w:ascii="仿宋_GB2312" w:hAnsi="仿宋_GB2312" w:eastAsia="仿宋_GB2312" w:cs="仿宋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color w:val="000000" w:themeColor="text1"/>
          <w:kern w:val="0"/>
          <w:sz w:val="30"/>
          <w:szCs w:val="30"/>
        </w:rPr>
      </w:pPr>
      <w:r>
        <w:rPr>
          <w:rFonts w:hint="eastAsia" w:ascii="仿宋_GB2312" w:hAnsi="仿宋_GB2312" w:eastAsia="仿宋_GB2312" w:cs="仿宋_GB2312"/>
          <w:b w:val="0"/>
          <w:bCs w:val="0"/>
          <w:color w:val="000000" w:themeColor="text1"/>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kern w:val="0"/>
          <w:sz w:val="30"/>
          <w:szCs w:val="30"/>
          <w:lang w:val="en-US" w:eastAsia="zh-CN" w:bidi="ar-SA"/>
        </w:rPr>
        <w:t>盈江县民族初级中学设置7个处室：办公室、总务处、财务室、校团委、教科室、教务处、德育室。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color w:val="000000" w:themeColor="text1"/>
          <w:kern w:val="0"/>
          <w:sz w:val="30"/>
          <w:szCs w:val="30"/>
        </w:rPr>
      </w:pPr>
      <w:r>
        <w:rPr>
          <w:rFonts w:hint="eastAsia" w:ascii="仿宋_GB2312" w:hAnsi="仿宋_GB2312" w:eastAsia="仿宋_GB2312" w:cs="仿宋_GB2312"/>
          <w:b w:val="0"/>
          <w:bCs w:val="0"/>
          <w:color w:val="000000" w:themeColor="text1"/>
          <w:kern w:val="0"/>
          <w:sz w:val="30"/>
          <w:szCs w:val="30"/>
        </w:rPr>
        <w:t>（三）重点工作概述</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b w:val="0"/>
          <w:bCs w:val="0"/>
          <w:sz w:val="30"/>
          <w:szCs w:val="30"/>
        </w:rPr>
        <w:t>办学思想</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sz w:val="30"/>
          <w:szCs w:val="30"/>
        </w:rPr>
        <w:t>学校始终坚持以“办适合学生发展的教育” 的办学理念，以“依法治校、以德治校、民主治校、科研兴校、人才强校”为办学思想</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以“服务盈江经济社会发展，实现师生与学校的全面协调可持续发展”为办学宗旨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以“德育为首，智育领先，全面发展，弘扬特长”为教育思想；以“树名师、出特色、创名校、德成人、塑英才、行成功”为教育目标。逐步形成了以“面向全体，分层教学，培优补差，人人成才”为主要特色的“3+4”教学模式，促使优等生更加优秀，不同层次、不同类别的学生都得到转化、提高和发展，逐步探索出了“走科研兴校之路，育和谐发展之才”的办学特色。</w:t>
      </w:r>
      <w:bookmarkStart w:id="5" w:name="_GoBack"/>
      <w:bookmarkEnd w:id="5"/>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2、</w:t>
      </w:r>
      <w:r>
        <w:rPr>
          <w:rFonts w:hint="eastAsia" w:ascii="仿宋_GB2312" w:hAnsi="仿宋_GB2312" w:eastAsia="仿宋_GB2312" w:cs="仿宋_GB2312"/>
          <w:b w:val="0"/>
          <w:bCs w:val="0"/>
          <w:sz w:val="30"/>
          <w:szCs w:val="30"/>
        </w:rPr>
        <w:t>稳步推进教育教学改革</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经过长期实践，多方征集意见，多次对我校的课堂改革模式进行修改，最终将我校的教育教学改革模式确定为：盈江县民族中学“3＋4”教学模式，其中，“3＋4”教学模式中的“3” 指的是 “课前、课中、课后”这三个环节，“4”指的是“课中”的“导入新课、展示学习目标、导学讲练、课堂小结”四个环节。改革的主要目标是：①优化课堂教学结构，提高课堂教学效率，努力探索学生乐学会学的有效课堂教学模式，提高课堂教学的有效性，全面提高教育教学质量。②深入推进教育教学改革，进一步促进教师转变教学观念，全面提升专业素养。③把课堂还给学生，让学生真正成为学习的主体，培养良好的学习习惯。</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rPr>
        <w:t>教学常规管理</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学年初，根据学校的工作计划，科学制定了切实可行的教学工作计划，各教研组根据教务处的工作计划，结合本组实际，制定出切实可行的工作计划，并根据计划组织开展工作。</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）每</w:t>
      </w:r>
      <w:r>
        <w:rPr>
          <w:rFonts w:hint="eastAsia" w:ascii="仿宋_GB2312" w:hAnsi="仿宋_GB2312" w:eastAsia="仿宋_GB2312" w:cs="仿宋_GB2312"/>
          <w:sz w:val="30"/>
          <w:szCs w:val="30"/>
        </w:rPr>
        <w:t>月检查一次教师教学设计、教学反思等教学常规，每周检查一次作业批改情况，每学期结束时，全体教师写出教育教学工作总结及试卷分析，每学年撰写一篇论文交教务处。</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加强各功能室（实验室、语音室、计算机教室多媒体教室、图书室、音乐室、舞蹈室、美术室、体育室）的日常管理，使各功能室充分发挥其应有的作用。</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成立了课堂教学督查小组，对教师的课堂教学进行了有效督查。同时鼓励教师之间互相听课，互相学习，取长补短，共同提高，每次听课过后都及时进行交流，并认真填写听课记录。</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val="0"/>
          <w:sz w:val="30"/>
          <w:szCs w:val="30"/>
        </w:rPr>
        <w:t xml:space="preserve"> </w:t>
      </w:r>
      <w:r>
        <w:rPr>
          <w:rFonts w:hint="eastAsia" w:ascii="仿宋_GB2312" w:hAnsi="仿宋_GB2312" w:eastAsia="仿宋_GB2312" w:cs="仿宋_GB2312"/>
          <w:b w:val="0"/>
          <w:bCs w:val="0"/>
          <w:sz w:val="30"/>
          <w:szCs w:val="30"/>
          <w:lang w:val="en-US" w:eastAsia="zh-CN"/>
        </w:rPr>
        <w:t>4、</w:t>
      </w:r>
      <w:r>
        <w:rPr>
          <w:rFonts w:hint="eastAsia" w:ascii="仿宋_GB2312" w:hAnsi="仿宋_GB2312" w:eastAsia="仿宋_GB2312" w:cs="仿宋_GB2312"/>
          <w:b w:val="0"/>
          <w:bCs w:val="0"/>
          <w:sz w:val="30"/>
          <w:szCs w:val="30"/>
        </w:rPr>
        <w:t>教师队伍建设</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开展丰富多彩的教研活动</w:t>
      </w:r>
      <w:r>
        <w:rPr>
          <w:rFonts w:hint="eastAsia" w:ascii="仿宋_GB2312" w:hAnsi="仿宋_GB2312" w:eastAsia="仿宋_GB2312" w:cs="仿宋_GB2312"/>
          <w:b w:val="0"/>
          <w:bCs/>
          <w:sz w:val="30"/>
          <w:szCs w:val="30"/>
          <w:lang w:eastAsia="zh-CN"/>
        </w:rPr>
        <w:t>。</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开展形式多样的师训工作</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加强课题研究工作</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4</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加强考试研究工作</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5、</w:t>
      </w:r>
      <w:r>
        <w:rPr>
          <w:rFonts w:hint="eastAsia" w:ascii="仿宋_GB2312" w:hAnsi="仿宋_GB2312" w:eastAsia="仿宋_GB2312" w:cs="仿宋_GB2312"/>
          <w:b w:val="0"/>
          <w:bCs w:val="0"/>
          <w:sz w:val="30"/>
          <w:szCs w:val="30"/>
        </w:rPr>
        <w:t>德育工作</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lang w:eastAsia="zh-CN"/>
        </w:rPr>
        <w:t>）以德育活动为载体，丰富学生课余活动</w:t>
      </w:r>
      <w:r>
        <w:rPr>
          <w:rFonts w:hint="eastAsia" w:ascii="仿宋_GB2312" w:hAnsi="仿宋_GB2312" w:eastAsia="仿宋_GB2312" w:cs="仿宋_GB2312"/>
          <w:b w:val="0"/>
          <w:bCs/>
          <w:sz w:val="30"/>
          <w:szCs w:val="30"/>
        </w:rPr>
        <w:t>，促进学生全面发展。</w:t>
      </w:r>
      <w:r>
        <w:rPr>
          <w:rFonts w:hint="eastAsia" w:ascii="仿宋_GB2312" w:hAnsi="仿宋_GB2312" w:eastAsia="仿宋_GB2312" w:cs="仿宋_GB2312"/>
          <w:sz w:val="30"/>
          <w:szCs w:val="30"/>
        </w:rPr>
        <w:t>积极组织好五四青年节、文体艺术节、泼水节及集体过十四岁生日活动等，为学生的发展和展示搭建有力平台</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开展“三生教育”、“诚信教育”、“感恩教育”、“法制教育”和“禁毒防艾”、新学期军训等主题活动</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rPr>
        <w:t>打造育人环境，营造书香氛围。</w:t>
      </w:r>
      <w:r>
        <w:rPr>
          <w:rFonts w:hint="eastAsia" w:ascii="仿宋_GB2312" w:hAnsi="仿宋_GB2312" w:eastAsia="仿宋_GB2312" w:cs="仿宋_GB2312"/>
          <w:sz w:val="30"/>
          <w:szCs w:val="30"/>
        </w:rPr>
        <w:t>在学校建筑和主题景点上，彰显学校文化，强调实用、美观、和谐，功能标识清晰醒目，赋予它隐性教育功能，学生随时随地都受到感化和教育</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在校园绿化美化上，让五彩缤纷的植物营造自然美，鲜花、小草、绿树彰显生命的价值和意义；让现代的设施赋予时代气息，雕塑、读书廊，透出科学的魅力；同时，在公共场所布置名人名言和学生作品，精心设置橱窗内容展现文化底蕴，富有时代感和感召力，赋予学习气息，着眼于潜移默化地熏陶，激励学生的上进。</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b w:val="0"/>
          <w:bCs w:val="0"/>
          <w:sz w:val="30"/>
          <w:szCs w:val="30"/>
          <w:lang w:val="en-US" w:eastAsia="zh-CN"/>
        </w:rPr>
        <w:t>3</w:t>
      </w:r>
      <w:r>
        <w:rPr>
          <w:rFonts w:hint="eastAsia" w:ascii="仿宋_GB2312" w:hAnsi="仿宋_GB2312" w:eastAsia="仿宋_GB2312" w:cs="仿宋_GB2312"/>
          <w:b w:val="0"/>
          <w:bCs w:val="0"/>
          <w:sz w:val="30"/>
          <w:szCs w:val="30"/>
          <w:lang w:eastAsia="zh-CN"/>
        </w:rPr>
        <w:t>）</w:t>
      </w:r>
      <w:r>
        <w:rPr>
          <w:rFonts w:hint="eastAsia" w:ascii="仿宋_GB2312" w:hAnsi="仿宋_GB2312" w:eastAsia="仿宋_GB2312" w:cs="仿宋_GB2312"/>
          <w:sz w:val="30"/>
          <w:szCs w:val="30"/>
        </w:rPr>
        <w:t>扎实开展综治维稳宣传月活动，把每学期开学第一周定为“校园安全宣传教育活动周”，与班主任签订《安全责任书》，利用班会课、晨会课、板报、校园广播、升旗仪式等各种形式进行安全教育，以此强化师生的安全意识。</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定期组织开展学校安全隐患大排查、大整治行动，配合有关部门开展校园及周边社会治安综合治理工作，及时排查并整治化解影响校园安全、隐患及矛盾纠纷。</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严格遵守财经纪律，推行校务公开，各项经费使用经得起阳光照射，确保各项专项资金规范管理，使用安全，提高资金使用效益。</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lang w:val="en-US" w:eastAsia="zh-CN"/>
        </w:rPr>
        <w:t>6、</w:t>
      </w:r>
      <w:r>
        <w:rPr>
          <w:rFonts w:hint="eastAsia" w:ascii="仿宋_GB2312" w:hAnsi="仿宋_GB2312" w:eastAsia="仿宋_GB2312" w:cs="仿宋_GB2312"/>
          <w:b w:val="0"/>
          <w:bCs w:val="0"/>
          <w:sz w:val="30"/>
          <w:szCs w:val="30"/>
        </w:rPr>
        <w:t>后勤保障工作</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及时做好了各项设施的隐患排查和毁损维修工作，保障教育教学的正常进行。</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对各科室、各班级的财产和物品进行核查并登记入册，落实固定资产的管理工作。</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加强环境卫生建设。围绕绿色学校建设相关要求，绿化、美化校园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坚持每天督促检查学校保洁员及时清理垃圾，发现问题及时整改，做到学校环境卫生整洁。</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积极配合各科室的工作，如学校的校级教学能手评选、期中、期末考试、开学典礼、春季运动会、教学楼、宿舍内消防逃生演练等活动，总务处都全力配合。</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做好物品的采购和保管工作，规范校产管理制度。继续做好申购——验收入帐——入库——领用的购物手续。尽力做好对学校公共财产、公共设施的管理、维护和调配工作。积极配合会计室做好学校的财务工作。</w:t>
      </w:r>
    </w:p>
    <w:p>
      <w:pPr>
        <w:keepNext w:val="0"/>
        <w:keepLines w:val="0"/>
        <w:pageBreakBefore w:val="0"/>
        <w:kinsoku/>
        <w:wordWrap/>
        <w:overflowPunct/>
        <w:topLinePunct w:val="0"/>
        <w:autoSpaceDE/>
        <w:autoSpaceDN/>
        <w:bidi w:val="0"/>
        <w:adjustRightInd/>
        <w:snapToGrid/>
        <w:spacing w:line="600" w:lineRule="exact"/>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做好食堂的管理工作。认真组织食堂从业人员学习与食品安全相关的法律法规，做好食品卫生知识的培训</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做好各种传染性疾病的宣传、培训、预防工作，利用各种渠道和途径不断提高师生对此项工作的重视。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108</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108</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106</w:t>
      </w:r>
      <w:r>
        <w:rPr>
          <w:rFonts w:hint="eastAsia" w:ascii="仿宋_GB2312" w:hAnsi="仿宋_GB2312" w:eastAsia="仿宋_GB2312" w:cs="仿宋_GB2312"/>
          <w:color w:val="000000" w:themeColor="text1"/>
          <w:kern w:val="0"/>
          <w:sz w:val="30"/>
          <w:szCs w:val="30"/>
        </w:rPr>
        <w:t>人，其中：财政全供养</w:t>
      </w:r>
      <w:r>
        <w:rPr>
          <w:rFonts w:hint="eastAsia" w:ascii="仿宋_GB2312" w:hAnsi="仿宋_GB2312" w:eastAsia="仿宋_GB2312" w:cs="仿宋_GB2312"/>
          <w:color w:val="000000" w:themeColor="text1"/>
          <w:kern w:val="0"/>
          <w:sz w:val="30"/>
          <w:szCs w:val="30"/>
          <w:lang w:val="en-US" w:eastAsia="zh-CN"/>
        </w:rPr>
        <w:t>106</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61</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61</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盈江县民族初级中学</w:t>
      </w:r>
      <w:r>
        <w:rPr>
          <w:rFonts w:eastAsia="仿宋_GB2312"/>
          <w:kern w:val="0"/>
          <w:sz w:val="30"/>
          <w:szCs w:val="30"/>
        </w:rPr>
        <w:t>财务总收入</w:t>
      </w:r>
      <w:r>
        <w:rPr>
          <w:rFonts w:hint="eastAsia" w:eastAsia="仿宋_GB2312"/>
          <w:kern w:val="0"/>
          <w:sz w:val="30"/>
          <w:szCs w:val="30"/>
          <w:lang w:val="en-US" w:eastAsia="zh-CN"/>
        </w:rPr>
        <w:t>1390.52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1390.52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1390.52</w:t>
      </w:r>
      <w:r>
        <w:rPr>
          <w:rFonts w:eastAsia="仿宋_GB2312"/>
          <w:kern w:val="0"/>
          <w:sz w:val="30"/>
          <w:szCs w:val="30"/>
        </w:rPr>
        <w:t>万元，其中:本年收入</w:t>
      </w:r>
      <w:r>
        <w:rPr>
          <w:rFonts w:hint="eastAsia" w:eastAsia="仿宋_GB2312"/>
          <w:kern w:val="0"/>
          <w:sz w:val="30"/>
          <w:szCs w:val="30"/>
          <w:lang w:val="en-US" w:eastAsia="zh-CN"/>
        </w:rPr>
        <w:t>1390.52</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1390.52</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1390.52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1390.52</w:t>
      </w:r>
      <w:r>
        <w:rPr>
          <w:rFonts w:eastAsia="仿宋_GB2312"/>
          <w:kern w:val="0"/>
          <w:sz w:val="30"/>
          <w:szCs w:val="30"/>
        </w:rPr>
        <w:t>万元，其中，基本支出</w:t>
      </w:r>
      <w:r>
        <w:rPr>
          <w:rFonts w:hint="eastAsia" w:eastAsia="仿宋_GB2312"/>
          <w:kern w:val="0"/>
          <w:sz w:val="30"/>
          <w:szCs w:val="30"/>
          <w:lang w:val="en-US" w:eastAsia="zh-CN"/>
        </w:rPr>
        <w:t>1390.52</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教育支出-普通教育-初中教育1068.32万元，主要用于工资福利支出和日常学校运行运转。</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“2080502”社会保障和就业支出-行政事业单位离退休-事业单位离退休3.66万元，主要用于离退休人员公用经费支出。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事业单位基本养老保险缴费支出188.54万元，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“2080506”社会保障和就业支出-行政事业单位职业年金支出- 事业单位职业年金支出7.07万元，</w:t>
      </w:r>
      <w:r>
        <w:rPr>
          <w:rFonts w:hint="eastAsia" w:ascii="仿宋_GB2312" w:hAnsi="仿宋_GB2312" w:eastAsia="仿宋_GB2312" w:cs="仿宋_GB2312"/>
          <w:color w:val="333333"/>
          <w:sz w:val="30"/>
          <w:szCs w:val="30"/>
          <w:shd w:val="clear" w:color="040000" w:fill="FFFFFF"/>
        </w:rPr>
        <w:t>主要反映单位缴交的</w:t>
      </w:r>
      <w:r>
        <w:rPr>
          <w:rFonts w:hint="eastAsia" w:ascii="仿宋_GB2312" w:hAnsi="仿宋_GB2312" w:eastAsia="仿宋_GB2312" w:cs="仿宋_GB2312"/>
          <w:color w:val="333333"/>
          <w:sz w:val="30"/>
          <w:szCs w:val="30"/>
          <w:shd w:val="clear" w:color="040000" w:fill="FFFFFF"/>
          <w:lang w:eastAsia="zh-CN"/>
        </w:rPr>
        <w:t>职业年金</w:t>
      </w:r>
      <w:r>
        <w:rPr>
          <w:rFonts w:hint="eastAsia" w:ascii="仿宋_GB2312" w:hAnsi="仿宋_GB2312" w:eastAsia="仿宋_GB2312" w:cs="仿宋_GB2312"/>
          <w:color w:val="333333"/>
          <w:sz w:val="30"/>
          <w:szCs w:val="30"/>
          <w:shd w:val="clear" w:color="040000" w:fill="FFFFFF"/>
        </w:rPr>
        <w:t>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122.93</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2050203 初中教育1068.32万元，其中：基本支出1068.32万元，主要用于301工资福利支出1062.11万元，</w:t>
      </w:r>
      <w:bookmarkStart w:id="0" w:name="OLE_LINK1"/>
      <w:r>
        <w:rPr>
          <w:rFonts w:hint="eastAsia" w:ascii="仿宋_GB2312" w:hAnsi="仿宋_GB2312" w:eastAsia="仿宋_GB2312" w:cs="仿宋_GB2312"/>
          <w:kern w:val="0"/>
          <w:sz w:val="30"/>
          <w:szCs w:val="30"/>
          <w:lang w:val="en-US" w:eastAsia="zh-CN"/>
        </w:rPr>
        <w:t>302商品服务支出</w:t>
      </w:r>
      <w:bookmarkEnd w:id="0"/>
      <w:r>
        <w:rPr>
          <w:rFonts w:hint="eastAsia" w:ascii="仿宋_GB2312" w:hAnsi="仿宋_GB2312" w:eastAsia="仿宋_GB2312" w:cs="仿宋_GB2312"/>
          <w:kern w:val="0"/>
          <w:sz w:val="30"/>
          <w:szCs w:val="30"/>
          <w:lang w:val="en-US" w:eastAsia="zh-CN"/>
        </w:rPr>
        <w:t>5.85万元，303对个人和家庭补助支出0.36万元；项目支出0万元。</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kern w:val="0"/>
          <w:sz w:val="30"/>
          <w:szCs w:val="30"/>
          <w:lang w:val="en-US" w:eastAsia="zh-CN"/>
        </w:rPr>
        <w:t>2080502 事业单位离退休3.66万元，其中：基本支出3.66万元，主要用于302商品服务支出</w:t>
      </w:r>
      <w:r>
        <w:rPr>
          <w:rFonts w:hint="eastAsia" w:ascii="仿宋_GB2312" w:hAnsi="仿宋_GB2312" w:eastAsia="仿宋_GB2312" w:cs="仿宋_GB2312"/>
          <w:sz w:val="30"/>
          <w:szCs w:val="30"/>
          <w:lang w:val="en-US" w:eastAsia="zh-CN"/>
        </w:rPr>
        <w:t>3.66万元；项目支出0万元。</w:t>
      </w:r>
    </w:p>
    <w:p>
      <w:pPr>
        <w:pStyle w:val="15"/>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2080505 机关事业单位基本养老保险缴费支出</w:t>
      </w:r>
      <w:bookmarkStart w:id="1" w:name="OLE_LINK2"/>
      <w:r>
        <w:rPr>
          <w:rFonts w:hint="eastAsia" w:ascii="仿宋_GB2312" w:hAnsi="仿宋_GB2312" w:eastAsia="仿宋_GB2312" w:cs="仿宋_GB2312"/>
          <w:sz w:val="30"/>
          <w:szCs w:val="30"/>
          <w:lang w:val="en-US" w:eastAsia="zh-CN"/>
        </w:rPr>
        <w:t>188.54</w:t>
      </w:r>
      <w:bookmarkEnd w:id="1"/>
      <w:r>
        <w:rPr>
          <w:rFonts w:hint="eastAsia" w:ascii="仿宋_GB2312" w:hAnsi="仿宋_GB2312" w:eastAsia="仿宋_GB2312" w:cs="仿宋_GB2312"/>
          <w:sz w:val="30"/>
          <w:szCs w:val="30"/>
          <w:lang w:val="en-US" w:eastAsia="zh-CN"/>
        </w:rPr>
        <w:t>万元，其中：基本支出188.54万元，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工资福利支出188.54万元；项目支出0万元。</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2080506 机关事业单位职业年金缴费支出</w:t>
      </w:r>
      <w:bookmarkStart w:id="2" w:name="OLE_LINK3"/>
      <w:r>
        <w:rPr>
          <w:rFonts w:hint="eastAsia" w:ascii="仿宋_GB2312" w:hAnsi="仿宋_GB2312" w:eastAsia="仿宋_GB2312" w:cs="仿宋_GB2312"/>
          <w:sz w:val="30"/>
          <w:szCs w:val="30"/>
          <w:lang w:val="en-US" w:eastAsia="zh-CN"/>
        </w:rPr>
        <w:t>7.07</w:t>
      </w:r>
      <w:bookmarkEnd w:id="2"/>
      <w:r>
        <w:rPr>
          <w:rFonts w:hint="eastAsia" w:ascii="仿宋_GB2312" w:hAnsi="仿宋_GB2312" w:eastAsia="仿宋_GB2312" w:cs="仿宋_GB2312"/>
          <w:sz w:val="30"/>
          <w:szCs w:val="30"/>
          <w:lang w:val="en-US" w:eastAsia="zh-CN"/>
        </w:rPr>
        <w:t>万元，其中：基本支出7.07万元，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工资福利支出7.07万元；项目支出0万元。</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sz w:val="30"/>
          <w:szCs w:val="30"/>
          <w:lang w:val="en-US" w:eastAsia="zh-CN"/>
        </w:rPr>
        <w:t>2210201 住房公积金</w:t>
      </w:r>
      <w:bookmarkStart w:id="3" w:name="OLE_LINK4"/>
      <w:r>
        <w:rPr>
          <w:rFonts w:hint="eastAsia" w:ascii="仿宋_GB2312" w:hAnsi="仿宋_GB2312" w:eastAsia="仿宋_GB2312" w:cs="仿宋_GB2312"/>
          <w:sz w:val="30"/>
          <w:szCs w:val="30"/>
          <w:lang w:val="en-US" w:eastAsia="zh-CN"/>
        </w:rPr>
        <w:t>122.93</w:t>
      </w:r>
      <w:bookmarkEnd w:id="3"/>
      <w:r>
        <w:rPr>
          <w:rFonts w:hint="eastAsia" w:ascii="仿宋_GB2312" w:hAnsi="仿宋_GB2312" w:eastAsia="仿宋_GB2312" w:cs="仿宋_GB2312"/>
          <w:sz w:val="30"/>
          <w:szCs w:val="30"/>
          <w:lang w:val="en-US" w:eastAsia="zh-CN"/>
        </w:rPr>
        <w:t>万元，其中：基本支出122.93万元，</w:t>
      </w:r>
      <w:r>
        <w:rPr>
          <w:rFonts w:hint="eastAsia" w:ascii="仿宋_GB2312" w:hAnsi="仿宋_GB2312" w:eastAsia="仿宋_GB2312" w:cs="仿宋_GB2312"/>
          <w:kern w:val="0"/>
          <w:sz w:val="30"/>
          <w:szCs w:val="30"/>
          <w:lang w:val="en-US" w:eastAsia="zh-CN"/>
        </w:rPr>
        <w:t>主要用于301</w:t>
      </w:r>
      <w:r>
        <w:rPr>
          <w:rFonts w:hint="eastAsia" w:ascii="仿宋_GB2312" w:hAnsi="仿宋_GB2312" w:eastAsia="仿宋_GB2312" w:cs="仿宋_GB2312"/>
          <w:sz w:val="30"/>
          <w:szCs w:val="30"/>
          <w:lang w:val="en-US" w:eastAsia="zh-CN"/>
        </w:rPr>
        <w:t>工资福利支出122.93万元；项目支出0万元。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r>
        <w:rPr>
          <w:rFonts w:hint="eastAsia" w:ascii="仿宋_GB2312" w:hAnsi="仿宋_GB2312" w:eastAsia="仿宋_GB2312" w:cs="仿宋_GB2312"/>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w:t>
      </w:r>
      <w:r>
        <w:rPr>
          <w:rFonts w:hint="eastAsia" w:ascii="仿宋_GB2312" w:eastAsia="仿宋_GB2312"/>
          <w:kern w:val="0"/>
          <w:sz w:val="30"/>
          <w:szCs w:val="30"/>
          <w:lang w:eastAsia="zh-CN"/>
        </w:rPr>
        <w:t>盈江县民族初级中学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0.65</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0.65</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0.65</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bookmarkStart w:id="4" w:name="OLE_LINK5"/>
      <w:r>
        <w:rPr>
          <w:rFonts w:hint="eastAsia" w:ascii="仿宋_GB2312" w:eastAsia="仿宋_GB2312"/>
          <w:kern w:val="0"/>
          <w:sz w:val="30"/>
          <w:szCs w:val="30"/>
          <w:lang w:val="en-US" w:eastAsia="zh-CN"/>
        </w:rPr>
        <w:t>0.65</w:t>
      </w:r>
      <w:bookmarkEnd w:id="4"/>
      <w:r>
        <w:rPr>
          <w:rFonts w:hint="eastAsia" w:ascii="仿宋_GB2312" w:eastAsia="仿宋_GB2312"/>
          <w:kern w:val="0"/>
          <w:sz w:val="30"/>
          <w:szCs w:val="30"/>
        </w:rPr>
        <w:t>万元相比持平</w:t>
      </w:r>
      <w:r>
        <w:rPr>
          <w:rFonts w:hint="eastAsia" w:ascii="仿宋_GB2312" w:eastAsia="仿宋_GB2312"/>
          <w:kern w:val="0"/>
          <w:sz w:val="30"/>
          <w:szCs w:val="30"/>
          <w:lang w:eastAsia="zh-CN"/>
        </w:rPr>
        <w:t>，</w:t>
      </w:r>
      <w:r>
        <w:rPr>
          <w:rFonts w:hint="eastAsia" w:ascii="仿宋_GB2312" w:eastAsia="仿宋_GB2312"/>
          <w:kern w:val="0"/>
          <w:sz w:val="30"/>
          <w:szCs w:val="30"/>
        </w:rPr>
        <w:t>其中:因公出国（境）费用0万元与上年预算数0万元持平，公务接待费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lang w:val="en-US" w:eastAsia="zh-CN"/>
        </w:rPr>
        <w:t>，</w:t>
      </w:r>
      <w:r>
        <w:rPr>
          <w:rFonts w:hint="eastAsia" w:ascii="仿宋_GB2312" w:eastAsia="仿宋_GB2312"/>
          <w:kern w:val="0"/>
          <w:sz w:val="30"/>
          <w:szCs w:val="30"/>
        </w:rPr>
        <w:t>公务用车购置及运行费</w:t>
      </w:r>
      <w:r>
        <w:rPr>
          <w:rFonts w:hint="eastAsia" w:ascii="仿宋_GB2312" w:eastAsia="仿宋_GB2312"/>
          <w:kern w:val="0"/>
          <w:sz w:val="30"/>
          <w:szCs w:val="30"/>
          <w:lang w:val="en-US" w:eastAsia="zh-CN"/>
        </w:rPr>
        <w:t>0.65</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0.65</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0.65</w:t>
      </w:r>
      <w:r>
        <w:rPr>
          <w:rFonts w:hint="eastAsia" w:ascii="仿宋_GB2312" w:eastAsia="仿宋_GB2312"/>
          <w:kern w:val="0"/>
          <w:sz w:val="30"/>
          <w:szCs w:val="30"/>
        </w:rPr>
        <w:t>万元</w:t>
      </w:r>
      <w:r>
        <w:rPr>
          <w:rFonts w:hint="eastAsia" w:ascii="仿宋_GB2312" w:eastAsia="仿宋_GB2312"/>
          <w:kern w:val="0"/>
          <w:sz w:val="30"/>
          <w:szCs w:val="30"/>
          <w:lang w:eastAsia="zh-CN"/>
        </w:rPr>
        <w:t>持平</w:t>
      </w:r>
      <w:r>
        <w:rPr>
          <w:rFonts w:hint="eastAsia" w:ascii="仿宋_GB2312" w:eastAsia="仿宋_GB2312"/>
          <w:kern w:val="0"/>
          <w:sz w:val="30"/>
          <w:szCs w:val="30"/>
        </w:rPr>
        <w:t>。</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1390.52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1149.04万元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241.89万元，增加21.02%。增加原因：调增人员工资。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5"/>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盈江县民族初级中学无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9.一般公共预算是对以税收为主体的财政收入，安排用于保障和改善民生</w:t>
      </w:r>
      <w:r>
        <w:rPr>
          <w:rFonts w:hint="eastAsia" w:ascii="仿宋_GB2312" w:hAnsi="仿宋_GB2312" w:eastAsia="仿宋_GB2312" w:cs="仿宋_GB2312"/>
          <w:color w:val="333333"/>
          <w:kern w:val="0"/>
          <w:sz w:val="30"/>
          <w:szCs w:val="30"/>
          <w:lang w:eastAsia="zh-CN" w:bidi="ar"/>
        </w:rPr>
        <w:t>，</w:t>
      </w:r>
      <w:r>
        <w:rPr>
          <w:rFonts w:hint="eastAsia" w:ascii="仿宋_GB2312" w:hAnsi="仿宋_GB2312" w:eastAsia="仿宋_GB2312" w:cs="仿宋_GB2312"/>
          <w:color w:val="333333"/>
          <w:kern w:val="0"/>
          <w:sz w:val="30"/>
          <w:szCs w:val="30"/>
          <w:lang w:bidi="ar"/>
        </w:rPr>
        <w:t>推动经济社会发展</w:t>
      </w:r>
      <w:r>
        <w:rPr>
          <w:rFonts w:hint="eastAsia" w:ascii="仿宋_GB2312" w:hAnsi="仿宋_GB2312" w:eastAsia="仿宋_GB2312" w:cs="仿宋_GB2312"/>
          <w:color w:val="333333"/>
          <w:kern w:val="0"/>
          <w:sz w:val="30"/>
          <w:szCs w:val="30"/>
          <w:lang w:eastAsia="zh-CN" w:bidi="ar"/>
        </w:rPr>
        <w:t>，</w:t>
      </w:r>
      <w:r>
        <w:rPr>
          <w:rFonts w:hint="eastAsia" w:ascii="仿宋_GB2312" w:hAnsi="仿宋_GB2312" w:eastAsia="仿宋_GB2312" w:cs="仿宋_GB2312"/>
          <w:color w:val="333333"/>
          <w:kern w:val="0"/>
          <w:sz w:val="30"/>
          <w:szCs w:val="30"/>
          <w:lang w:bidi="ar"/>
        </w:rPr>
        <w:t>维护国家安全</w:t>
      </w:r>
      <w:r>
        <w:rPr>
          <w:rFonts w:hint="eastAsia" w:ascii="仿宋_GB2312" w:hAnsi="仿宋_GB2312" w:eastAsia="仿宋_GB2312" w:cs="仿宋_GB2312"/>
          <w:color w:val="333333"/>
          <w:kern w:val="0"/>
          <w:sz w:val="30"/>
          <w:szCs w:val="30"/>
          <w:lang w:eastAsia="zh-CN" w:bidi="ar"/>
        </w:rPr>
        <w:t>，</w:t>
      </w:r>
      <w:r>
        <w:rPr>
          <w:rFonts w:hint="eastAsia" w:ascii="仿宋_GB2312" w:hAnsi="仿宋_GB2312" w:eastAsia="仿宋_GB2312" w:cs="仿宋_GB2312"/>
          <w:color w:val="333333"/>
          <w:kern w:val="0"/>
          <w:sz w:val="30"/>
          <w:szCs w:val="30"/>
          <w:lang w:bidi="ar"/>
        </w:rPr>
        <w:t xml:space="preserve">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 xml:space="preserve">    2019</w:t>
      </w:r>
      <w:r>
        <w:rPr>
          <w:rFonts w:eastAsia="仿宋_GB2312"/>
          <w:kern w:val="0"/>
          <w:sz w:val="30"/>
          <w:szCs w:val="30"/>
        </w:rPr>
        <w:t xml:space="preserve">年部门预算总支出 </w:t>
      </w:r>
      <w:r>
        <w:rPr>
          <w:rFonts w:hint="eastAsia" w:eastAsia="仿宋_GB2312"/>
          <w:kern w:val="0"/>
          <w:sz w:val="30"/>
          <w:szCs w:val="30"/>
          <w:lang w:val="en-US" w:eastAsia="zh-CN"/>
        </w:rPr>
        <w:t>1390.52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1390.52</w:t>
      </w:r>
      <w:r>
        <w:rPr>
          <w:rFonts w:eastAsia="仿宋_GB2312"/>
          <w:kern w:val="0"/>
          <w:sz w:val="30"/>
          <w:szCs w:val="30"/>
        </w:rPr>
        <w:t>万元，其中，基本支出</w:t>
      </w:r>
      <w:r>
        <w:rPr>
          <w:rFonts w:hint="eastAsia" w:eastAsia="仿宋_GB2312"/>
          <w:kern w:val="0"/>
          <w:sz w:val="30"/>
          <w:szCs w:val="30"/>
          <w:lang w:val="en-US" w:eastAsia="zh-CN"/>
        </w:rPr>
        <w:t>1390.52</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2B94"/>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27407D"/>
    <w:rsid w:val="02450888"/>
    <w:rsid w:val="025737A0"/>
    <w:rsid w:val="02B917C8"/>
    <w:rsid w:val="03CD50E7"/>
    <w:rsid w:val="03F0214E"/>
    <w:rsid w:val="04CF1775"/>
    <w:rsid w:val="04F834BB"/>
    <w:rsid w:val="054A18F5"/>
    <w:rsid w:val="05616F12"/>
    <w:rsid w:val="05EC7416"/>
    <w:rsid w:val="061D49D6"/>
    <w:rsid w:val="06325B44"/>
    <w:rsid w:val="06DF3455"/>
    <w:rsid w:val="06E43398"/>
    <w:rsid w:val="079F1950"/>
    <w:rsid w:val="084A3CB5"/>
    <w:rsid w:val="0AB77A2F"/>
    <w:rsid w:val="0F4952BC"/>
    <w:rsid w:val="105A3BDF"/>
    <w:rsid w:val="13F52A67"/>
    <w:rsid w:val="14594CAF"/>
    <w:rsid w:val="15F638BF"/>
    <w:rsid w:val="16C85A74"/>
    <w:rsid w:val="172728C8"/>
    <w:rsid w:val="18194B15"/>
    <w:rsid w:val="18A27DFC"/>
    <w:rsid w:val="18EE34CD"/>
    <w:rsid w:val="191904EE"/>
    <w:rsid w:val="1A0B3DDD"/>
    <w:rsid w:val="1A4D23F2"/>
    <w:rsid w:val="1A685806"/>
    <w:rsid w:val="1BEA3C19"/>
    <w:rsid w:val="1C3219F9"/>
    <w:rsid w:val="1CE54A30"/>
    <w:rsid w:val="1D117688"/>
    <w:rsid w:val="1D917405"/>
    <w:rsid w:val="1FDF58BD"/>
    <w:rsid w:val="206C0510"/>
    <w:rsid w:val="207165AF"/>
    <w:rsid w:val="215D47F3"/>
    <w:rsid w:val="21B76D32"/>
    <w:rsid w:val="227F7593"/>
    <w:rsid w:val="228F2F2D"/>
    <w:rsid w:val="23293A4E"/>
    <w:rsid w:val="23C6578F"/>
    <w:rsid w:val="242E2599"/>
    <w:rsid w:val="24D00D88"/>
    <w:rsid w:val="26BF2FF3"/>
    <w:rsid w:val="27E3128E"/>
    <w:rsid w:val="28026440"/>
    <w:rsid w:val="28D26D48"/>
    <w:rsid w:val="29F4749C"/>
    <w:rsid w:val="2B696D85"/>
    <w:rsid w:val="2C5B41A5"/>
    <w:rsid w:val="2CA44AC4"/>
    <w:rsid w:val="2D7B7E3A"/>
    <w:rsid w:val="2DA75286"/>
    <w:rsid w:val="2F4256B3"/>
    <w:rsid w:val="2FD25EA1"/>
    <w:rsid w:val="30D85C38"/>
    <w:rsid w:val="33BA5B77"/>
    <w:rsid w:val="33E37726"/>
    <w:rsid w:val="360D5A7F"/>
    <w:rsid w:val="36167778"/>
    <w:rsid w:val="369B6FF2"/>
    <w:rsid w:val="39466C4F"/>
    <w:rsid w:val="39BF048F"/>
    <w:rsid w:val="3A8C77EA"/>
    <w:rsid w:val="3B0C58A6"/>
    <w:rsid w:val="3B8E422C"/>
    <w:rsid w:val="3C29793F"/>
    <w:rsid w:val="3CC32D4E"/>
    <w:rsid w:val="3D531916"/>
    <w:rsid w:val="3F824BEC"/>
    <w:rsid w:val="405548E7"/>
    <w:rsid w:val="40727ADC"/>
    <w:rsid w:val="41986473"/>
    <w:rsid w:val="43131F13"/>
    <w:rsid w:val="43C35C3E"/>
    <w:rsid w:val="44A11F66"/>
    <w:rsid w:val="44F95DA4"/>
    <w:rsid w:val="45166B3A"/>
    <w:rsid w:val="464716C2"/>
    <w:rsid w:val="46794CA4"/>
    <w:rsid w:val="46D61E29"/>
    <w:rsid w:val="48BA0E0E"/>
    <w:rsid w:val="4A940EA9"/>
    <w:rsid w:val="4C2B6994"/>
    <w:rsid w:val="4E1878C9"/>
    <w:rsid w:val="4F462F65"/>
    <w:rsid w:val="4FC334A8"/>
    <w:rsid w:val="50F26431"/>
    <w:rsid w:val="515A348C"/>
    <w:rsid w:val="526F3E11"/>
    <w:rsid w:val="53025EB1"/>
    <w:rsid w:val="53291E1A"/>
    <w:rsid w:val="53F146BC"/>
    <w:rsid w:val="544F333B"/>
    <w:rsid w:val="54870A50"/>
    <w:rsid w:val="55D71E06"/>
    <w:rsid w:val="564C72BA"/>
    <w:rsid w:val="5825432A"/>
    <w:rsid w:val="58310B0B"/>
    <w:rsid w:val="597D7B2E"/>
    <w:rsid w:val="59D53C66"/>
    <w:rsid w:val="5AB4032D"/>
    <w:rsid w:val="5DDB63FE"/>
    <w:rsid w:val="5E7D384C"/>
    <w:rsid w:val="5EE914C3"/>
    <w:rsid w:val="5F1D569A"/>
    <w:rsid w:val="5FB20E86"/>
    <w:rsid w:val="60745BA8"/>
    <w:rsid w:val="64B73B92"/>
    <w:rsid w:val="65756AF5"/>
    <w:rsid w:val="65E20823"/>
    <w:rsid w:val="66447E71"/>
    <w:rsid w:val="67D95CA6"/>
    <w:rsid w:val="67DD5DBE"/>
    <w:rsid w:val="68083500"/>
    <w:rsid w:val="68C77134"/>
    <w:rsid w:val="6A8C3BB7"/>
    <w:rsid w:val="6CAC668F"/>
    <w:rsid w:val="6DA47EEE"/>
    <w:rsid w:val="6E9D14FF"/>
    <w:rsid w:val="6F774578"/>
    <w:rsid w:val="6FCD3E36"/>
    <w:rsid w:val="71585CE5"/>
    <w:rsid w:val="724A4A01"/>
    <w:rsid w:val="72616363"/>
    <w:rsid w:val="72F37DB5"/>
    <w:rsid w:val="741506C9"/>
    <w:rsid w:val="75F37398"/>
    <w:rsid w:val="76C22F3D"/>
    <w:rsid w:val="7779331C"/>
    <w:rsid w:val="77BF5C65"/>
    <w:rsid w:val="77D46EE6"/>
    <w:rsid w:val="783D31F1"/>
    <w:rsid w:val="79910928"/>
    <w:rsid w:val="7A017677"/>
    <w:rsid w:val="7A922E2A"/>
    <w:rsid w:val="7B1E5394"/>
    <w:rsid w:val="7CC5101A"/>
    <w:rsid w:val="7E39766E"/>
    <w:rsid w:val="7E9E748B"/>
    <w:rsid w:val="7F661CB9"/>
    <w:rsid w:val="7F664B0F"/>
    <w:rsid w:val="7F96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page number"/>
    <w:basedOn w:val="8"/>
    <w:unhideWhenUsed/>
    <w:qFormat/>
    <w:uiPriority w:val="0"/>
  </w:style>
  <w:style w:type="character" w:styleId="10">
    <w:name w:val="Hyperlink"/>
    <w:basedOn w:val="8"/>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4">
    <w:name w:val="Normal (Web)"/>
    <w:basedOn w:val="1"/>
    <w:qFormat/>
    <w:uiPriority w:val="0"/>
    <w:pPr>
      <w:jc w:val="left"/>
    </w:pPr>
    <w:rPr>
      <w:kern w:val="0"/>
      <w:sz w:val="24"/>
    </w:rPr>
  </w:style>
  <w:style w:type="paragraph" w:customStyle="1" w:styleId="15">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8</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2019-04-26T02:26:00Z</cp:lastPrinted>
  <dcterms:modified xsi:type="dcterms:W3CDTF">2019-04-29T09:09:33Z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