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盈江县民族小学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盈江县民族小学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盈江县民族小学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widowControl/>
        <w:ind w:firstLine="1080" w:firstLineChars="300"/>
        <w:jc w:val="both"/>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盈江县民族小学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盈江县民族小学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23</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盈江县民族小学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28"/>
          <w:szCs w:val="28"/>
          <w:lang w:val="en-US" w:eastAsia="zh-CN" w:bidi="ar-SA"/>
        </w:rPr>
        <w:t>盈江县民族小学设置6个处室：办公室、总务处、财务室、教科室、教务处、德育室。</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spacing w:line="68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1、</w:t>
      </w:r>
      <w:r>
        <w:rPr>
          <w:rFonts w:hint="eastAsia" w:ascii="仿宋_GB2312" w:hAnsi="仿宋_GB2312" w:eastAsia="仿宋_GB2312" w:cs="仿宋_GB2312"/>
          <w:b w:val="0"/>
          <w:bCs w:val="0"/>
          <w:sz w:val="30"/>
          <w:szCs w:val="30"/>
        </w:rPr>
        <w:t>德育工作</w:t>
      </w:r>
    </w:p>
    <w:p>
      <w:pPr>
        <w:keepNext w:val="0"/>
        <w:keepLines w:val="0"/>
        <w:pageBreakBefore w:val="0"/>
        <w:kinsoku/>
        <w:wordWrap/>
        <w:overflowPunct/>
        <w:topLinePunct w:val="0"/>
        <w:autoSpaceDE/>
        <w:autoSpaceDN/>
        <w:bidi w:val="0"/>
        <w:adjustRightInd/>
        <w:snapToGrid/>
        <w:spacing w:line="52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为能把德育工作落到实处，显出实效，我校积极寻找德育新思路、新途径，拓宽德育工作渠道，深入开展各项专题德育活动，具体如下：</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1</w:t>
      </w:r>
      <w:r>
        <w:rPr>
          <w:rFonts w:hint="eastAsia" w:ascii="仿宋_GB2312" w:hAnsi="仿宋_GB2312" w:eastAsia="仿宋_GB2312" w:cs="仿宋_GB2312"/>
          <w:b w:val="0"/>
          <w:bCs w:val="0"/>
          <w:sz w:val="30"/>
          <w:szCs w:val="30"/>
        </w:rPr>
        <w:t>）加强师德师风建设，塑造良好的教师队伍形象。</w:t>
      </w:r>
    </w:p>
    <w:p>
      <w:pPr>
        <w:keepNext w:val="0"/>
        <w:keepLines w:val="0"/>
        <w:pageBreakBefore w:val="0"/>
        <w:kinsoku/>
        <w:wordWrap/>
        <w:overflowPunct/>
        <w:topLinePunct w:val="0"/>
        <w:autoSpaceDE/>
        <w:autoSpaceDN/>
        <w:bidi w:val="0"/>
        <w:adjustRightInd/>
        <w:snapToGrid/>
        <w:spacing w:line="52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2</w:t>
      </w:r>
      <w:r>
        <w:rPr>
          <w:rFonts w:hint="eastAsia" w:ascii="仿宋_GB2312" w:hAnsi="仿宋_GB2312" w:eastAsia="仿宋_GB2312" w:cs="仿宋_GB2312"/>
          <w:b w:val="0"/>
          <w:bCs w:val="0"/>
          <w:sz w:val="30"/>
          <w:szCs w:val="30"/>
        </w:rPr>
        <w:t>）多渠道实施德育教育。利用校会、班会、队会、宣传栏、黑板报、国旗下讲话、红领巾小广播、青爱小屋、儿童之家以及各种主题教育活动等宣传阵地，不失时机地对学生进行爱国主义教育、安全教育、养成教育、遵纪守法教育、环保教育和节能减排等，培养学生良好的行为习惯，增强学生的法律意识、安全意识和环保意识，增强德育教育效果。</w:t>
      </w:r>
    </w:p>
    <w:p>
      <w:pPr>
        <w:keepNext w:val="0"/>
        <w:keepLines w:val="0"/>
        <w:pageBreakBefore w:val="0"/>
        <w:kinsoku/>
        <w:wordWrap/>
        <w:overflowPunct/>
        <w:topLinePunct w:val="0"/>
        <w:autoSpaceDE/>
        <w:autoSpaceDN/>
        <w:bidi w:val="0"/>
        <w:adjustRightInd/>
        <w:snapToGrid/>
        <w:spacing w:line="52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3</w:t>
      </w:r>
      <w:r>
        <w:rPr>
          <w:rFonts w:hint="eastAsia" w:ascii="仿宋_GB2312" w:hAnsi="仿宋_GB2312" w:eastAsia="仿宋_GB2312" w:cs="仿宋_GB2312"/>
          <w:b w:val="0"/>
          <w:bCs w:val="0"/>
          <w:sz w:val="30"/>
          <w:szCs w:val="30"/>
        </w:rPr>
        <w:t>）加强养成教育、提升德育水平。</w:t>
      </w:r>
    </w:p>
    <w:p>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4</w:t>
      </w:r>
      <w:r>
        <w:rPr>
          <w:rFonts w:hint="eastAsia" w:ascii="仿宋_GB2312" w:hAnsi="仿宋_GB2312" w:eastAsia="仿宋_GB2312" w:cs="仿宋_GB2312"/>
          <w:b w:val="0"/>
          <w:bCs w:val="0"/>
          <w:sz w:val="30"/>
          <w:szCs w:val="30"/>
        </w:rPr>
        <w:t>）青爱小屋工作。</w:t>
      </w:r>
    </w:p>
    <w:p>
      <w:pPr>
        <w:keepNext w:val="0"/>
        <w:keepLines w:val="0"/>
        <w:pageBreakBefore w:val="0"/>
        <w:kinsoku/>
        <w:wordWrap/>
        <w:overflowPunct/>
        <w:topLinePunct w:val="0"/>
        <w:autoSpaceDE/>
        <w:autoSpaceDN/>
        <w:bidi w:val="0"/>
        <w:adjustRightInd/>
        <w:snapToGrid/>
        <w:spacing w:line="52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2</w:t>
      </w:r>
      <w:r>
        <w:rPr>
          <w:rFonts w:hint="eastAsia" w:ascii="仿宋_GB2312" w:hAnsi="仿宋_GB2312" w:eastAsia="仿宋_GB2312" w:cs="仿宋_GB2312"/>
          <w:b w:val="0"/>
          <w:bCs w:val="0"/>
          <w:sz w:val="30"/>
          <w:szCs w:val="30"/>
        </w:rPr>
        <w:t>、安全工作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学校把安全工作当作头等大事来抓，认真落实“安全第一，预防为主”的方针，以对全体师生高度负责的态度，把安全工作纳入学校重要议事日程，采取措施，保障学校在校园安全、交通安全、食品安全、及防震减灾安全等工作落到实处。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1</w:t>
      </w:r>
      <w:r>
        <w:rPr>
          <w:rFonts w:hint="eastAsia" w:ascii="仿宋_GB2312" w:hAnsi="仿宋_GB2312" w:eastAsia="仿宋_GB2312" w:cs="仿宋_GB2312"/>
          <w:b w:val="0"/>
          <w:bCs w:val="0"/>
          <w:sz w:val="30"/>
          <w:szCs w:val="30"/>
        </w:rPr>
        <w:t>）成立领导小组。学校成立安全工作领导小组。以校长为组长，支部书记、副校长为副组长，全校教职工为组员的安全工作机构，并制定了各自的职责。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2</w:t>
      </w:r>
      <w:r>
        <w:rPr>
          <w:rFonts w:hint="eastAsia" w:ascii="仿宋_GB2312" w:hAnsi="仿宋_GB2312" w:eastAsia="仿宋_GB2312" w:cs="仿宋_GB2312"/>
          <w:b w:val="0"/>
          <w:bCs w:val="0"/>
          <w:sz w:val="30"/>
          <w:szCs w:val="30"/>
        </w:rPr>
        <w:t>）加强教师安全防范的责任主体意识，教育学生增强自我保护意识，学校与教师签订安全管理责任书、班主任与家长签订安全协议书，责任到人。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3</w:t>
      </w:r>
      <w:r>
        <w:rPr>
          <w:rFonts w:hint="eastAsia" w:ascii="仿宋_GB2312" w:hAnsi="仿宋_GB2312" w:eastAsia="仿宋_GB2312" w:cs="仿宋_GB2312"/>
          <w:b w:val="0"/>
          <w:bCs w:val="0"/>
          <w:sz w:val="30"/>
          <w:szCs w:val="30"/>
        </w:rPr>
        <w:t>）加强学生交通安全教育，一至六年级坚持家长接送制，五六年级需要骑自行车上下学的必须提出申请并签订协议书。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4</w:t>
      </w:r>
      <w:r>
        <w:rPr>
          <w:rFonts w:hint="eastAsia" w:ascii="仿宋_GB2312" w:hAnsi="仿宋_GB2312" w:eastAsia="仿宋_GB2312" w:cs="仿宋_GB2312"/>
          <w:b w:val="0"/>
          <w:bCs w:val="0"/>
          <w:sz w:val="30"/>
          <w:szCs w:val="30"/>
        </w:rPr>
        <w:t>）加强校园周边综合治理工作，通过专项整治，每学期邀请辖区民警到校园周边检查，消除安全隐患，建立健全长效治理机制，营造安全的育人环境。</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5</w:t>
      </w:r>
      <w:r>
        <w:rPr>
          <w:rFonts w:hint="eastAsia" w:ascii="仿宋_GB2312" w:hAnsi="仿宋_GB2312" w:eastAsia="仿宋_GB2312" w:cs="仿宋_GB2312"/>
          <w:b w:val="0"/>
          <w:bCs w:val="0"/>
          <w:sz w:val="30"/>
          <w:szCs w:val="30"/>
        </w:rPr>
        <w:t>）做好预防未成年人犯罪工作。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6</w:t>
      </w:r>
      <w:r>
        <w:rPr>
          <w:rFonts w:hint="eastAsia" w:ascii="仿宋_GB2312" w:hAnsi="仿宋_GB2312" w:eastAsia="仿宋_GB2312" w:cs="仿宋_GB2312"/>
          <w:b w:val="0"/>
          <w:bCs w:val="0"/>
          <w:sz w:val="30"/>
          <w:szCs w:val="30"/>
        </w:rPr>
        <w:t>）做好晨检、午检工作</w:t>
      </w:r>
      <w:r>
        <w:rPr>
          <w:rFonts w:hint="eastAsia" w:ascii="仿宋_GB2312" w:hAnsi="仿宋_GB2312" w:eastAsia="仿宋_GB2312" w:cs="仿宋_GB2312"/>
          <w:b w:val="0"/>
          <w:bCs w:val="0"/>
          <w:sz w:val="30"/>
          <w:szCs w:val="30"/>
          <w:lang w:eastAsia="zh-CN"/>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7</w:t>
      </w:r>
      <w:r>
        <w:rPr>
          <w:rFonts w:hint="eastAsia" w:ascii="仿宋_GB2312" w:hAnsi="仿宋_GB2312" w:eastAsia="仿宋_GB2312" w:cs="仿宋_GB2312"/>
          <w:b w:val="0"/>
          <w:bCs w:val="0"/>
          <w:sz w:val="30"/>
          <w:szCs w:val="30"/>
        </w:rPr>
        <w:t>）学校安全领导小组，每学期定期或不定期对校舍、食品卫生、功能室等进行专项检查，及时排除安全隐患。积极组织学生开展防震、防火、防暴恐等应急演练活动，每学期不少于2次。</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3</w:t>
      </w:r>
      <w:r>
        <w:rPr>
          <w:rFonts w:hint="eastAsia" w:ascii="仿宋_GB2312" w:hAnsi="仿宋_GB2312" w:eastAsia="仿宋_GB2312" w:cs="仿宋_GB2312"/>
          <w:b w:val="0"/>
          <w:bCs w:val="0"/>
          <w:sz w:val="30"/>
          <w:szCs w:val="30"/>
        </w:rPr>
        <w:t>、控辍保学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1</w:t>
      </w:r>
      <w:r>
        <w:rPr>
          <w:rFonts w:hint="eastAsia" w:ascii="仿宋_GB2312" w:hAnsi="仿宋_GB2312" w:eastAsia="仿宋_GB2312" w:cs="仿宋_GB2312"/>
          <w:b w:val="0"/>
          <w:bCs w:val="0"/>
          <w:sz w:val="30"/>
          <w:szCs w:val="30"/>
        </w:rPr>
        <w:t>）强化措施,落实责任,增强了全体教师的责任感和使命感。学期初制定了依法控辍、管理控辍、教改控辍等措施。校长与班主任、教师,分别签订了目标管理责任书,各负其责。</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2</w:t>
      </w:r>
      <w:r>
        <w:rPr>
          <w:rFonts w:hint="eastAsia" w:ascii="仿宋_GB2312" w:hAnsi="仿宋_GB2312" w:eastAsia="仿宋_GB2312" w:cs="仿宋_GB2312"/>
          <w:b w:val="0"/>
          <w:bCs w:val="0"/>
          <w:sz w:val="30"/>
          <w:szCs w:val="30"/>
        </w:rPr>
        <w:t xml:space="preserve">）加强学籍管理,从制度上保证学生进得来,留得住,学得好。在开学第二周,学校就安排部署开展了学籍核查工作,对转入转出学生要求必须严格转学手续。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3</w:t>
      </w:r>
      <w:r>
        <w:rPr>
          <w:rFonts w:hint="eastAsia" w:ascii="仿宋_GB2312" w:hAnsi="仿宋_GB2312" w:eastAsia="仿宋_GB2312" w:cs="仿宋_GB2312"/>
          <w:b w:val="0"/>
          <w:bCs w:val="0"/>
          <w:sz w:val="30"/>
          <w:szCs w:val="30"/>
        </w:rPr>
        <w:t>）加强师德师风教育,严禁歧视、体罚和变相体罚学生,关爱每一位学生,不能让学生因贫困而失学,更不能因教师体罚、歧视而让学生厌学而失学。并丰富学校文化生活,让每一位学生在学校都学有所长,学有所得。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 （</w:t>
      </w:r>
      <w:r>
        <w:rPr>
          <w:rFonts w:hint="eastAsia" w:ascii="仿宋_GB2312" w:hAnsi="仿宋_GB2312" w:eastAsia="仿宋_GB2312" w:cs="仿宋_GB2312"/>
          <w:b w:val="0"/>
          <w:bCs w:val="0"/>
          <w:sz w:val="30"/>
          <w:szCs w:val="30"/>
          <w:lang w:val="en-US" w:eastAsia="zh-CN"/>
        </w:rPr>
        <w:t>4</w:t>
      </w:r>
      <w:r>
        <w:rPr>
          <w:rFonts w:hint="eastAsia" w:ascii="仿宋_GB2312" w:hAnsi="仿宋_GB2312" w:eastAsia="仿宋_GB2312" w:cs="仿宋_GB2312"/>
          <w:b w:val="0"/>
          <w:bCs w:val="0"/>
          <w:sz w:val="30"/>
          <w:szCs w:val="30"/>
        </w:rPr>
        <w:t>）对有辍学迹象的学生及时下去家访、了解情况,做好动员工作。</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b w:val="0"/>
          <w:bCs w:val="0"/>
          <w:color w:val="000000"/>
          <w:kern w:val="0"/>
          <w:sz w:val="30"/>
          <w:szCs w:val="30"/>
        </w:rPr>
      </w:pPr>
      <w:r>
        <w:rPr>
          <w:rFonts w:hint="eastAsia" w:ascii="仿宋_GB2312" w:hAnsi="仿宋_GB2312" w:eastAsia="仿宋_GB2312" w:cs="仿宋_GB2312"/>
          <w:b w:val="0"/>
          <w:bCs w:val="0"/>
          <w:sz w:val="30"/>
          <w:szCs w:val="30"/>
          <w:lang w:val="en-US" w:eastAsia="zh-CN"/>
        </w:rPr>
        <w:t>4</w:t>
      </w: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color w:val="000000"/>
          <w:kern w:val="0"/>
          <w:sz w:val="30"/>
          <w:szCs w:val="30"/>
        </w:rPr>
        <w:t>教育教学</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学校教育教学立足于新课改的大环境，坚持以教师为中心、以学校为本位的教研制度，以课堂教学为核心，狠抓教科研与教育实践相结合，倡导“教师即研究者”的理念，不断壮大“科研型教师”队伍。</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1、认真制定详细的、操作性强的教科室工作计划，定期召开教研组备课组会议。</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2、各教研组根据学校教研活动计划安排认真完成了各项教研活动。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3、加大了教学常规检查，本学期以来，对各位教师的教案实行了不定期的抽查，并且每学期组织了两次大型的教学常规检查，并将结果记入教师业务档案，用于年终绩校考核。</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4、积极组织教师撰写科研论文，积极开展校本教研，组织教师学习师训教材《做最好的老师》。</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5、积极组织教师参加各级教研活动，各个教研组派出的优秀教师在各类教学比赛中取得了优异成绩。</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6、组织了语文优质课教学竞赛，评出6节优质课，竞赛过程整体表现为:设计准备充分,研究气氛浓厚, 教学充实，课堂训练扎实，教学目标落实。教师个性张扬,教学效果良好，深得广大教师好评。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2</w:t>
      </w:r>
      <w:r>
        <w:rPr>
          <w:rFonts w:hint="eastAsia" w:ascii="仿宋_GB2312" w:hAnsi="仿宋_GB2312" w:eastAsia="仿宋_GB2312" w:cs="仿宋_GB2312"/>
          <w:b w:val="0"/>
          <w:bCs w:val="0"/>
          <w:sz w:val="30"/>
          <w:szCs w:val="30"/>
        </w:rPr>
        <w:t>）加强兴趣活动。我校还成立了书法、绘画、傣文、音乐、篮球、乒乓球、舞蹈、架子鼓、葫芦丝、嘎秧舞、目瑙纵歌舞等兴趣小组</w:t>
      </w:r>
      <w:r>
        <w:rPr>
          <w:rFonts w:hint="eastAsia" w:ascii="仿宋_GB2312" w:hAnsi="仿宋_GB2312" w:eastAsia="仿宋_GB2312" w:cs="仿宋_GB2312"/>
          <w:b w:val="0"/>
          <w:bCs w:val="0"/>
          <w:sz w:val="30"/>
          <w:szCs w:val="30"/>
          <w:lang w:eastAsia="zh-CN"/>
        </w:rPr>
        <w:t>。</w:t>
      </w:r>
    </w:p>
    <w:p>
      <w:pPr>
        <w:keepNext w:val="0"/>
        <w:keepLines w:val="0"/>
        <w:pageBreakBefore w:val="0"/>
        <w:kinsoku/>
        <w:wordWrap/>
        <w:overflowPunct/>
        <w:topLinePunct w:val="0"/>
        <w:autoSpaceDE/>
        <w:autoSpaceDN/>
        <w:bidi w:val="0"/>
        <w:adjustRightInd/>
        <w:snapToGrid/>
        <w:spacing w:line="52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3</w:t>
      </w:r>
      <w:r>
        <w:rPr>
          <w:rFonts w:hint="eastAsia" w:ascii="仿宋_GB2312" w:hAnsi="仿宋_GB2312" w:eastAsia="仿宋_GB2312" w:cs="仿宋_GB2312"/>
          <w:b w:val="0"/>
          <w:bCs w:val="0"/>
          <w:sz w:val="30"/>
          <w:szCs w:val="30"/>
        </w:rPr>
        <w:t>）继续开展了“两王”活动。每月开展了“识字大王”听写比赛活动和“口算大王”比赛活动，并及时公布各班前3名大王名单。</w:t>
      </w:r>
    </w:p>
    <w:p>
      <w:pPr>
        <w:keepNext w:val="0"/>
        <w:keepLines w:val="0"/>
        <w:pageBreakBefore w:val="0"/>
        <w:kinsoku/>
        <w:wordWrap/>
        <w:overflowPunct/>
        <w:topLinePunct w:val="0"/>
        <w:autoSpaceDE/>
        <w:autoSpaceDN/>
        <w:bidi w:val="0"/>
        <w:adjustRightInd/>
        <w:snapToGrid/>
        <w:spacing w:line="52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5</w:t>
      </w:r>
      <w:r>
        <w:rPr>
          <w:rFonts w:hint="eastAsia" w:ascii="仿宋_GB2312" w:hAnsi="仿宋_GB2312" w:eastAsia="仿宋_GB2312" w:cs="仿宋_GB2312"/>
          <w:b w:val="0"/>
          <w:bCs w:val="0"/>
          <w:sz w:val="30"/>
          <w:szCs w:val="30"/>
        </w:rPr>
        <w:t>、认真开展党、队、工建设，促进学校发展</w:t>
      </w:r>
    </w:p>
    <w:p>
      <w:pPr>
        <w:keepNext w:val="0"/>
        <w:keepLines w:val="0"/>
        <w:pageBreakBefore w:val="0"/>
        <w:kinsoku/>
        <w:wordWrap/>
        <w:overflowPunct/>
        <w:topLinePunct w:val="0"/>
        <w:autoSpaceDE/>
        <w:autoSpaceDN/>
        <w:bidi w:val="0"/>
        <w:adjustRightInd/>
        <w:snapToGrid/>
        <w:spacing w:line="52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1</w:t>
      </w:r>
      <w:r>
        <w:rPr>
          <w:rFonts w:hint="eastAsia" w:ascii="仿宋_GB2312" w:hAnsi="仿宋_GB2312" w:eastAsia="仿宋_GB2312" w:cs="仿宋_GB2312"/>
          <w:b w:val="0"/>
          <w:bCs w:val="0"/>
          <w:sz w:val="30"/>
          <w:szCs w:val="30"/>
        </w:rPr>
        <w:t>）认真开展群众路线教育活动，充分发挥党员的先锋模范作用，健全完善党风廉政建设责任制。我校先后发放《论群众路线》</w:t>
      </w:r>
      <w:r>
        <w:rPr>
          <w:rFonts w:hint="eastAsia" w:ascii="仿宋_GB2312" w:hAnsi="仿宋_GB2312" w:eastAsia="仿宋_GB2312" w:cs="仿宋_GB2312"/>
          <w:b w:val="0"/>
          <w:bCs w:val="0"/>
          <w:sz w:val="30"/>
          <w:szCs w:val="30"/>
          <w:lang w:eastAsia="zh-CN"/>
        </w:rPr>
        <w:t>《习近平关于党风廉政建设和反腐败斗争论述摘编》</w:t>
      </w:r>
      <w:r>
        <w:rPr>
          <w:rFonts w:hint="eastAsia" w:ascii="仿宋_GB2312" w:hAnsi="仿宋_GB2312" w:eastAsia="仿宋_GB2312" w:cs="仿宋_GB2312"/>
          <w:b w:val="0"/>
          <w:bCs w:val="0"/>
          <w:sz w:val="30"/>
          <w:szCs w:val="30"/>
        </w:rPr>
        <w:t>书各一本，要求在职党员20人写好读书笔记。</w:t>
      </w:r>
    </w:p>
    <w:p>
      <w:pPr>
        <w:keepNext w:val="0"/>
        <w:keepLines w:val="0"/>
        <w:pageBreakBefore w:val="0"/>
        <w:kinsoku/>
        <w:wordWrap/>
        <w:overflowPunct/>
        <w:topLinePunct w:val="0"/>
        <w:autoSpaceDE/>
        <w:autoSpaceDN/>
        <w:bidi w:val="0"/>
        <w:adjustRightInd/>
        <w:snapToGrid/>
        <w:spacing w:line="52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2</w:t>
      </w:r>
      <w:r>
        <w:rPr>
          <w:rFonts w:hint="eastAsia" w:ascii="仿宋_GB2312" w:hAnsi="仿宋_GB2312" w:eastAsia="仿宋_GB2312" w:cs="仿宋_GB2312"/>
          <w:b w:val="0"/>
          <w:bCs w:val="0"/>
          <w:sz w:val="30"/>
          <w:szCs w:val="30"/>
        </w:rPr>
        <w:t>）以少先队为阵地，突出节日主题活动。</w:t>
      </w:r>
    </w:p>
    <w:p>
      <w:pPr>
        <w:keepNext w:val="0"/>
        <w:keepLines w:val="0"/>
        <w:pageBreakBefore w:val="0"/>
        <w:kinsoku/>
        <w:wordWrap/>
        <w:overflowPunct/>
        <w:topLinePunct w:val="0"/>
        <w:autoSpaceDE/>
        <w:autoSpaceDN/>
        <w:bidi w:val="0"/>
        <w:adjustRightInd/>
        <w:snapToGrid/>
        <w:spacing w:line="52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w:t>
      </w:r>
      <w:r>
        <w:rPr>
          <w:rFonts w:hint="eastAsia" w:ascii="仿宋_GB2312" w:hAnsi="仿宋_GB2312" w:eastAsia="仿宋_GB2312" w:cs="仿宋_GB2312"/>
          <w:b w:val="0"/>
          <w:bCs w:val="0"/>
          <w:sz w:val="30"/>
          <w:szCs w:val="30"/>
          <w:lang w:val="en-US" w:eastAsia="zh-CN"/>
        </w:rPr>
        <w:t>3</w:t>
      </w:r>
      <w:r>
        <w:rPr>
          <w:rFonts w:hint="eastAsia" w:ascii="仿宋_GB2312" w:hAnsi="仿宋_GB2312" w:eastAsia="仿宋_GB2312" w:cs="仿宋_GB2312"/>
          <w:b w:val="0"/>
          <w:bCs w:val="0"/>
          <w:sz w:val="30"/>
          <w:szCs w:val="30"/>
        </w:rPr>
        <w:t xml:space="preserve">）切实发挥工会职能。工会继续做好了“送温暖、送爱心”工作，坚持走访和慰问制度，对家庭特别困难、生病住院、遭受重大事件的教职员工，前去看望、慰问，把学校的关怀送到教工的心坎上。 </w:t>
      </w:r>
    </w:p>
    <w:p>
      <w:pPr>
        <w:keepNext w:val="0"/>
        <w:keepLines w:val="0"/>
        <w:pageBreakBefore w:val="0"/>
        <w:kinsoku/>
        <w:wordWrap/>
        <w:overflowPunct/>
        <w:topLinePunct w:val="0"/>
        <w:autoSpaceDE/>
        <w:autoSpaceDN/>
        <w:bidi w:val="0"/>
        <w:adjustRightInd/>
        <w:snapToGrid/>
        <w:spacing w:line="52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6</w:t>
      </w:r>
      <w:r>
        <w:rPr>
          <w:rFonts w:hint="eastAsia" w:ascii="仿宋_GB2312" w:hAnsi="仿宋_GB2312" w:eastAsia="仿宋_GB2312" w:cs="仿宋_GB2312"/>
          <w:b w:val="0"/>
          <w:bCs w:val="0"/>
          <w:sz w:val="30"/>
          <w:szCs w:val="30"/>
        </w:rPr>
        <w:t>、加强民族团结教育工作：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各班级利用班会和《民族常识》、《民族团结教育》时间，组织学生收集交流各民族团结共进的相关资料，并宣传我县各民族的优秀传统文化，普及民族常识，充分认识到当前国际局势复杂多变的新形式下开展民族团结教育活动的重要意义。</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57</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57</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57</w:t>
      </w:r>
      <w:r>
        <w:rPr>
          <w:rFonts w:hint="eastAsia" w:ascii="仿宋_GB2312" w:hAnsi="仿宋_GB2312" w:eastAsia="仿宋_GB2312" w:cs="仿宋_GB2312"/>
          <w:color w:val="000000" w:themeColor="text1"/>
          <w:kern w:val="0"/>
          <w:sz w:val="30"/>
          <w:szCs w:val="30"/>
        </w:rPr>
        <w:t>人，其中：财政全供养</w:t>
      </w:r>
      <w:r>
        <w:rPr>
          <w:rFonts w:hint="eastAsia" w:ascii="仿宋_GB2312" w:hAnsi="仿宋_GB2312" w:eastAsia="仿宋_GB2312" w:cs="仿宋_GB2312"/>
          <w:color w:val="000000" w:themeColor="text1"/>
          <w:kern w:val="0"/>
          <w:sz w:val="30"/>
          <w:szCs w:val="30"/>
          <w:lang w:val="en-US" w:eastAsia="zh-CN"/>
        </w:rPr>
        <w:t>57</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43</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43</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盈江县民族小学</w:t>
      </w:r>
      <w:r>
        <w:rPr>
          <w:rFonts w:eastAsia="仿宋_GB2312"/>
          <w:kern w:val="0"/>
          <w:sz w:val="30"/>
          <w:szCs w:val="30"/>
        </w:rPr>
        <w:t>财务总收入</w:t>
      </w:r>
      <w:r>
        <w:rPr>
          <w:rFonts w:hint="eastAsia" w:eastAsia="仿宋_GB2312"/>
          <w:kern w:val="0"/>
          <w:sz w:val="30"/>
          <w:szCs w:val="30"/>
          <w:lang w:val="en-US" w:eastAsia="zh-CN"/>
        </w:rPr>
        <w:t>651.24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651.24</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651.24</w:t>
      </w:r>
      <w:r>
        <w:rPr>
          <w:rFonts w:eastAsia="仿宋_GB2312"/>
          <w:kern w:val="0"/>
          <w:sz w:val="30"/>
          <w:szCs w:val="30"/>
        </w:rPr>
        <w:t>万元，其中:本年收入</w:t>
      </w:r>
      <w:r>
        <w:rPr>
          <w:rFonts w:hint="eastAsia" w:eastAsia="仿宋_GB2312"/>
          <w:kern w:val="0"/>
          <w:sz w:val="30"/>
          <w:szCs w:val="30"/>
          <w:lang w:val="en-US" w:eastAsia="zh-CN"/>
        </w:rPr>
        <w:t>651.24</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651.24</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651.24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651.24</w:t>
      </w:r>
      <w:r>
        <w:rPr>
          <w:rFonts w:eastAsia="仿宋_GB2312"/>
          <w:kern w:val="0"/>
          <w:sz w:val="30"/>
          <w:szCs w:val="30"/>
        </w:rPr>
        <w:t>万元，其中，基本支出</w:t>
      </w:r>
      <w:r>
        <w:rPr>
          <w:rFonts w:hint="eastAsia" w:eastAsia="仿宋_GB2312"/>
          <w:kern w:val="0"/>
          <w:sz w:val="30"/>
          <w:szCs w:val="30"/>
          <w:lang w:val="en-US" w:eastAsia="zh-CN"/>
        </w:rPr>
        <w:t>651.24</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教育支出-普通教育-小学教育479.66万元，主要用于工资福利支出和日常学校运行运转。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“2080502”社会保障和就业支出-行政事业单位离退休-事业单位离退休8.61万元，主要用于离退休人员公用经费支出。</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事业单位基本养老保险缴费支出97.71万元，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65.26</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w:t>
      </w:r>
      <w:bookmarkStart w:id="0" w:name="_GoBack"/>
      <w:bookmarkEnd w:id="0"/>
      <w:r>
        <w:rPr>
          <w:rFonts w:ascii="楷体_GB2312" w:eastAsia="楷体_GB2312"/>
          <w:kern w:val="0"/>
          <w:sz w:val="30"/>
          <w:szCs w:val="30"/>
        </w:rPr>
        <w:t>科目分类情况</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2050202 小学教育479.66万元，其中：基本支出479.66万元，主要用于301工资福利支出475.94万元，302商品服务支出3.72万元；项目支出0万元。</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kern w:val="0"/>
          <w:sz w:val="30"/>
          <w:szCs w:val="30"/>
          <w:lang w:val="en-US" w:eastAsia="zh-CN"/>
        </w:rPr>
        <w:t>2080502 事业单位离退休8.61万元，其中：基本支出8.61万元，主要用于302商品服务支出2.58万元，303对个人和家庭补助支出6.03万元；</w:t>
      </w:r>
      <w:r>
        <w:rPr>
          <w:rFonts w:hint="eastAsia" w:ascii="仿宋_GB2312" w:hAnsi="仿宋_GB2312" w:eastAsia="仿宋_GB2312" w:cs="仿宋_GB2312"/>
          <w:sz w:val="30"/>
          <w:szCs w:val="30"/>
          <w:lang w:val="en-US" w:eastAsia="zh-CN"/>
        </w:rPr>
        <w:t>项目支出0万元。</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2080505 机关事业单位基本养老保险缴费支出97.71万元，其中：基本支出97.71万元，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工资福利支出97.71万元；项目支出0万元。</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sz w:val="30"/>
          <w:szCs w:val="30"/>
          <w:lang w:val="en-US" w:eastAsia="zh-CN"/>
        </w:rPr>
        <w:t>2210201 住房公积金65.26万元，其中：基本支出65.26万元，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工资福利支出65.26万元；项目支出0万元。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r>
        <w:rPr>
          <w:rFonts w:hint="eastAsia" w:ascii="仿宋_GB2312" w:hAnsi="仿宋_GB2312" w:eastAsia="仿宋_GB2312" w:cs="仿宋_GB2312"/>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w:t>
      </w:r>
      <w:r>
        <w:rPr>
          <w:rFonts w:hint="eastAsia" w:ascii="仿宋_GB2312" w:eastAsia="仿宋_GB2312"/>
          <w:kern w:val="0"/>
          <w:sz w:val="30"/>
          <w:szCs w:val="30"/>
          <w:lang w:eastAsia="zh-CN"/>
        </w:rPr>
        <w:t>盈江县民族小学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2.08</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0.87</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1.21</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1.21</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2.08</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0.87</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0.87</w:t>
      </w:r>
      <w:r>
        <w:rPr>
          <w:rFonts w:hint="eastAsia" w:ascii="仿宋_GB2312" w:eastAsia="仿宋_GB2312"/>
          <w:kern w:val="0"/>
          <w:sz w:val="30"/>
          <w:szCs w:val="30"/>
        </w:rPr>
        <w:t>万元</w:t>
      </w:r>
      <w:r>
        <w:rPr>
          <w:rFonts w:hint="eastAsia" w:ascii="仿宋_GB2312" w:eastAsia="仿宋_GB2312"/>
          <w:kern w:val="0"/>
          <w:sz w:val="30"/>
          <w:szCs w:val="30"/>
          <w:lang w:eastAsia="zh-CN"/>
        </w:rPr>
        <w:t>持平</w:t>
      </w:r>
      <w:r>
        <w:rPr>
          <w:rFonts w:hint="eastAsia" w:ascii="仿宋_GB2312" w:eastAsia="仿宋_GB2312"/>
          <w:kern w:val="0"/>
          <w:sz w:val="30"/>
          <w:szCs w:val="30"/>
          <w:lang w:val="en-US" w:eastAsia="zh-CN"/>
        </w:rPr>
        <w:t>；</w:t>
      </w:r>
      <w:r>
        <w:rPr>
          <w:rFonts w:hint="eastAsia" w:ascii="仿宋_GB2312" w:eastAsia="仿宋_GB2312"/>
          <w:kern w:val="0"/>
          <w:sz w:val="30"/>
          <w:szCs w:val="30"/>
        </w:rPr>
        <w:t>公务用车购置及运行费</w:t>
      </w:r>
      <w:r>
        <w:rPr>
          <w:rFonts w:hint="eastAsia" w:ascii="仿宋_GB2312" w:eastAsia="仿宋_GB2312"/>
          <w:kern w:val="0"/>
          <w:sz w:val="30"/>
          <w:szCs w:val="30"/>
          <w:lang w:val="en-US" w:eastAsia="zh-CN"/>
        </w:rPr>
        <w:t>1.21</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1.21</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1.21</w:t>
      </w:r>
      <w:r>
        <w:rPr>
          <w:rFonts w:hint="eastAsia" w:ascii="仿宋_GB2312" w:eastAsia="仿宋_GB2312"/>
          <w:kern w:val="0"/>
          <w:sz w:val="30"/>
          <w:szCs w:val="30"/>
        </w:rPr>
        <w:t>万元</w:t>
      </w:r>
      <w:r>
        <w:rPr>
          <w:rFonts w:hint="eastAsia" w:ascii="仿宋_GB2312" w:eastAsia="仿宋_GB2312"/>
          <w:kern w:val="0"/>
          <w:sz w:val="30"/>
          <w:szCs w:val="30"/>
          <w:lang w:eastAsia="zh-CN"/>
        </w:rPr>
        <w:t>持平</w:t>
      </w:r>
      <w:r>
        <w:rPr>
          <w:rFonts w:hint="eastAsia" w:ascii="仿宋_GB2312" w:eastAsia="仿宋_GB2312"/>
          <w:kern w:val="0"/>
          <w:sz w:val="30"/>
          <w:szCs w:val="30"/>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651.24</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，比上年预算数620.87</w:t>
      </w:r>
      <w:r>
        <w:rPr>
          <w:rFonts w:hint="eastAsia" w:ascii="仿宋_GB2312" w:hAnsi="仿宋_GB2312" w:eastAsia="仿宋_GB2312" w:cs="仿宋_GB2312"/>
          <w:kern w:val="0"/>
          <w:sz w:val="30"/>
          <w:szCs w:val="30"/>
          <w:lang w:val="en-US" w:eastAsia="zh-CN"/>
        </w:rPr>
        <w:t>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30.37万元，增4.89%。增加原因：调增人员工资。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eastAsia="zh-CN"/>
        </w:rPr>
        <w:t>盈江县民族小学无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651.24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651.24</w:t>
      </w:r>
      <w:r>
        <w:rPr>
          <w:rFonts w:eastAsia="仿宋_GB2312"/>
          <w:kern w:val="0"/>
          <w:sz w:val="30"/>
          <w:szCs w:val="30"/>
        </w:rPr>
        <w:t>万元，其中，基本支出</w:t>
      </w:r>
      <w:r>
        <w:rPr>
          <w:rFonts w:hint="eastAsia" w:eastAsia="仿宋_GB2312"/>
          <w:kern w:val="0"/>
          <w:sz w:val="30"/>
          <w:szCs w:val="30"/>
          <w:lang w:val="en-US" w:eastAsia="zh-CN"/>
        </w:rPr>
        <w:t>651.24</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2B94"/>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450888"/>
    <w:rsid w:val="025737A0"/>
    <w:rsid w:val="02B917C8"/>
    <w:rsid w:val="03CD50E7"/>
    <w:rsid w:val="03DE5497"/>
    <w:rsid w:val="03F0214E"/>
    <w:rsid w:val="04CF1775"/>
    <w:rsid w:val="054A18F5"/>
    <w:rsid w:val="05616F12"/>
    <w:rsid w:val="061D49D6"/>
    <w:rsid w:val="06325B44"/>
    <w:rsid w:val="06E43398"/>
    <w:rsid w:val="079F1950"/>
    <w:rsid w:val="084A3CB5"/>
    <w:rsid w:val="08907BA9"/>
    <w:rsid w:val="08FD5F0E"/>
    <w:rsid w:val="0AB12754"/>
    <w:rsid w:val="0AB77A2F"/>
    <w:rsid w:val="0F4952BC"/>
    <w:rsid w:val="105A3BDF"/>
    <w:rsid w:val="13F52A67"/>
    <w:rsid w:val="14594CAF"/>
    <w:rsid w:val="16C85A74"/>
    <w:rsid w:val="172728C8"/>
    <w:rsid w:val="18194B15"/>
    <w:rsid w:val="18A27DFC"/>
    <w:rsid w:val="1A0B3DDD"/>
    <w:rsid w:val="1A685806"/>
    <w:rsid w:val="1BF146CF"/>
    <w:rsid w:val="1C3219F9"/>
    <w:rsid w:val="1CE54A30"/>
    <w:rsid w:val="1D5930DF"/>
    <w:rsid w:val="1D655023"/>
    <w:rsid w:val="1EC91481"/>
    <w:rsid w:val="206C0510"/>
    <w:rsid w:val="207165AF"/>
    <w:rsid w:val="215D47F3"/>
    <w:rsid w:val="21B76D32"/>
    <w:rsid w:val="228F2F2D"/>
    <w:rsid w:val="23293A4E"/>
    <w:rsid w:val="23C6578F"/>
    <w:rsid w:val="242E2599"/>
    <w:rsid w:val="24B57520"/>
    <w:rsid w:val="24D00D88"/>
    <w:rsid w:val="25837A1E"/>
    <w:rsid w:val="26BF2FF3"/>
    <w:rsid w:val="27E3128E"/>
    <w:rsid w:val="28D26D48"/>
    <w:rsid w:val="29F4749C"/>
    <w:rsid w:val="2B696D85"/>
    <w:rsid w:val="2C5B41A5"/>
    <w:rsid w:val="2CE7367E"/>
    <w:rsid w:val="2D7B7E3A"/>
    <w:rsid w:val="2DA75286"/>
    <w:rsid w:val="2FD25EA1"/>
    <w:rsid w:val="30D85C38"/>
    <w:rsid w:val="33BA5B77"/>
    <w:rsid w:val="33E37726"/>
    <w:rsid w:val="368E3B48"/>
    <w:rsid w:val="369B6FF2"/>
    <w:rsid w:val="38274C15"/>
    <w:rsid w:val="39466C4F"/>
    <w:rsid w:val="39BF048F"/>
    <w:rsid w:val="3A8C77EA"/>
    <w:rsid w:val="3B0C58A6"/>
    <w:rsid w:val="3B8E422C"/>
    <w:rsid w:val="3C29793F"/>
    <w:rsid w:val="3CC32D4E"/>
    <w:rsid w:val="3D531916"/>
    <w:rsid w:val="40727ADC"/>
    <w:rsid w:val="41986473"/>
    <w:rsid w:val="42976ED0"/>
    <w:rsid w:val="43131F13"/>
    <w:rsid w:val="43C35C3E"/>
    <w:rsid w:val="44A11F66"/>
    <w:rsid w:val="44F95DA4"/>
    <w:rsid w:val="45166B3A"/>
    <w:rsid w:val="464716C2"/>
    <w:rsid w:val="46D61E29"/>
    <w:rsid w:val="48BA0E0E"/>
    <w:rsid w:val="4A940EA9"/>
    <w:rsid w:val="4C2B6994"/>
    <w:rsid w:val="4E1878C9"/>
    <w:rsid w:val="4F462F65"/>
    <w:rsid w:val="4FC334A8"/>
    <w:rsid w:val="50F26431"/>
    <w:rsid w:val="515A348C"/>
    <w:rsid w:val="52410649"/>
    <w:rsid w:val="526F3E11"/>
    <w:rsid w:val="53025EB1"/>
    <w:rsid w:val="53291E1A"/>
    <w:rsid w:val="53DB791D"/>
    <w:rsid w:val="53F146BC"/>
    <w:rsid w:val="544C782C"/>
    <w:rsid w:val="544F333B"/>
    <w:rsid w:val="54870A50"/>
    <w:rsid w:val="55D71E06"/>
    <w:rsid w:val="56464CAB"/>
    <w:rsid w:val="564C72BA"/>
    <w:rsid w:val="5825432A"/>
    <w:rsid w:val="58310B0B"/>
    <w:rsid w:val="597D7B2E"/>
    <w:rsid w:val="59D53C66"/>
    <w:rsid w:val="59E55D70"/>
    <w:rsid w:val="5AB4032D"/>
    <w:rsid w:val="5C437485"/>
    <w:rsid w:val="5DDB63FE"/>
    <w:rsid w:val="5E7D384C"/>
    <w:rsid w:val="5F1D569A"/>
    <w:rsid w:val="5FB142CE"/>
    <w:rsid w:val="5FB20E86"/>
    <w:rsid w:val="601F6334"/>
    <w:rsid w:val="60745BA8"/>
    <w:rsid w:val="62C64442"/>
    <w:rsid w:val="63966E6C"/>
    <w:rsid w:val="63CC6F6A"/>
    <w:rsid w:val="65756AF5"/>
    <w:rsid w:val="65E20823"/>
    <w:rsid w:val="66447E71"/>
    <w:rsid w:val="67D95CA6"/>
    <w:rsid w:val="67DD5DBE"/>
    <w:rsid w:val="68083500"/>
    <w:rsid w:val="68C77134"/>
    <w:rsid w:val="6A5B15E9"/>
    <w:rsid w:val="6A8C3BB7"/>
    <w:rsid w:val="6CAC668F"/>
    <w:rsid w:val="6DA47EEE"/>
    <w:rsid w:val="6F774578"/>
    <w:rsid w:val="6FCD3E36"/>
    <w:rsid w:val="71585CE5"/>
    <w:rsid w:val="724A4A01"/>
    <w:rsid w:val="72616363"/>
    <w:rsid w:val="72F37DB5"/>
    <w:rsid w:val="74324C25"/>
    <w:rsid w:val="75F37398"/>
    <w:rsid w:val="769D6E37"/>
    <w:rsid w:val="76C22F3D"/>
    <w:rsid w:val="774C6397"/>
    <w:rsid w:val="7779331C"/>
    <w:rsid w:val="77D46EE6"/>
    <w:rsid w:val="783D31F1"/>
    <w:rsid w:val="79910928"/>
    <w:rsid w:val="7A017677"/>
    <w:rsid w:val="7A922E2A"/>
    <w:rsid w:val="7B1E5394"/>
    <w:rsid w:val="7B964A59"/>
    <w:rsid w:val="7CC5101A"/>
    <w:rsid w:val="7E39766E"/>
    <w:rsid w:val="7E9E748B"/>
    <w:rsid w:val="7F661CB9"/>
    <w:rsid w:val="7F962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Hyperlink"/>
    <w:basedOn w:val="9"/>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3</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2024-08-07T01:31:21Z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80D1B84D3672436BBAE758F384F96B84</vt:lpwstr>
  </property>
</Properties>
</file>