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盈江县职业高级中学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年部门预算</w:t>
      </w:r>
      <w:r>
        <w:rPr>
          <w:rFonts w:hint="eastAsia" w:ascii="方正小标宋简体" w:hAnsi="方正小标宋简体" w:eastAsia="方正小标宋简体" w:cs="方正小标宋简体"/>
          <w:sz w:val="36"/>
          <w:szCs w:val="36"/>
          <w:lang w:eastAsia="zh-CN"/>
        </w:rPr>
        <w:t>公开</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 盈江县职业高级中学2019年部门预算编制说明</w:t>
      </w:r>
    </w:p>
    <w:p>
      <w:pPr>
        <w:jc w:val="left"/>
        <w:rPr>
          <w:rFonts w:hint="eastAsia" w:ascii="黑体" w:hAnsi="黑体" w:eastAsia="黑体"/>
          <w:sz w:val="30"/>
          <w:szCs w:val="30"/>
        </w:rPr>
      </w:pPr>
      <w:r>
        <w:rPr>
          <w:rFonts w:hint="eastAsia" w:ascii="黑体" w:hAnsi="黑体" w:eastAsia="黑体"/>
          <w:sz w:val="30"/>
          <w:szCs w:val="30"/>
        </w:rPr>
        <w:t>第二部分 盈江县职业高级中学2019年部门预算表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对下转移支付绩效目标表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widowControl/>
        <w:jc w:val="both"/>
        <w:rPr>
          <w:rFonts w:hint="eastAsia" w:ascii="方正小标宋简体" w:eastAsia="方正小标宋简体"/>
          <w:kern w:val="0"/>
          <w:sz w:val="36"/>
          <w:szCs w:val="36"/>
          <w:lang w:eastAsia="zh-CN"/>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盈江县职业高级中学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盈江县职业高级中学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40</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盈江县职业高级中学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特设教育发展，高度重视民族教育，规范发展民办教育，加强教育合作与交流。培养高中学历技术应用人才,提高社会职业素质,汽车、保安、旅游、舞蹈、珠宝、计算机、幼师、专业高中学历教育相关职业培训。</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盈江县职业高级中学设置6个科室：办公室、教务处、政教处、招就处、总务处、财务室。其中：党总支书记、校长:尹可孝主抓学校全面工作；党总支副书记:和金光分管党务工作及团委工作；副校长:张应昌分管招生就业工作（招生就业办公室）、财务工作及教育教学工作（教务处）；副校长张聚堂分管德育工作（政教处）和工会工作及学校办公室工作；副校长许庆元分管后勤（总务）工作。</w:t>
      </w:r>
    </w:p>
    <w:p>
      <w:pPr>
        <w:keepNext w:val="0"/>
        <w:keepLines w:val="0"/>
        <w:pageBreakBefore w:val="0"/>
        <w:widowControl/>
        <w:numPr>
          <w:ilvl w:val="0"/>
          <w:numId w:val="1"/>
        </w:numPr>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重点工作概述</w:t>
      </w:r>
    </w:p>
    <w:p>
      <w:pPr>
        <w:keepNext w:val="0"/>
        <w:keepLines w:val="0"/>
        <w:pageBreakBefore w:val="0"/>
        <w:kinsoku/>
        <w:wordWrap/>
        <w:overflowPunct/>
        <w:topLinePunct w:val="0"/>
        <w:autoSpaceDE/>
        <w:autoSpaceDN/>
        <w:bidi w:val="0"/>
        <w:adjustRightInd/>
        <w:spacing w:line="600" w:lineRule="exact"/>
        <w:ind w:firstLine="600" w:firstLineChars="200"/>
        <w:jc w:val="both"/>
        <w:textAlignment w:val="auto"/>
        <w:rPr>
          <w:rFonts w:ascii="楷体_GB2312" w:eastAsia="楷体_GB2312"/>
          <w:kern w:val="0"/>
          <w:sz w:val="30"/>
          <w:szCs w:val="30"/>
        </w:rPr>
      </w:pPr>
      <w:r>
        <w:rPr>
          <w:rFonts w:hint="eastAsia" w:ascii="仿宋_GB2312" w:hAnsi="仿宋_GB2312" w:eastAsia="仿宋_GB2312" w:cs="仿宋_GB2312"/>
          <w:b w:val="0"/>
          <w:bCs/>
          <w:sz w:val="30"/>
          <w:szCs w:val="30"/>
          <w:lang w:val="en-US" w:eastAsia="zh-CN"/>
        </w:rPr>
        <w:t>我校2019年重点做好以下几个方面的工作：</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1、扩大招生规模，积极探索多种办学模式。十三五”期间我校将要争取晋升学国家级重点学校，加强招生工作。</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2、增强师资力量。</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3、充实实训设备。</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4、完善制度建设。制定行之有效的激励机制和评价体系，提高教职工工作的积极和主动性。</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在今后的工作中，我们将逐年提高“双师型”教师的比例，努力争取项目资金，逐年改善办学条件，积极探索教职工的评价办法，不断创新办学模式，切实加强学校常规管理，确保校园平安和谐，重视学生的养成教育和技能培训，向管理要质量，不断提高学生的整体素质和就业质量，让学生进得来、留得住、学得好、送得出，以“出口畅”带动“进口旺”，努力完成每年的招生任务，逐年扩大办学规模，办人民满意的中等职业教育。</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个。财政全供给单位中事业单位</w:t>
      </w:r>
      <w:r>
        <w:rPr>
          <w:rFonts w:hint="eastAsia" w:eastAsia="仿宋_GB2312"/>
          <w:kern w:val="0"/>
          <w:sz w:val="30"/>
          <w:szCs w:val="30"/>
          <w:lang w:val="en-US" w:eastAsia="zh-CN"/>
        </w:rPr>
        <w:t>1</w:t>
      </w:r>
      <w:r>
        <w:rPr>
          <w:rFonts w:eastAsia="仿宋_GB2312"/>
          <w:kern w:val="0"/>
          <w:sz w:val="30"/>
          <w:szCs w:val="30"/>
        </w:rPr>
        <w:t>个。截止20</w:t>
      </w:r>
      <w:r>
        <w:rPr>
          <w:rFonts w:hint="eastAsia" w:eastAsia="仿宋_GB2312"/>
          <w:kern w:val="0"/>
          <w:sz w:val="30"/>
          <w:szCs w:val="30"/>
          <w:lang w:val="en-US" w:eastAsia="zh-CN"/>
        </w:rPr>
        <w:t>18</w:t>
      </w:r>
      <w:r>
        <w:rPr>
          <w:rFonts w:eastAsia="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56</w:t>
      </w:r>
      <w:r>
        <w:rPr>
          <w:rFonts w:eastAsia="仿宋_GB2312"/>
          <w:kern w:val="0"/>
          <w:sz w:val="30"/>
          <w:szCs w:val="30"/>
        </w:rPr>
        <w:t>人，其中：事业编制</w:t>
      </w:r>
      <w:r>
        <w:rPr>
          <w:rFonts w:hint="eastAsia" w:eastAsia="仿宋_GB2312"/>
          <w:kern w:val="0"/>
          <w:sz w:val="30"/>
          <w:szCs w:val="30"/>
          <w:lang w:val="en-US" w:eastAsia="zh-CN"/>
        </w:rPr>
        <w:t>56</w:t>
      </w:r>
      <w:r>
        <w:rPr>
          <w:rFonts w:eastAsia="仿宋_GB2312"/>
          <w:kern w:val="0"/>
          <w:sz w:val="30"/>
          <w:szCs w:val="30"/>
        </w:rPr>
        <w:t>人。在职实有</w:t>
      </w:r>
      <w:r>
        <w:rPr>
          <w:rFonts w:hint="eastAsia" w:eastAsia="仿宋_GB2312"/>
          <w:kern w:val="0"/>
          <w:sz w:val="30"/>
          <w:szCs w:val="30"/>
          <w:lang w:val="en-US" w:eastAsia="zh-CN"/>
        </w:rPr>
        <w:t>79</w:t>
      </w:r>
      <w:r>
        <w:rPr>
          <w:rFonts w:eastAsia="仿宋_GB2312"/>
          <w:kern w:val="0"/>
          <w:sz w:val="30"/>
          <w:szCs w:val="30"/>
        </w:rPr>
        <w:t xml:space="preserve">人，其中： 财政全供养 </w:t>
      </w:r>
      <w:r>
        <w:rPr>
          <w:rFonts w:hint="eastAsia" w:eastAsia="仿宋_GB2312"/>
          <w:kern w:val="0"/>
          <w:sz w:val="30"/>
          <w:szCs w:val="30"/>
          <w:lang w:val="en-US" w:eastAsia="zh-CN"/>
        </w:rPr>
        <w:t>79</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27</w:t>
      </w:r>
      <w:r>
        <w:rPr>
          <w:rFonts w:eastAsia="仿宋_GB2312"/>
          <w:kern w:val="0"/>
          <w:sz w:val="30"/>
          <w:szCs w:val="30"/>
        </w:rPr>
        <w:t>人，其中：</w:t>
      </w:r>
      <w:r>
        <w:rPr>
          <w:rFonts w:hint="eastAsia" w:eastAsia="仿宋_GB2312"/>
          <w:kern w:val="0"/>
          <w:sz w:val="30"/>
          <w:szCs w:val="30"/>
          <w:lang w:eastAsia="zh-CN"/>
        </w:rPr>
        <w:t>离休</w:t>
      </w:r>
      <w:r>
        <w:rPr>
          <w:rFonts w:hint="eastAsia" w:eastAsia="仿宋_GB2312"/>
          <w:kern w:val="0"/>
          <w:sz w:val="30"/>
          <w:szCs w:val="30"/>
          <w:lang w:val="en-US" w:eastAsia="zh-CN"/>
        </w:rPr>
        <w:t>0人，</w:t>
      </w:r>
      <w:r>
        <w:rPr>
          <w:rFonts w:eastAsia="仿宋_GB2312"/>
          <w:kern w:val="0"/>
          <w:sz w:val="30"/>
          <w:szCs w:val="30"/>
        </w:rPr>
        <w:t xml:space="preserve">退休 </w:t>
      </w:r>
      <w:r>
        <w:rPr>
          <w:rFonts w:hint="eastAsia" w:eastAsia="仿宋_GB2312"/>
          <w:kern w:val="0"/>
          <w:sz w:val="30"/>
          <w:szCs w:val="30"/>
          <w:lang w:val="en-US" w:eastAsia="zh-CN"/>
        </w:rPr>
        <w:t>27</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1</w:t>
      </w:r>
      <w:r>
        <w:rPr>
          <w:rFonts w:eastAsia="仿宋_GB2312"/>
          <w:kern w:val="0"/>
          <w:sz w:val="30"/>
          <w:szCs w:val="30"/>
        </w:rPr>
        <w:t>辆，实有车辆</w:t>
      </w:r>
      <w:r>
        <w:rPr>
          <w:rFonts w:hint="eastAsia" w:eastAsia="仿宋_GB2312"/>
          <w:kern w:val="0"/>
          <w:sz w:val="30"/>
          <w:szCs w:val="30"/>
          <w:lang w:val="en-US" w:eastAsia="zh-CN"/>
        </w:rPr>
        <w:t>1</w:t>
      </w:r>
      <w:r>
        <w:rPr>
          <w:rFonts w:eastAsia="仿宋_GB2312"/>
          <w:kern w:val="0"/>
          <w:sz w:val="30"/>
          <w:szCs w:val="30"/>
        </w:rPr>
        <w:t>辆。</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年部门财务总收入 </w:t>
      </w:r>
      <w:r>
        <w:rPr>
          <w:rFonts w:hint="eastAsia" w:eastAsia="仿宋_GB2312"/>
          <w:kern w:val="0"/>
          <w:sz w:val="30"/>
          <w:szCs w:val="30"/>
          <w:lang w:val="en-US" w:eastAsia="zh-CN"/>
        </w:rPr>
        <w:t>1125.64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1125.64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lang w:eastAsia="zh-CN"/>
        </w:rPr>
      </w:pPr>
      <w:r>
        <w:rPr>
          <w:rFonts w:hint="eastAsia" w:eastAsia="仿宋_GB2312"/>
          <w:kern w:val="0"/>
          <w:sz w:val="30"/>
          <w:szCs w:val="30"/>
          <w:lang w:val="en-US" w:eastAsia="zh-CN"/>
        </w:rPr>
        <w:t>2019</w:t>
      </w:r>
      <w:r>
        <w:rPr>
          <w:rFonts w:eastAsia="仿宋_GB2312"/>
          <w:kern w:val="0"/>
          <w:sz w:val="30"/>
          <w:szCs w:val="30"/>
        </w:rPr>
        <w:t>年部门财政拨款收入</w:t>
      </w:r>
      <w:r>
        <w:rPr>
          <w:rFonts w:hint="eastAsia" w:eastAsia="仿宋_GB2312"/>
          <w:kern w:val="0"/>
          <w:sz w:val="30"/>
          <w:szCs w:val="30"/>
          <w:lang w:val="en-US" w:eastAsia="zh-CN"/>
        </w:rPr>
        <w:t>1125.64</w:t>
      </w:r>
      <w:r>
        <w:rPr>
          <w:rFonts w:eastAsia="仿宋_GB2312"/>
          <w:kern w:val="0"/>
          <w:sz w:val="30"/>
          <w:szCs w:val="30"/>
        </w:rPr>
        <w:t>万元，其中:本年收入</w:t>
      </w:r>
      <w:r>
        <w:rPr>
          <w:rFonts w:hint="eastAsia" w:eastAsia="仿宋_GB2312"/>
          <w:kern w:val="0"/>
          <w:sz w:val="30"/>
          <w:szCs w:val="30"/>
          <w:lang w:val="en-US" w:eastAsia="zh-CN"/>
        </w:rPr>
        <w:t>1125.64</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1125.64</w:t>
      </w:r>
      <w:r>
        <w:rPr>
          <w:rFonts w:eastAsia="仿宋_GB2312"/>
          <w:kern w:val="0"/>
          <w:sz w:val="30"/>
          <w:szCs w:val="30"/>
        </w:rPr>
        <w:t>万元（本级财力</w:t>
      </w:r>
      <w:r>
        <w:rPr>
          <w:rFonts w:hint="eastAsia" w:eastAsia="仿宋_GB2312"/>
          <w:kern w:val="0"/>
          <w:sz w:val="30"/>
          <w:szCs w:val="30"/>
          <w:lang w:val="en-US" w:eastAsia="zh-CN"/>
        </w:rPr>
        <w:t>1125.64</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lang w:eastAsia="zh-CN"/>
        </w:rPr>
        <w:t>），</w:t>
      </w:r>
      <w:r>
        <w:rPr>
          <w:rFonts w:eastAsia="仿宋_GB2312"/>
          <w:kern w:val="0"/>
          <w:sz w:val="30"/>
          <w:szCs w:val="30"/>
        </w:rPr>
        <w:t>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2"/>
        </w:numPr>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1125.64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1125.64</w:t>
      </w:r>
      <w:r>
        <w:rPr>
          <w:rFonts w:eastAsia="仿宋_GB2312"/>
          <w:kern w:val="0"/>
          <w:sz w:val="30"/>
          <w:szCs w:val="30"/>
        </w:rPr>
        <w:t>万元，其中，基本支出</w:t>
      </w:r>
      <w:r>
        <w:rPr>
          <w:rFonts w:hint="eastAsia" w:eastAsia="仿宋_GB2312"/>
          <w:kern w:val="0"/>
          <w:sz w:val="30"/>
          <w:szCs w:val="30"/>
          <w:lang w:val="en-US" w:eastAsia="zh-CN"/>
        </w:rPr>
        <w:t>1125.64</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rPr>
      </w:pPr>
      <w:r>
        <w:rPr>
          <w:rFonts w:hint="eastAsia" w:eastAsia="仿宋_GB2312"/>
          <w:kern w:val="0"/>
          <w:sz w:val="30"/>
          <w:szCs w:val="30"/>
        </w:rPr>
        <w:t>2050304职业高中学教育</w:t>
      </w:r>
      <w:r>
        <w:rPr>
          <w:rFonts w:hint="eastAsia" w:eastAsia="仿宋_GB2312"/>
          <w:kern w:val="0"/>
          <w:sz w:val="30"/>
          <w:szCs w:val="30"/>
          <w:lang w:val="en-US" w:eastAsia="zh-CN"/>
        </w:rPr>
        <w:t>851.45</w:t>
      </w:r>
      <w:r>
        <w:rPr>
          <w:rFonts w:hint="eastAsia" w:eastAsia="仿宋_GB2312"/>
          <w:kern w:val="0"/>
          <w:sz w:val="30"/>
          <w:szCs w:val="30"/>
        </w:rPr>
        <w:t>万元，，主要用于工资福利支出和日常机构运行运转商品服务支出。</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rPr>
      </w:pPr>
      <w:r>
        <w:rPr>
          <w:rFonts w:hint="eastAsia" w:eastAsia="仿宋_GB2312"/>
          <w:kern w:val="0"/>
          <w:sz w:val="30"/>
          <w:szCs w:val="30"/>
        </w:rPr>
        <w:t>2080502事业单位离退休</w:t>
      </w:r>
      <w:r>
        <w:rPr>
          <w:rFonts w:hint="eastAsia" w:eastAsia="仿宋_GB2312"/>
          <w:kern w:val="0"/>
          <w:sz w:val="30"/>
          <w:szCs w:val="30"/>
          <w:lang w:val="en-US" w:eastAsia="zh-CN"/>
        </w:rPr>
        <w:t>21.6</w:t>
      </w:r>
      <w:r>
        <w:rPr>
          <w:rFonts w:hint="eastAsia" w:eastAsia="仿宋_GB2312"/>
          <w:kern w:val="0"/>
          <w:sz w:val="30"/>
          <w:szCs w:val="30"/>
        </w:rPr>
        <w:t>万元，用于离退休费支出。</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rPr>
      </w:pPr>
      <w:r>
        <w:rPr>
          <w:rFonts w:hint="eastAsia" w:eastAsia="仿宋_GB2312"/>
          <w:kern w:val="0"/>
          <w:sz w:val="30"/>
          <w:szCs w:val="30"/>
        </w:rPr>
        <w:t>2080505 机关事业单位基本养老保险缴费支出</w:t>
      </w:r>
      <w:r>
        <w:rPr>
          <w:rFonts w:hint="eastAsia" w:eastAsia="仿宋_GB2312"/>
          <w:kern w:val="0"/>
          <w:sz w:val="30"/>
          <w:szCs w:val="30"/>
          <w:lang w:val="en-US" w:eastAsia="zh-CN"/>
        </w:rPr>
        <w:t>144.16</w:t>
      </w:r>
      <w:r>
        <w:rPr>
          <w:rFonts w:hint="eastAsia" w:eastAsia="仿宋_GB2312"/>
          <w:kern w:val="0"/>
          <w:sz w:val="30"/>
          <w:szCs w:val="30"/>
        </w:rPr>
        <w:t>万元，用于单位缴交的养老保险支出。</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rPr>
      </w:pPr>
      <w:r>
        <w:rPr>
          <w:rFonts w:hint="eastAsia" w:eastAsia="仿宋_GB2312"/>
          <w:kern w:val="0"/>
          <w:sz w:val="30"/>
          <w:szCs w:val="30"/>
        </w:rPr>
        <w:t>2080506 机关事业单位职业年金缴费支出</w:t>
      </w:r>
      <w:r>
        <w:rPr>
          <w:rFonts w:hint="eastAsia" w:eastAsia="仿宋_GB2312"/>
          <w:kern w:val="0"/>
          <w:sz w:val="30"/>
          <w:szCs w:val="30"/>
          <w:lang w:val="en-US" w:eastAsia="zh-CN"/>
        </w:rPr>
        <w:t>12.59</w:t>
      </w:r>
      <w:r>
        <w:rPr>
          <w:rFonts w:hint="eastAsia" w:eastAsia="仿宋_GB2312"/>
          <w:kern w:val="0"/>
          <w:sz w:val="30"/>
          <w:szCs w:val="30"/>
        </w:rPr>
        <w:t>万元，用于单位缴交单位离退休职业年金缴费支出。</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hint="eastAsia" w:eastAsia="仿宋_GB2312"/>
          <w:kern w:val="0"/>
          <w:sz w:val="30"/>
          <w:szCs w:val="30"/>
        </w:rPr>
        <w:t>2210201住房公积金支出</w:t>
      </w:r>
      <w:r>
        <w:rPr>
          <w:rFonts w:hint="eastAsia" w:eastAsia="仿宋_GB2312"/>
          <w:kern w:val="0"/>
          <w:sz w:val="30"/>
          <w:szCs w:val="30"/>
          <w:lang w:val="en-US" w:eastAsia="zh-CN"/>
        </w:rPr>
        <w:t>95.84</w:t>
      </w:r>
      <w:r>
        <w:rPr>
          <w:rFonts w:hint="eastAsia" w:eastAsia="仿宋_GB2312"/>
          <w:kern w:val="0"/>
          <w:sz w:val="30"/>
          <w:szCs w:val="30"/>
        </w:rPr>
        <w:t>万元，用于单位住房公积金缴纳支出。</w:t>
      </w:r>
    </w:p>
    <w:p>
      <w:pPr>
        <w:keepNext w:val="0"/>
        <w:keepLines w:val="0"/>
        <w:pageBreakBefore w:val="0"/>
        <w:widowControl/>
        <w:numPr>
          <w:ilvl w:val="0"/>
          <w:numId w:val="3"/>
        </w:numPr>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经济科目分组</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2050304</w:t>
      </w:r>
      <w:r>
        <w:rPr>
          <w:rFonts w:hint="eastAsia" w:ascii="仿宋_GB2312" w:hAnsi="仿宋_GB2312" w:eastAsia="仿宋_GB2312" w:cs="仿宋_GB2312"/>
          <w:sz w:val="30"/>
          <w:szCs w:val="30"/>
          <w:lang w:val="en-US" w:eastAsia="zh-CN"/>
        </w:rPr>
        <w:t>职业</w:t>
      </w:r>
      <w:r>
        <w:rPr>
          <w:rFonts w:hint="eastAsia" w:ascii="仿宋_GB2312" w:eastAsia="仿宋_GB2312"/>
          <w:kern w:val="0"/>
          <w:sz w:val="30"/>
          <w:szCs w:val="30"/>
          <w:lang w:val="en-US" w:eastAsia="zh-CN"/>
        </w:rPr>
        <w:t>高中教育851.45</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851.45</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301工资福利支出</w:t>
      </w:r>
      <w:r>
        <w:rPr>
          <w:rFonts w:hint="eastAsia" w:ascii="仿宋_GB2312" w:hAnsi="仿宋_GB2312" w:eastAsia="仿宋_GB2312" w:cs="仿宋_GB2312"/>
          <w:color w:val="333333"/>
          <w:sz w:val="30"/>
          <w:szCs w:val="30"/>
          <w:shd w:val="clear" w:color="040000" w:fill="FFFFFF"/>
          <w:lang w:val="en-US" w:eastAsia="zh-CN"/>
        </w:rPr>
        <w:t>827.53</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kern w:val="0"/>
          <w:sz w:val="30"/>
          <w:szCs w:val="30"/>
        </w:rPr>
        <w:t>302商品和服务支出</w:t>
      </w:r>
      <w:r>
        <w:rPr>
          <w:rFonts w:hint="eastAsia" w:ascii="仿宋_GB2312" w:hAnsi="仿宋_GB2312" w:eastAsia="仿宋_GB2312" w:cs="仿宋_GB2312"/>
          <w:kern w:val="0"/>
          <w:sz w:val="30"/>
          <w:szCs w:val="30"/>
          <w:lang w:val="en-US" w:eastAsia="zh-CN"/>
        </w:rPr>
        <w:t>23.92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2080502事业单位离退休21.6万元其中：基本支出21.6万元主要用于302</w:t>
      </w:r>
      <w:r>
        <w:rPr>
          <w:rFonts w:hint="eastAsia" w:ascii="仿宋_GB2312" w:hAnsi="仿宋_GB2312" w:eastAsia="仿宋_GB2312" w:cs="仿宋_GB2312"/>
          <w:kern w:val="0"/>
          <w:sz w:val="30"/>
          <w:szCs w:val="30"/>
        </w:rPr>
        <w:t>商品和服务支出</w:t>
      </w:r>
      <w:r>
        <w:rPr>
          <w:rFonts w:hint="eastAsia" w:ascii="仿宋_GB2312" w:hAnsi="仿宋_GB2312" w:eastAsia="仿宋_GB2312" w:cs="仿宋_GB2312"/>
          <w:kern w:val="0"/>
          <w:sz w:val="30"/>
          <w:szCs w:val="30"/>
          <w:lang w:val="en-US" w:eastAsia="zh-CN"/>
        </w:rPr>
        <w:t>1.62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val="en-US" w:eastAsia="zh-CN"/>
        </w:rPr>
        <w:t>,303对个人和家庭补助19.98万元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2080505机关事业基本养老保险缴费支出144.16</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144.16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333333"/>
          <w:sz w:val="30"/>
          <w:szCs w:val="30"/>
          <w:shd w:val="clear" w:color="040000" w:fill="FFFFFF"/>
        </w:rPr>
        <w:t>主要用于</w:t>
      </w:r>
      <w:r>
        <w:rPr>
          <w:rFonts w:hint="eastAsia" w:ascii="仿宋_GB2312" w:hAnsi="仿宋_GB2312" w:eastAsia="仿宋_GB2312" w:cs="仿宋_GB2312"/>
          <w:color w:val="333333"/>
          <w:sz w:val="30"/>
          <w:szCs w:val="30"/>
          <w:shd w:val="clear" w:color="040000" w:fill="FFFFFF"/>
          <w:lang w:val="en-US" w:eastAsia="zh-CN"/>
        </w:rPr>
        <w:t>301</w:t>
      </w:r>
      <w:r>
        <w:rPr>
          <w:rFonts w:hint="eastAsia" w:ascii="仿宋_GB2312" w:hAnsi="仿宋_GB2312" w:eastAsia="仿宋_GB2312" w:cs="仿宋_GB2312"/>
          <w:color w:val="333333"/>
          <w:sz w:val="30"/>
          <w:szCs w:val="30"/>
          <w:shd w:val="clear" w:color="040000" w:fill="FFFFFF"/>
        </w:rPr>
        <w:t>工资福利</w:t>
      </w:r>
      <w:r>
        <w:rPr>
          <w:rFonts w:hint="eastAsia" w:ascii="仿宋_GB2312" w:hAnsi="仿宋_GB2312" w:eastAsia="仿宋_GB2312" w:cs="仿宋_GB2312"/>
          <w:kern w:val="0"/>
          <w:sz w:val="30"/>
          <w:szCs w:val="30"/>
        </w:rPr>
        <w:t>中的</w:t>
      </w:r>
      <w:r>
        <w:rPr>
          <w:rFonts w:hint="eastAsia" w:ascii="仿宋_GB2312" w:eastAsia="仿宋_GB2312"/>
          <w:kern w:val="0"/>
          <w:sz w:val="30"/>
          <w:szCs w:val="30"/>
        </w:rPr>
        <w:t>单位基本养老保险缴费</w:t>
      </w:r>
      <w:r>
        <w:rPr>
          <w:rFonts w:hint="eastAsia" w:ascii="仿宋_GB2312" w:hAnsi="仿宋_GB2312" w:eastAsia="仿宋_GB2312" w:cs="仿宋_GB2312"/>
          <w:color w:val="333333"/>
          <w:sz w:val="30"/>
          <w:szCs w:val="30"/>
          <w:shd w:val="clear" w:color="040000" w:fill="FFFFFF"/>
        </w:rPr>
        <w:t>支出</w:t>
      </w:r>
      <w:r>
        <w:rPr>
          <w:rFonts w:hint="eastAsia" w:ascii="仿宋_GB2312" w:hAnsi="仿宋_GB2312" w:eastAsia="仿宋_GB2312" w:cs="仿宋_GB2312"/>
          <w:color w:val="333333"/>
          <w:sz w:val="30"/>
          <w:szCs w:val="30"/>
          <w:shd w:val="clear" w:color="040000" w:fill="FFFFFF"/>
          <w:lang w:val="en-US" w:eastAsia="zh-CN"/>
        </w:rPr>
        <w:t>144.16万元；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2080506机关事业单位职业年金缴费支出12.59万元其中：基本支出12.59万元，主要用于301工资福利中的单位职业年金缴费12.59万元；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2210201住房公积金支出95.84万元其中：基本支出95.84万元，</w:t>
      </w:r>
      <w:r>
        <w:rPr>
          <w:rFonts w:hint="eastAsia" w:ascii="仿宋_GB2312" w:hAnsi="仿宋_GB2312" w:eastAsia="仿宋_GB2312" w:cs="仿宋_GB2312"/>
          <w:kern w:val="0"/>
          <w:sz w:val="30"/>
          <w:szCs w:val="30"/>
        </w:rPr>
        <w:t>主要用于301工资福利支出中的住房公积金</w:t>
      </w:r>
      <w:r>
        <w:rPr>
          <w:rFonts w:hint="eastAsia" w:ascii="仿宋_GB2312" w:hAnsi="仿宋_GB2312" w:eastAsia="仿宋_GB2312" w:cs="仿宋_GB2312"/>
          <w:kern w:val="0"/>
          <w:sz w:val="30"/>
          <w:szCs w:val="30"/>
          <w:lang w:val="en-US" w:eastAsia="zh-CN"/>
        </w:rPr>
        <w:t>95.84</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hAnsi="仿宋_GB2312" w:eastAsia="仿宋_GB2312" w:cs="仿宋_GB2312"/>
          <w:kern w:val="0"/>
          <w:sz w:val="30"/>
          <w:szCs w:val="30"/>
        </w:rPr>
        <w:t>项目支出0万元</w:t>
      </w:r>
      <w:r>
        <w:rPr>
          <w:rFonts w:hint="eastAsia" w:ascii="仿宋_GB2312" w:hAnsi="仿宋_GB2312" w:eastAsia="仿宋_GB2312" w:cs="仿宋_GB2312"/>
          <w:kern w:val="0"/>
          <w:sz w:val="30"/>
          <w:szCs w:val="30"/>
          <w:lang w:eastAsia="zh-CN"/>
        </w:rPr>
        <w:t>。</w:t>
      </w:r>
    </w:p>
    <w:p>
      <w:pPr>
        <w:keepNext w:val="0"/>
        <w:keepLines w:val="0"/>
        <w:pageBreakBefore w:val="0"/>
        <w:widowControl/>
        <w:numPr>
          <w:ilvl w:val="0"/>
          <w:numId w:val="4"/>
        </w:numPr>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rPr>
        <w:t>州</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hint="eastAsia" w:ascii="黑体" w:hAnsi="黑体" w:eastAsia="黑体"/>
          <w:kern w:val="0"/>
          <w:sz w:val="30"/>
          <w:szCs w:val="30"/>
        </w:rPr>
        <w:t xml:space="preserve">   本单位2019年无省对下专项转移支付</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lang w:eastAsia="zh-CN"/>
        </w:rPr>
      </w:pPr>
      <w:r>
        <w:rPr>
          <w:rFonts w:hint="eastAsia" w:eastAsia="仿宋_GB2312"/>
          <w:kern w:val="0"/>
          <w:sz w:val="30"/>
          <w:szCs w:val="30"/>
          <w:lang w:eastAsia="zh-CN"/>
        </w:rPr>
        <w:t>无</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5"/>
        </w:numPr>
        <w:kinsoku/>
        <w:wordWrap/>
        <w:overflowPunct/>
        <w:topLinePunct w:val="0"/>
        <w:autoSpaceDE/>
        <w:autoSpaceDN/>
        <w:bidi w:val="0"/>
        <w:adjustRightInd/>
        <w:ind w:firstLine="600" w:firstLineChars="200"/>
        <w:jc w:val="both"/>
        <w:textAlignment w:val="auto"/>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rPr>
      </w:pPr>
      <w:r>
        <w:rPr>
          <w:rFonts w:hint="eastAsia" w:eastAsia="仿宋_GB2312"/>
          <w:kern w:val="0"/>
          <w:sz w:val="30"/>
          <w:szCs w:val="30"/>
          <w:lang w:val="en-US" w:eastAsia="zh-CN"/>
        </w:rPr>
        <w:t>2019</w:t>
      </w:r>
      <w:r>
        <w:rPr>
          <w:rFonts w:hint="eastAsia" w:eastAsia="仿宋_GB2312"/>
          <w:kern w:val="0"/>
          <w:sz w:val="30"/>
          <w:szCs w:val="30"/>
        </w:rPr>
        <w:t>年</w:t>
      </w:r>
      <w:r>
        <w:rPr>
          <w:rFonts w:hint="eastAsia" w:eastAsia="仿宋_GB2312"/>
          <w:kern w:val="0"/>
          <w:sz w:val="30"/>
          <w:szCs w:val="30"/>
          <w:lang w:eastAsia="zh-CN"/>
        </w:rPr>
        <w:t>盈江县职业高级中学</w:t>
      </w:r>
      <w:r>
        <w:rPr>
          <w:rFonts w:hint="eastAsia" w:eastAsia="仿宋_GB2312"/>
          <w:kern w:val="0"/>
          <w:sz w:val="30"/>
          <w:szCs w:val="30"/>
        </w:rPr>
        <w:t>“三公”经费</w:t>
      </w:r>
      <w:r>
        <w:rPr>
          <w:rFonts w:hint="eastAsia" w:eastAsia="仿宋_GB2312"/>
          <w:kern w:val="0"/>
          <w:sz w:val="30"/>
          <w:szCs w:val="30"/>
          <w:lang w:eastAsia="zh-CN"/>
        </w:rPr>
        <w:t>预算数为</w:t>
      </w:r>
      <w:r>
        <w:rPr>
          <w:rFonts w:hint="eastAsia" w:eastAsia="仿宋_GB2312"/>
          <w:kern w:val="0"/>
          <w:sz w:val="30"/>
          <w:szCs w:val="30"/>
          <w:lang w:val="en-US" w:eastAsia="zh-CN"/>
        </w:rPr>
        <w:t>6.4万元，其中</w:t>
      </w:r>
      <w:r>
        <w:rPr>
          <w:rFonts w:hint="eastAsia" w:eastAsia="仿宋_GB2312"/>
          <w:kern w:val="0"/>
          <w:sz w:val="30"/>
          <w:szCs w:val="30"/>
        </w:rPr>
        <w:t>：</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ascii="黑体" w:eastAsia="黑体"/>
          <w:sz w:val="30"/>
          <w:szCs w:val="30"/>
        </w:rPr>
      </w:pPr>
      <w:r>
        <w:rPr>
          <w:rFonts w:hint="eastAsia" w:ascii="黑体" w:eastAsia="黑体"/>
          <w:sz w:val="30"/>
          <w:szCs w:val="30"/>
          <w:lang w:val="en-US" w:eastAsia="zh-CN"/>
        </w:rPr>
        <w:t>1</w:t>
      </w:r>
      <w:r>
        <w:rPr>
          <w:rFonts w:hint="eastAsia" w:ascii="黑体" w:eastAsia="黑体"/>
          <w:sz w:val="30"/>
          <w:szCs w:val="30"/>
        </w:rPr>
        <w:t>、因公出国（境）经费</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rPr>
      </w:pPr>
      <w:r>
        <w:rPr>
          <w:rFonts w:hint="eastAsia" w:eastAsia="仿宋_GB2312"/>
          <w:kern w:val="0"/>
          <w:sz w:val="30"/>
          <w:szCs w:val="30"/>
        </w:rPr>
        <w:t>拟安排出国（境）经费预算</w:t>
      </w:r>
      <w:r>
        <w:rPr>
          <w:rFonts w:hint="eastAsia" w:eastAsia="仿宋_GB2312"/>
          <w:kern w:val="0"/>
          <w:sz w:val="30"/>
          <w:szCs w:val="30"/>
          <w:lang w:val="en-US" w:eastAsia="zh-CN"/>
        </w:rPr>
        <w:t>0</w:t>
      </w:r>
      <w:r>
        <w:rPr>
          <w:rFonts w:hint="eastAsia" w:eastAsia="仿宋_GB2312"/>
          <w:kern w:val="0"/>
          <w:sz w:val="30"/>
          <w:szCs w:val="30"/>
        </w:rPr>
        <w:t>万元。</w:t>
      </w:r>
    </w:p>
    <w:p>
      <w:pPr>
        <w:keepNext w:val="0"/>
        <w:keepLines w:val="0"/>
        <w:pageBreakBefore w:val="0"/>
        <w:kinsoku/>
        <w:wordWrap/>
        <w:overflowPunct/>
        <w:topLinePunct w:val="0"/>
        <w:autoSpaceDE/>
        <w:autoSpaceDN/>
        <w:bidi w:val="0"/>
        <w:adjustRightInd/>
        <w:spacing w:line="620" w:lineRule="exact"/>
        <w:ind w:firstLine="600" w:firstLineChars="200"/>
        <w:jc w:val="both"/>
        <w:textAlignment w:val="auto"/>
        <w:rPr>
          <w:rFonts w:ascii="黑体" w:eastAsia="黑体"/>
          <w:sz w:val="30"/>
          <w:szCs w:val="30"/>
        </w:rPr>
      </w:pPr>
      <w:r>
        <w:rPr>
          <w:rFonts w:hint="eastAsia" w:ascii="黑体" w:eastAsia="黑体"/>
          <w:sz w:val="30"/>
          <w:szCs w:val="30"/>
          <w:lang w:val="en-US" w:eastAsia="zh-CN"/>
        </w:rPr>
        <w:t>2</w:t>
      </w:r>
      <w:r>
        <w:rPr>
          <w:rFonts w:hint="eastAsia" w:ascii="黑体" w:eastAsia="黑体"/>
          <w:sz w:val="30"/>
          <w:szCs w:val="30"/>
        </w:rPr>
        <w:t>、公务接待费</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rPr>
      </w:pPr>
      <w:r>
        <w:rPr>
          <w:rFonts w:hint="eastAsia" w:eastAsia="仿宋_GB2312"/>
          <w:kern w:val="0"/>
          <w:sz w:val="30"/>
          <w:szCs w:val="30"/>
        </w:rPr>
        <w:t>拟安排公务接待费预算</w:t>
      </w:r>
      <w:r>
        <w:rPr>
          <w:rFonts w:hint="eastAsia" w:eastAsia="仿宋_GB2312"/>
          <w:kern w:val="0"/>
          <w:sz w:val="30"/>
          <w:szCs w:val="30"/>
          <w:lang w:val="en-US" w:eastAsia="zh-CN"/>
        </w:rPr>
        <w:t>2.6</w:t>
      </w:r>
      <w:r>
        <w:rPr>
          <w:rFonts w:hint="eastAsia" w:eastAsia="仿宋_GB2312"/>
          <w:kern w:val="0"/>
          <w:sz w:val="30"/>
          <w:szCs w:val="30"/>
        </w:rPr>
        <w:t>万元，主要用于按规定开支的各类公务接待产生的费用。</w:t>
      </w:r>
    </w:p>
    <w:p>
      <w:pPr>
        <w:keepNext w:val="0"/>
        <w:keepLines w:val="0"/>
        <w:pageBreakBefore w:val="0"/>
        <w:kinsoku/>
        <w:wordWrap/>
        <w:overflowPunct/>
        <w:topLinePunct w:val="0"/>
        <w:autoSpaceDE/>
        <w:autoSpaceDN/>
        <w:bidi w:val="0"/>
        <w:adjustRightInd/>
        <w:spacing w:line="620" w:lineRule="exact"/>
        <w:ind w:firstLine="600" w:firstLineChars="200"/>
        <w:jc w:val="both"/>
        <w:textAlignment w:val="auto"/>
        <w:rPr>
          <w:rFonts w:ascii="黑体" w:eastAsia="黑体"/>
          <w:sz w:val="30"/>
          <w:szCs w:val="30"/>
        </w:rPr>
      </w:pPr>
      <w:r>
        <w:rPr>
          <w:rFonts w:hint="eastAsia" w:ascii="黑体" w:eastAsia="黑体"/>
          <w:sz w:val="30"/>
          <w:szCs w:val="30"/>
          <w:lang w:val="en-US" w:eastAsia="zh-CN"/>
        </w:rPr>
        <w:t>3</w:t>
      </w:r>
      <w:r>
        <w:rPr>
          <w:rFonts w:hint="eastAsia" w:ascii="黑体" w:eastAsia="黑体"/>
          <w:sz w:val="30"/>
          <w:szCs w:val="30"/>
        </w:rPr>
        <w:t>、公务用车购置及运行维护费</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rPr>
      </w:pPr>
      <w:r>
        <w:rPr>
          <w:rFonts w:hint="eastAsia" w:eastAsia="仿宋_GB2312"/>
          <w:kern w:val="0"/>
          <w:sz w:val="30"/>
          <w:szCs w:val="30"/>
        </w:rPr>
        <w:t>拟安排公务用车购置及运行维护费</w:t>
      </w:r>
      <w:r>
        <w:rPr>
          <w:rFonts w:hint="eastAsia" w:eastAsia="仿宋_GB2312"/>
          <w:kern w:val="0"/>
          <w:sz w:val="30"/>
          <w:szCs w:val="30"/>
          <w:lang w:val="en-US" w:eastAsia="zh-CN"/>
        </w:rPr>
        <w:t>3.8</w:t>
      </w:r>
      <w:r>
        <w:rPr>
          <w:rFonts w:hint="eastAsia" w:eastAsia="仿宋_GB2312"/>
          <w:kern w:val="0"/>
          <w:sz w:val="30"/>
          <w:szCs w:val="30"/>
        </w:rPr>
        <w:t>万元，其中：购置经费</w:t>
      </w:r>
      <w:r>
        <w:rPr>
          <w:rFonts w:hint="eastAsia" w:eastAsia="仿宋_GB2312"/>
          <w:kern w:val="0"/>
          <w:sz w:val="30"/>
          <w:szCs w:val="30"/>
          <w:lang w:val="en-US" w:eastAsia="zh-CN"/>
        </w:rPr>
        <w:t>0</w:t>
      </w:r>
      <w:r>
        <w:rPr>
          <w:rFonts w:hint="eastAsia" w:eastAsia="仿宋_GB2312"/>
          <w:kern w:val="0"/>
          <w:sz w:val="30"/>
          <w:szCs w:val="30"/>
        </w:rPr>
        <w:t>万元、运行维护费</w:t>
      </w:r>
      <w:r>
        <w:rPr>
          <w:rFonts w:hint="eastAsia" w:eastAsia="仿宋_GB2312"/>
          <w:kern w:val="0"/>
          <w:sz w:val="30"/>
          <w:szCs w:val="30"/>
          <w:lang w:val="en-US" w:eastAsia="zh-CN"/>
        </w:rPr>
        <w:t>3.8</w:t>
      </w:r>
      <w:r>
        <w:rPr>
          <w:rFonts w:hint="eastAsia" w:eastAsia="仿宋_GB2312"/>
          <w:kern w:val="0"/>
          <w:sz w:val="30"/>
          <w:szCs w:val="30"/>
        </w:rPr>
        <w:t>万元，主要用于</w:t>
      </w:r>
      <w:r>
        <w:rPr>
          <w:rFonts w:hint="eastAsia" w:eastAsia="仿宋_GB2312"/>
          <w:kern w:val="0"/>
          <w:sz w:val="30"/>
          <w:szCs w:val="30"/>
          <w:lang w:eastAsia="zh-CN"/>
        </w:rPr>
        <w:t>学校</w:t>
      </w:r>
      <w:r>
        <w:rPr>
          <w:rFonts w:hint="eastAsia" w:eastAsia="仿宋_GB2312"/>
          <w:kern w:val="0"/>
          <w:sz w:val="30"/>
          <w:szCs w:val="30"/>
        </w:rPr>
        <w:t>公务工作开展，拟产生的公务用车燃料费、维修费、过路过桥费、保险费等支出。</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eastAsia="仿宋_GB2312"/>
          <w:kern w:val="0"/>
          <w:sz w:val="30"/>
          <w:szCs w:val="30"/>
          <w:lang w:val="en-US" w:eastAsia="zh-CN"/>
        </w:rPr>
      </w:pPr>
      <w:r>
        <w:rPr>
          <w:rFonts w:hint="eastAsia" w:eastAsia="仿宋_GB2312"/>
          <w:kern w:val="0"/>
          <w:sz w:val="30"/>
          <w:szCs w:val="30"/>
          <w:lang w:val="en-US" w:eastAsia="zh-CN"/>
        </w:rPr>
        <w:t>2019年</w:t>
      </w:r>
      <w:r>
        <w:rPr>
          <w:rFonts w:hint="eastAsia" w:eastAsia="仿宋_GB2312"/>
          <w:kern w:val="0"/>
          <w:sz w:val="30"/>
          <w:szCs w:val="30"/>
        </w:rPr>
        <w:t>一般公共预算</w:t>
      </w:r>
      <w:r>
        <w:rPr>
          <w:rFonts w:hint="eastAsia" w:eastAsia="仿宋_GB2312"/>
          <w:kern w:val="0"/>
          <w:sz w:val="30"/>
          <w:szCs w:val="30"/>
          <w:lang w:val="zh-CN"/>
        </w:rPr>
        <w:t>三公经费支出预算数</w:t>
      </w:r>
      <w:r>
        <w:rPr>
          <w:rFonts w:hint="eastAsia" w:eastAsia="仿宋_GB2312"/>
          <w:kern w:val="0"/>
          <w:sz w:val="30"/>
          <w:szCs w:val="30"/>
          <w:lang w:val="en-US" w:eastAsia="zh-CN"/>
        </w:rPr>
        <w:t>6.4万元，与</w:t>
      </w:r>
      <w:r>
        <w:rPr>
          <w:rFonts w:hint="eastAsia" w:eastAsia="仿宋_GB2312"/>
          <w:kern w:val="0"/>
          <w:sz w:val="30"/>
          <w:szCs w:val="30"/>
          <w:lang w:val="zh-CN"/>
        </w:rPr>
        <w:t>上年相比降幅为</w:t>
      </w:r>
      <w:r>
        <w:rPr>
          <w:rFonts w:hint="eastAsia" w:eastAsia="仿宋_GB2312"/>
          <w:kern w:val="0"/>
          <w:sz w:val="30"/>
          <w:szCs w:val="30"/>
          <w:lang w:val="en-US" w:eastAsia="zh-CN"/>
        </w:rPr>
        <w:t>0</w:t>
      </w:r>
      <w:r>
        <w:rPr>
          <w:rFonts w:hint="eastAsia" w:eastAsia="仿宋_GB2312"/>
          <w:kern w:val="0"/>
          <w:sz w:val="30"/>
          <w:szCs w:val="30"/>
          <w:lang w:val="zh-CN"/>
        </w:rPr>
        <w:t>%。其中：公务接待费支出预算数</w:t>
      </w:r>
      <w:r>
        <w:rPr>
          <w:rFonts w:hint="eastAsia" w:eastAsia="仿宋_GB2312"/>
          <w:kern w:val="0"/>
          <w:sz w:val="30"/>
          <w:szCs w:val="30"/>
          <w:lang w:val="en-US" w:eastAsia="zh-CN"/>
        </w:rPr>
        <w:t>2.6万元，与</w:t>
      </w:r>
      <w:r>
        <w:rPr>
          <w:rFonts w:hint="eastAsia" w:eastAsia="仿宋_GB2312"/>
          <w:kern w:val="0"/>
          <w:sz w:val="30"/>
          <w:szCs w:val="30"/>
          <w:lang w:val="zh-CN"/>
        </w:rPr>
        <w:t>上年相比降幅为</w:t>
      </w:r>
      <w:r>
        <w:rPr>
          <w:rFonts w:hint="eastAsia" w:eastAsia="仿宋_GB2312"/>
          <w:kern w:val="0"/>
          <w:sz w:val="30"/>
          <w:szCs w:val="30"/>
          <w:lang w:val="en-US" w:eastAsia="zh-CN"/>
        </w:rPr>
        <w:t>0</w:t>
      </w:r>
      <w:r>
        <w:rPr>
          <w:rFonts w:hint="eastAsia" w:eastAsia="仿宋_GB2312"/>
          <w:kern w:val="0"/>
          <w:sz w:val="30"/>
          <w:szCs w:val="30"/>
          <w:lang w:val="zh-CN"/>
        </w:rPr>
        <w:t>%：公务用车运行费支出预算数</w:t>
      </w:r>
      <w:r>
        <w:rPr>
          <w:rFonts w:hint="eastAsia" w:eastAsia="仿宋_GB2312"/>
          <w:kern w:val="0"/>
          <w:sz w:val="30"/>
          <w:szCs w:val="30"/>
          <w:lang w:val="en-US" w:eastAsia="zh-CN"/>
        </w:rPr>
        <w:t>3.8万元，与</w:t>
      </w:r>
      <w:r>
        <w:rPr>
          <w:rFonts w:hint="eastAsia" w:eastAsia="仿宋_GB2312"/>
          <w:kern w:val="0"/>
          <w:sz w:val="30"/>
          <w:szCs w:val="30"/>
          <w:lang w:val="zh-CN"/>
        </w:rPr>
        <w:t>上年相比降幅为</w:t>
      </w:r>
      <w:r>
        <w:rPr>
          <w:rFonts w:hint="eastAsia" w:eastAsia="仿宋_GB2312"/>
          <w:kern w:val="0"/>
          <w:sz w:val="30"/>
          <w:szCs w:val="30"/>
          <w:lang w:val="en-US" w:eastAsia="zh-CN"/>
        </w:rPr>
        <w:t>0</w:t>
      </w:r>
      <w:r>
        <w:rPr>
          <w:rFonts w:hint="eastAsia" w:eastAsia="仿宋_GB2312"/>
          <w:kern w:val="0"/>
          <w:sz w:val="30"/>
          <w:szCs w:val="30"/>
          <w:lang w:val="zh-CN"/>
        </w:rPr>
        <w:t>%</w:t>
      </w:r>
      <w:r>
        <w:rPr>
          <w:rFonts w:hint="eastAsia" w:eastAsia="仿宋_GB2312"/>
          <w:kern w:val="0"/>
          <w:sz w:val="30"/>
          <w:szCs w:val="30"/>
          <w:lang w:val="en-US" w:eastAsia="zh-CN"/>
        </w:rPr>
        <w:t>；公务用车购置费0万元，与</w:t>
      </w:r>
      <w:r>
        <w:rPr>
          <w:rFonts w:hint="eastAsia" w:eastAsia="仿宋_GB2312"/>
          <w:kern w:val="0"/>
          <w:sz w:val="30"/>
          <w:szCs w:val="30"/>
          <w:lang w:val="zh-CN"/>
        </w:rPr>
        <w:t>上年相比降幅为</w:t>
      </w:r>
      <w:r>
        <w:rPr>
          <w:rFonts w:hint="eastAsia" w:eastAsia="仿宋_GB2312"/>
          <w:kern w:val="0"/>
          <w:sz w:val="30"/>
          <w:szCs w:val="30"/>
          <w:lang w:val="en-US" w:eastAsia="zh-CN"/>
        </w:rPr>
        <w:t>0</w:t>
      </w:r>
      <w:r>
        <w:rPr>
          <w:rFonts w:hint="eastAsia" w:eastAsia="仿宋_GB2312"/>
          <w:kern w:val="0"/>
          <w:sz w:val="30"/>
          <w:szCs w:val="30"/>
          <w:lang w:val="zh-CN"/>
        </w:rPr>
        <w:t>%。</w:t>
      </w:r>
    </w:p>
    <w:p>
      <w:pPr>
        <w:keepNext w:val="0"/>
        <w:keepLines w:val="0"/>
        <w:pageBreakBefore w:val="0"/>
        <w:widowControl/>
        <w:numPr>
          <w:ilvl w:val="0"/>
          <w:numId w:val="5"/>
        </w:numPr>
        <w:kinsoku/>
        <w:wordWrap/>
        <w:overflowPunct/>
        <w:topLinePunct w:val="0"/>
        <w:autoSpaceDE/>
        <w:autoSpaceDN/>
        <w:bidi w:val="0"/>
        <w:adjustRightInd/>
        <w:ind w:left="0" w:leftChars="0" w:firstLine="600" w:firstLineChars="200"/>
        <w:jc w:val="both"/>
        <w:textAlignment w:val="auto"/>
        <w:rPr>
          <w:rFonts w:hint="eastAsia" w:ascii="楷体" w:hAnsi="楷体" w:eastAsia="楷体" w:cs="楷体"/>
          <w:kern w:val="0"/>
          <w:sz w:val="30"/>
          <w:szCs w:val="30"/>
          <w:lang w:eastAsia="zh-CN"/>
        </w:rPr>
      </w:pPr>
      <w:r>
        <w:rPr>
          <w:rFonts w:hint="eastAsia" w:ascii="楷体" w:hAnsi="楷体" w:eastAsia="楷体" w:cs="楷体"/>
          <w:kern w:val="0"/>
          <w:sz w:val="30"/>
          <w:szCs w:val="30"/>
          <w:lang w:eastAsia="zh-CN"/>
        </w:rPr>
        <w:t>基本支出增减变化情况</w:t>
      </w:r>
    </w:p>
    <w:p>
      <w:pPr>
        <w:keepNext w:val="0"/>
        <w:keepLines w:val="0"/>
        <w:pageBreakBefore w:val="0"/>
        <w:kinsoku/>
        <w:wordWrap/>
        <w:overflowPunct/>
        <w:topLinePunct w:val="0"/>
        <w:autoSpaceDE/>
        <w:autoSpaceDN/>
        <w:bidi w:val="0"/>
        <w:adjustRightInd/>
        <w:spacing w:line="620" w:lineRule="exact"/>
        <w:ind w:firstLine="600" w:firstLineChars="200"/>
        <w:jc w:val="both"/>
        <w:textAlignment w:val="auto"/>
        <w:rPr>
          <w:rFonts w:hint="eastAsia" w:eastAsia="仿宋_GB2312"/>
          <w:kern w:val="0"/>
          <w:sz w:val="30"/>
          <w:szCs w:val="30"/>
          <w:lang w:val="en-US" w:eastAsia="zh-CN"/>
        </w:rPr>
      </w:pPr>
      <w:r>
        <w:rPr>
          <w:rFonts w:hint="eastAsia" w:eastAsia="仿宋_GB2312"/>
          <w:kern w:val="0"/>
          <w:sz w:val="30"/>
          <w:szCs w:val="30"/>
          <w:lang w:val="en-US" w:eastAsia="zh-CN"/>
        </w:rPr>
        <w:t>2019年盈江县职业高级中学预算财务总收入1125.64万元，2018预算财务总收入934.69万元，与上年对比增加20.43%，其中：教育支出851.45万元，与上年705.36万元相比，增长20.71%；社会保障和就业支出178.35万元，与上年157.43万元相比，增长13.29%；住房保障支出95.84万元，与上年71.90万元相比，增长33.30%；增加变化的原因主要是：基本工资标准提高，相应的社保经费也相应提高。</w:t>
      </w:r>
    </w:p>
    <w:p>
      <w:pPr>
        <w:keepNext w:val="0"/>
        <w:keepLines w:val="0"/>
        <w:pageBreakBefore w:val="0"/>
        <w:widowControl/>
        <w:numPr>
          <w:ilvl w:val="0"/>
          <w:numId w:val="5"/>
        </w:numPr>
        <w:kinsoku/>
        <w:wordWrap/>
        <w:overflowPunct/>
        <w:topLinePunct w:val="0"/>
        <w:autoSpaceDE/>
        <w:autoSpaceDN/>
        <w:bidi w:val="0"/>
        <w:adjustRightInd/>
        <w:ind w:left="0" w:leftChars="0" w:firstLine="600" w:firstLineChars="200"/>
        <w:jc w:val="both"/>
        <w:textAlignment w:val="auto"/>
        <w:rPr>
          <w:rFonts w:hint="eastAsia" w:ascii="楷体" w:hAnsi="楷体" w:eastAsia="楷体" w:cs="楷体"/>
          <w:kern w:val="0"/>
          <w:sz w:val="30"/>
          <w:szCs w:val="30"/>
          <w:lang w:eastAsia="zh-CN"/>
        </w:rPr>
      </w:pPr>
      <w:r>
        <w:rPr>
          <w:rFonts w:hint="eastAsia" w:ascii="楷体" w:hAnsi="楷体" w:eastAsia="楷体" w:cs="楷体"/>
          <w:kern w:val="0"/>
          <w:sz w:val="30"/>
          <w:szCs w:val="30"/>
          <w:lang w:eastAsia="zh-CN"/>
        </w:rPr>
        <w:t>项目支出增减变化情况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ascii="楷体" w:hAnsi="楷体" w:eastAsia="楷体" w:cs="楷体"/>
          <w:kern w:val="0"/>
          <w:sz w:val="30"/>
          <w:szCs w:val="30"/>
        </w:rPr>
      </w:pPr>
      <w:r>
        <w:rPr>
          <w:rFonts w:hint="eastAsia" w:eastAsia="仿宋_GB2312"/>
          <w:kern w:val="0"/>
          <w:sz w:val="30"/>
          <w:szCs w:val="30"/>
          <w:lang w:val="en-US" w:eastAsia="zh-CN"/>
        </w:rPr>
        <w:t xml:space="preserve"> </w:t>
      </w:r>
      <w:r>
        <w:rPr>
          <w:rFonts w:hint="eastAsia" w:eastAsia="仿宋_GB2312"/>
          <w:kern w:val="0"/>
          <w:sz w:val="30"/>
          <w:szCs w:val="30"/>
        </w:rPr>
        <w:t>201</w:t>
      </w:r>
      <w:r>
        <w:rPr>
          <w:rFonts w:hint="eastAsia" w:eastAsia="仿宋_GB2312"/>
          <w:kern w:val="0"/>
          <w:sz w:val="30"/>
          <w:szCs w:val="30"/>
          <w:lang w:val="en-US" w:eastAsia="zh-CN"/>
        </w:rPr>
        <w:t>9</w:t>
      </w:r>
      <w:r>
        <w:rPr>
          <w:rFonts w:hint="eastAsia" w:eastAsia="仿宋_GB2312"/>
          <w:kern w:val="0"/>
          <w:sz w:val="30"/>
          <w:szCs w:val="30"/>
        </w:rPr>
        <w:t>年盈江县</w:t>
      </w:r>
      <w:r>
        <w:rPr>
          <w:rFonts w:hint="eastAsia" w:eastAsia="仿宋_GB2312"/>
          <w:kern w:val="0"/>
          <w:sz w:val="30"/>
          <w:szCs w:val="30"/>
          <w:lang w:val="en-US" w:eastAsia="zh-CN"/>
        </w:rPr>
        <w:t>职业高级中学</w:t>
      </w:r>
      <w:r>
        <w:rPr>
          <w:rFonts w:hint="eastAsia" w:eastAsia="仿宋_GB2312"/>
          <w:kern w:val="0"/>
          <w:sz w:val="30"/>
          <w:szCs w:val="30"/>
        </w:rPr>
        <w:t>机关项目支出</w:t>
      </w:r>
      <w:r>
        <w:rPr>
          <w:rFonts w:hint="eastAsia" w:eastAsia="仿宋_GB2312"/>
          <w:kern w:val="0"/>
          <w:sz w:val="30"/>
          <w:szCs w:val="30"/>
          <w:lang w:val="en-US" w:eastAsia="zh-CN"/>
        </w:rPr>
        <w:t>0</w:t>
      </w:r>
      <w:r>
        <w:rPr>
          <w:rFonts w:hint="eastAsia" w:eastAsia="仿宋_GB2312"/>
          <w:kern w:val="0"/>
          <w:sz w:val="30"/>
          <w:szCs w:val="30"/>
        </w:rPr>
        <w:t>万元，201</w:t>
      </w:r>
      <w:r>
        <w:rPr>
          <w:rFonts w:hint="eastAsia" w:eastAsia="仿宋_GB2312"/>
          <w:kern w:val="0"/>
          <w:sz w:val="30"/>
          <w:szCs w:val="30"/>
          <w:lang w:val="en-US" w:eastAsia="zh-CN"/>
        </w:rPr>
        <w:t>8</w:t>
      </w:r>
      <w:r>
        <w:rPr>
          <w:rFonts w:hint="eastAsia" w:eastAsia="仿宋_GB2312"/>
          <w:kern w:val="0"/>
          <w:sz w:val="30"/>
          <w:szCs w:val="30"/>
        </w:rPr>
        <w:t>年项目支出</w:t>
      </w:r>
      <w:r>
        <w:rPr>
          <w:rFonts w:hint="eastAsia" w:eastAsia="仿宋_GB2312"/>
          <w:kern w:val="0"/>
          <w:sz w:val="30"/>
          <w:szCs w:val="30"/>
          <w:lang w:val="en-US" w:eastAsia="zh-CN"/>
        </w:rPr>
        <w:t>0</w:t>
      </w:r>
      <w:r>
        <w:rPr>
          <w:rFonts w:hint="eastAsia" w:eastAsia="仿宋_GB2312"/>
          <w:kern w:val="0"/>
          <w:sz w:val="30"/>
          <w:szCs w:val="30"/>
        </w:rPr>
        <w:t>万元，与上年对比</w:t>
      </w:r>
      <w:r>
        <w:rPr>
          <w:rFonts w:hint="eastAsia" w:eastAsia="仿宋_GB2312"/>
          <w:kern w:val="0"/>
          <w:sz w:val="30"/>
          <w:szCs w:val="30"/>
          <w:lang w:val="en-US" w:eastAsia="zh-CN"/>
        </w:rPr>
        <w:t>持平</w:t>
      </w:r>
      <w:r>
        <w:rPr>
          <w:rFonts w:hint="eastAsia" w:eastAsia="仿宋_GB2312"/>
          <w:kern w:val="0"/>
          <w:sz w:val="30"/>
          <w:szCs w:val="30"/>
        </w:rPr>
        <w:t>。</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财政拨款收入：本级财政部门当年拨付的财政预算资金，包括公共预算财政拨款和政府性基金预算财政拨款。</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基本支出：是预算单位为保障其正常运转，完成日常工作任务所发生的支出，包括人员支出和日常公用支出。</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项目支出：是预算单位为完成其特定的行政工作任务或事业发展目标所发生的支出。</w:t>
      </w:r>
      <w:r>
        <w:rPr>
          <w:rFonts w:hint="eastAsia" w:ascii="仿宋_GB2312" w:hAnsi="仿宋_GB2312" w:eastAsia="仿宋_GB2312" w:cs="仿宋_GB2312"/>
          <w:color w:val="333333"/>
          <w:kern w:val="0"/>
          <w:sz w:val="30"/>
          <w:szCs w:val="30"/>
          <w:lang w:bidi="ar"/>
        </w:rPr>
        <w:t xml:space="preserve">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7</w:t>
      </w:r>
      <w:r>
        <w:rPr>
          <w:rFonts w:hint="eastAsia" w:ascii="仿宋_GB2312" w:hAnsi="仿宋_GB2312" w:eastAsia="仿宋_GB2312" w:cs="仿宋_GB2312"/>
          <w:color w:val="333333"/>
          <w:kern w:val="0"/>
          <w:sz w:val="30"/>
          <w:szCs w:val="30"/>
          <w:lang w:bidi="ar"/>
        </w:rPr>
        <w:t xml:space="preserve">.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8</w:t>
      </w:r>
      <w:r>
        <w:rPr>
          <w:rFonts w:hint="eastAsia" w:ascii="仿宋_GB2312" w:hAnsi="仿宋_GB2312" w:eastAsia="仿宋_GB2312" w:cs="仿宋_GB2312"/>
          <w:color w:val="333333"/>
          <w:kern w:val="0"/>
          <w:sz w:val="30"/>
          <w:szCs w:val="30"/>
          <w:lang w:bidi="ar"/>
        </w:rPr>
        <w:t>.“三公”经费包括因公出国（境）费、公务用车购置及运行费、公务接待费。其中：因公出国（境）费，指单位工作人员公务出国（境）的住宿费、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9</w:t>
      </w:r>
      <w:r>
        <w:rPr>
          <w:rFonts w:hint="eastAsia" w:ascii="仿宋_GB2312" w:hAnsi="仿宋_GB2312" w:eastAsia="仿宋_GB2312" w:cs="仿宋_GB2312"/>
          <w:color w:val="333333"/>
          <w:kern w:val="0"/>
          <w:sz w:val="30"/>
          <w:szCs w:val="30"/>
          <w:lang w:bidi="ar"/>
        </w:rPr>
        <w:t xml:space="preserve">.一般公共预算是对以税收为主体的财政收入，安排用于保障和改善民生、推动经济社会发展、维护国家安全、维护国家机构正常运转等方面的收支预算。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10</w:t>
      </w:r>
      <w:r>
        <w:rPr>
          <w:rFonts w:hint="eastAsia" w:ascii="仿宋_GB2312" w:hAnsi="仿宋_GB2312" w:eastAsia="仿宋_GB2312" w:cs="仿宋_GB2312"/>
          <w:color w:val="333333"/>
          <w:kern w:val="0"/>
          <w:sz w:val="30"/>
          <w:szCs w:val="30"/>
          <w:lang w:bidi="ar"/>
        </w:rPr>
        <w:t xml:space="preserve">.非税收入是各级政府及其所属部门和单位依法利用行政权力、政府信誉、国家资源、国有资产或提供特定公共服务征收、收取、提取、募集的除税收和政府债务收入以外的财政收入。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hint="eastAsia" w:ascii="仿宋_GB2312" w:hAnsi="仿宋_GB2312" w:eastAsia="仿宋_GB2312" w:cs="仿宋_GB2312"/>
          <w:color w:val="333333"/>
          <w:kern w:val="0"/>
          <w:sz w:val="30"/>
          <w:szCs w:val="30"/>
          <w:lang w:bidi="ar"/>
        </w:rPr>
      </w:pPr>
      <w:r>
        <w:rPr>
          <w:rFonts w:hint="eastAsia" w:ascii="仿宋_GB2312" w:hAnsi="仿宋_GB2312" w:eastAsia="仿宋_GB2312" w:cs="仿宋_GB2312"/>
          <w:color w:val="333333"/>
          <w:kern w:val="0"/>
          <w:sz w:val="30"/>
          <w:szCs w:val="30"/>
          <w:lang w:val="en-US" w:eastAsia="zh-CN" w:bidi="ar"/>
        </w:rPr>
        <w:t>11</w:t>
      </w:r>
      <w:r>
        <w:rPr>
          <w:rFonts w:hint="eastAsia" w:ascii="仿宋_GB2312" w:hAnsi="仿宋_GB2312" w:eastAsia="仿宋_GB2312" w:cs="仿宋_GB2312"/>
          <w:color w:val="333333"/>
          <w:kern w:val="0"/>
          <w:sz w:val="30"/>
          <w:szCs w:val="30"/>
          <w:lang w:bidi="ar"/>
        </w:rPr>
        <w:t xml:space="preserve">.工资福利支出反映单位开支的在职职工和编制外长期聘用人员的各类劳动报酬，以及为上述人员缴纳的各项社会保险费等。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12</w:t>
      </w:r>
      <w:r>
        <w:rPr>
          <w:rFonts w:hint="eastAsia" w:ascii="仿宋_GB2312" w:hAnsi="仿宋_GB2312" w:eastAsia="仿宋_GB2312" w:cs="仿宋_GB2312"/>
          <w:color w:val="333333"/>
          <w:kern w:val="0"/>
          <w:sz w:val="30"/>
          <w:szCs w:val="30"/>
          <w:lang w:bidi="ar"/>
        </w:rPr>
        <w:t xml:space="preserve">.商品和服务支出反映单位购买商品和服务的支出（不包括用于购置固定资产的支出、战略性和应急储备支出）。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13</w:t>
      </w:r>
      <w:r>
        <w:rPr>
          <w:rFonts w:hint="eastAsia" w:ascii="仿宋_GB2312" w:hAnsi="仿宋_GB2312" w:eastAsia="仿宋_GB2312" w:cs="仿宋_GB2312"/>
          <w:color w:val="333333"/>
          <w:kern w:val="0"/>
          <w:sz w:val="30"/>
          <w:szCs w:val="30"/>
          <w:lang w:bidi="ar"/>
        </w:rPr>
        <w:t xml:space="preserve">.对个人和家庭的补助反映政府用于对个人和家庭的补助支出。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val="en-US" w:eastAsia="zh-CN" w:bidi="ar"/>
        </w:rPr>
        <w:t>14</w:t>
      </w:r>
      <w:r>
        <w:rPr>
          <w:rFonts w:hint="eastAsia" w:ascii="仿宋_GB2312" w:hAnsi="仿宋_GB2312" w:eastAsia="仿宋_GB2312" w:cs="仿宋_GB2312"/>
          <w:color w:val="333333"/>
          <w:kern w:val="0"/>
          <w:sz w:val="30"/>
          <w:szCs w:val="30"/>
          <w:lang w:bidi="ar"/>
        </w:rPr>
        <w:t>.政府采购是指各级国家机关、事业单位和团体组织，使用财政性资金采购依法制定的集中采购目录以内的或者采购限额标准以上的货物、工程和服务的行为。</w:t>
      </w:r>
    </w:p>
    <w:p>
      <w:pPr>
        <w:keepNext w:val="0"/>
        <w:keepLines w:val="0"/>
        <w:pageBreakBefore w:val="0"/>
        <w:kinsoku/>
        <w:wordWrap/>
        <w:overflowPunct/>
        <w:topLinePunct w:val="0"/>
        <w:autoSpaceDE/>
        <w:autoSpaceDN/>
        <w:bidi w:val="0"/>
        <w:adjustRightInd/>
        <w:spacing w:line="620" w:lineRule="exact"/>
        <w:ind w:firstLine="600" w:firstLineChars="200"/>
        <w:jc w:val="both"/>
        <w:textAlignment w:val="auto"/>
        <w:rPr>
          <w:rFonts w:hint="eastAsia" w:eastAsia="仿宋_GB2312"/>
          <w:kern w:val="0"/>
          <w:sz w:val="30"/>
          <w:szCs w:val="30"/>
        </w:rPr>
      </w:pPr>
      <w:r>
        <w:rPr>
          <w:rFonts w:hint="eastAsia" w:eastAsia="仿宋_GB2312"/>
          <w:kern w:val="0"/>
          <w:sz w:val="30"/>
          <w:szCs w:val="30"/>
        </w:rPr>
        <w:t>“三公”</w:t>
      </w:r>
      <w:r>
        <w:rPr>
          <w:rFonts w:hint="eastAsia" w:ascii="仿宋_GB2312" w:eastAsia="仿宋_GB2312"/>
          <w:sz w:val="30"/>
          <w:szCs w:val="30"/>
        </w:rPr>
        <w:t>经费</w:t>
      </w:r>
      <w:r>
        <w:rPr>
          <w:rFonts w:hint="eastAsia" w:eastAsia="仿宋_GB2312"/>
          <w:kern w:val="0"/>
          <w:sz w:val="30"/>
          <w:szCs w:val="30"/>
        </w:rPr>
        <w:t>：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（二）机关运行经费安排</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hint="eastAsia"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6"/>
        </w:numPr>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eastAsia="仿宋_GB2312"/>
          <w:kern w:val="0"/>
          <w:sz w:val="30"/>
          <w:szCs w:val="30"/>
        </w:rPr>
      </w:pPr>
      <w:r>
        <w:rPr>
          <w:rFonts w:hint="eastAsia" w:eastAsia="仿宋_GB2312"/>
          <w:kern w:val="0"/>
          <w:sz w:val="30"/>
          <w:szCs w:val="30"/>
        </w:rPr>
        <w:t>鉴于截至2019年12月31日的国有资产占有使用情况需在完成2019年决算编制后才能统计汇总相关数据，因此，将在公开</w:t>
      </w:r>
      <w:r>
        <w:rPr>
          <w:rFonts w:hint="eastAsia" w:eastAsia="仿宋_GB2312"/>
          <w:kern w:val="0"/>
          <w:sz w:val="30"/>
          <w:szCs w:val="30"/>
          <w:lang w:val="en-US" w:eastAsia="zh-CN"/>
        </w:rPr>
        <w:t>2019</w:t>
      </w:r>
      <w:r>
        <w:rPr>
          <w:rFonts w:hint="eastAsia" w:eastAsia="仿宋_GB2312"/>
          <w:kern w:val="0"/>
          <w:sz w:val="30"/>
          <w:szCs w:val="30"/>
        </w:rPr>
        <w:t>年度部门决算时一并公开部门截至2019年12月31日的国有资产占有使用情况。</w:t>
      </w:r>
      <w:bookmarkStart w:id="0" w:name="_GoBack"/>
      <w:bookmarkEnd w:id="0"/>
    </w:p>
    <w:p>
      <w:pPr>
        <w:keepNext w:val="0"/>
        <w:keepLines w:val="0"/>
        <w:pageBreakBefore w:val="0"/>
        <w:widowControl/>
        <w:numPr>
          <w:ilvl w:val="0"/>
          <w:numId w:val="6"/>
        </w:numPr>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ind w:firstLine="600" w:firstLineChars="200"/>
        <w:jc w:val="both"/>
        <w:textAlignment w:val="auto"/>
        <w:rPr>
          <w:rFonts w:ascii="楷体_GB2312" w:eastAsia="楷体_GB2312"/>
          <w:kern w:val="0"/>
          <w:sz w:val="30"/>
          <w:szCs w:val="30"/>
        </w:rPr>
      </w:pPr>
      <w:r>
        <w:rPr>
          <w:rFonts w:hint="eastAsia" w:ascii="仿宋_GB2312" w:eastAsia="仿宋_GB2312"/>
          <w:kern w:val="0"/>
          <w:sz w:val="30"/>
          <w:szCs w:val="30"/>
        </w:rPr>
        <w:t>2019年单位</w:t>
      </w:r>
      <w:r>
        <w:rPr>
          <w:rFonts w:hint="eastAsia" w:ascii="仿宋_GB2312" w:eastAsia="仿宋_GB2312"/>
          <w:kern w:val="0"/>
          <w:sz w:val="30"/>
          <w:szCs w:val="30"/>
          <w:lang w:eastAsia="zh-CN"/>
        </w:rPr>
        <w:t>支出</w:t>
      </w:r>
      <w:r>
        <w:rPr>
          <w:rFonts w:hint="eastAsia" w:ascii="仿宋_GB2312" w:eastAsia="仿宋_GB2312"/>
          <w:kern w:val="0"/>
          <w:sz w:val="30"/>
          <w:szCs w:val="30"/>
        </w:rPr>
        <w:t>预算</w:t>
      </w:r>
      <w:r>
        <w:rPr>
          <w:rFonts w:hint="eastAsia" w:ascii="仿宋_GB2312" w:eastAsia="仿宋_GB2312"/>
          <w:kern w:val="0"/>
          <w:sz w:val="30"/>
          <w:szCs w:val="30"/>
          <w:lang w:eastAsia="zh-CN"/>
        </w:rPr>
        <w:t>为</w:t>
      </w:r>
      <w:r>
        <w:rPr>
          <w:rFonts w:hint="eastAsia" w:ascii="仿宋_GB2312" w:eastAsia="仿宋_GB2312"/>
          <w:kern w:val="0"/>
          <w:sz w:val="30"/>
          <w:szCs w:val="30"/>
          <w:lang w:val="en-US" w:eastAsia="zh-CN"/>
        </w:rPr>
        <w:t>1125.64</w:t>
      </w:r>
      <w:r>
        <w:rPr>
          <w:rFonts w:hint="eastAsia" w:ascii="仿宋_GB2312" w:eastAsia="仿宋_GB2312"/>
          <w:kern w:val="0"/>
          <w:sz w:val="30"/>
          <w:szCs w:val="30"/>
        </w:rPr>
        <w:t>万元，其中：基本支出</w:t>
      </w:r>
      <w:r>
        <w:rPr>
          <w:rFonts w:hint="eastAsia" w:ascii="仿宋_GB2312" w:eastAsia="仿宋_GB2312"/>
          <w:kern w:val="0"/>
          <w:sz w:val="30"/>
          <w:szCs w:val="30"/>
          <w:lang w:val="en-US" w:eastAsia="zh-CN"/>
        </w:rPr>
        <w:t>1125.64</w:t>
      </w:r>
      <w:r>
        <w:rPr>
          <w:rFonts w:hint="eastAsia" w:ascii="仿宋_GB2312" w:eastAsia="仿宋_GB2312"/>
          <w:kern w:val="0"/>
          <w:sz w:val="30"/>
          <w:szCs w:val="30"/>
        </w:rPr>
        <w:t>万元，主要用于发放职工工资，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2A2542"/>
    <w:multiLevelType w:val="singleLevel"/>
    <w:tmpl w:val="FE2A2542"/>
    <w:lvl w:ilvl="0" w:tentative="0">
      <w:start w:val="1"/>
      <w:numFmt w:val="chineseCounting"/>
      <w:suff w:val="nothing"/>
      <w:lvlText w:val="（%1）"/>
      <w:lvlJc w:val="left"/>
      <w:rPr>
        <w:rFonts w:hint="eastAsia"/>
      </w:rPr>
    </w:lvl>
  </w:abstractNum>
  <w:abstractNum w:abstractNumId="1">
    <w:nsid w:val="5C3DA9B9"/>
    <w:multiLevelType w:val="singleLevel"/>
    <w:tmpl w:val="5C3DA9B9"/>
    <w:lvl w:ilvl="0" w:tentative="0">
      <w:start w:val="3"/>
      <w:numFmt w:val="chineseCounting"/>
      <w:suff w:val="nothing"/>
      <w:lvlText w:val="（%1）"/>
      <w:lvlJc w:val="left"/>
    </w:lvl>
  </w:abstractNum>
  <w:abstractNum w:abstractNumId="2">
    <w:nsid w:val="5C47BA42"/>
    <w:multiLevelType w:val="singleLevel"/>
    <w:tmpl w:val="5C47BA42"/>
    <w:lvl w:ilvl="0" w:tentative="0">
      <w:start w:val="2"/>
      <w:numFmt w:val="chineseCounting"/>
      <w:suff w:val="nothing"/>
      <w:lvlText w:val="（%1）"/>
      <w:lvlJc w:val="left"/>
    </w:lvl>
  </w:abstractNum>
  <w:abstractNum w:abstractNumId="3">
    <w:nsid w:val="5C47DBBF"/>
    <w:multiLevelType w:val="singleLevel"/>
    <w:tmpl w:val="5C47DBBF"/>
    <w:lvl w:ilvl="0" w:tentative="0">
      <w:start w:val="4"/>
      <w:numFmt w:val="chineseCounting"/>
      <w:suff w:val="nothing"/>
      <w:lvlText w:val="%1、"/>
      <w:lvlJc w:val="left"/>
    </w:lvl>
  </w:abstractNum>
  <w:abstractNum w:abstractNumId="4">
    <w:nsid w:val="5C47DC0A"/>
    <w:multiLevelType w:val="singleLevel"/>
    <w:tmpl w:val="5C47DC0A"/>
    <w:lvl w:ilvl="0" w:tentative="0">
      <w:start w:val="5"/>
      <w:numFmt w:val="chineseCounting"/>
      <w:suff w:val="nothing"/>
      <w:lvlText w:val="%1、"/>
      <w:lvlJc w:val="left"/>
    </w:lvl>
  </w:abstractNum>
  <w:abstractNum w:abstractNumId="5">
    <w:nsid w:val="5CBEC01A"/>
    <w:multiLevelType w:val="singleLevel"/>
    <w:tmpl w:val="5CBEC01A"/>
    <w:lvl w:ilvl="0" w:tentative="0">
      <w:start w:val="3"/>
      <w:numFmt w:val="chineseCounting"/>
      <w:suff w:val="nothing"/>
      <w:lvlText w:val="（%1）"/>
      <w:lvlJc w:val="left"/>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F60925"/>
    <w:rsid w:val="025737A0"/>
    <w:rsid w:val="03F0214E"/>
    <w:rsid w:val="04F62122"/>
    <w:rsid w:val="06325B44"/>
    <w:rsid w:val="0AB77A2F"/>
    <w:rsid w:val="0F4D55BC"/>
    <w:rsid w:val="145B4662"/>
    <w:rsid w:val="15E17DAB"/>
    <w:rsid w:val="15FD367B"/>
    <w:rsid w:val="1A0B3DDD"/>
    <w:rsid w:val="1D6C7E20"/>
    <w:rsid w:val="233F261A"/>
    <w:rsid w:val="251123BB"/>
    <w:rsid w:val="2930743F"/>
    <w:rsid w:val="2B6636F7"/>
    <w:rsid w:val="2D7B7E3A"/>
    <w:rsid w:val="2EAF6006"/>
    <w:rsid w:val="303461F0"/>
    <w:rsid w:val="317F1E15"/>
    <w:rsid w:val="39466C4F"/>
    <w:rsid w:val="3EF5169C"/>
    <w:rsid w:val="4160311D"/>
    <w:rsid w:val="47E146BB"/>
    <w:rsid w:val="4F3C6C73"/>
    <w:rsid w:val="51077F7E"/>
    <w:rsid w:val="54A7302D"/>
    <w:rsid w:val="55D2203D"/>
    <w:rsid w:val="57F063EE"/>
    <w:rsid w:val="5BCE5D59"/>
    <w:rsid w:val="5F3D0AF9"/>
    <w:rsid w:val="601E5B0D"/>
    <w:rsid w:val="62045962"/>
    <w:rsid w:val="6957561B"/>
    <w:rsid w:val="6BCF7320"/>
    <w:rsid w:val="724A4A01"/>
    <w:rsid w:val="729759E7"/>
    <w:rsid w:val="73122EF3"/>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26</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2019-04-29T10:13:27Z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