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2" w:name="_GoBack"/>
      <w:r>
        <w:rPr>
          <w:rFonts w:hint="eastAsia" w:ascii="方正小标宋简体" w:hAnsi="方正小标宋简体" w:eastAsia="方正小标宋简体" w:cs="方正小标宋简体"/>
          <w:sz w:val="36"/>
          <w:szCs w:val="36"/>
          <w:lang w:eastAsia="zh-CN"/>
        </w:rPr>
        <w:t>盈江县苏典乡九年一贯制学校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盈江县苏典乡九年一贯制学校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盈江县苏典乡九年一贯制学校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widowControl/>
        <w:jc w:val="center"/>
        <w:rPr>
          <w:rFonts w:hint="eastAsia" w:ascii="方正小标宋简体" w:eastAsia="方正小标宋简体"/>
          <w:kern w:val="0"/>
          <w:sz w:val="36"/>
          <w:szCs w:val="36"/>
        </w:rPr>
      </w:pPr>
      <w:r>
        <w:rPr>
          <w:rFonts w:hint="eastAsia" w:ascii="方正小标宋简体" w:eastAsia="方正小标宋简体"/>
          <w:kern w:val="0"/>
          <w:sz w:val="36"/>
          <w:szCs w:val="36"/>
          <w:lang w:eastAsia="zh-CN"/>
        </w:rPr>
        <w:t>盈江县苏典乡九年一贯制学校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w:t>
      </w: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盈江县苏典乡九年一贯制学校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38</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盈江县苏典乡九年一贯制学校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28"/>
          <w:szCs w:val="28"/>
          <w:lang w:val="en-US" w:eastAsia="zh-CN" w:bidi="ar-SA"/>
        </w:rPr>
        <w:t>盈江县苏典乡九年一贯制学校设置9个校点：苏典中学、苏典中心小学、勐嘎小学、邦别小学、勐撇小学、达嘎塘小学、爬蚌小学、木龙河小学、鲁苗小学。</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201</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年我</w:t>
      </w:r>
      <w:r>
        <w:rPr>
          <w:rFonts w:hint="eastAsia" w:ascii="仿宋_GB2312" w:hAnsi="仿宋_GB2312" w:eastAsia="仿宋_GB2312" w:cs="仿宋_GB2312"/>
          <w:kern w:val="0"/>
          <w:sz w:val="30"/>
          <w:szCs w:val="30"/>
          <w:lang w:eastAsia="zh-CN"/>
        </w:rPr>
        <w:t>校</w:t>
      </w:r>
      <w:r>
        <w:rPr>
          <w:rFonts w:hint="eastAsia" w:ascii="仿宋_GB2312" w:hAnsi="仿宋_GB2312" w:eastAsia="仿宋_GB2312" w:cs="仿宋_GB2312"/>
          <w:kern w:val="0"/>
          <w:sz w:val="30"/>
          <w:szCs w:val="30"/>
        </w:rPr>
        <w:t>教育工作的总体要求是：以国家和省、州中长期教育改革和发展规划纲要为指导，抓好课堂教学改革，强化队伍建设，以提高初中教学成绩为切入点，促进小学抓质量管理，推动初中抓“控辍保学”工作，全面强化校园管理和内涵发展，以初中质量的整体提升，拉动小学管理进步，推动高中教育发展，全面带动我</w:t>
      </w:r>
      <w:r>
        <w:rPr>
          <w:rFonts w:hint="eastAsia" w:ascii="仿宋_GB2312" w:hAnsi="仿宋_GB2312" w:eastAsia="仿宋_GB2312" w:cs="仿宋_GB2312"/>
          <w:kern w:val="0"/>
          <w:sz w:val="30"/>
          <w:szCs w:val="30"/>
          <w:lang w:eastAsia="zh-CN"/>
        </w:rPr>
        <w:t>校</w:t>
      </w:r>
      <w:r>
        <w:rPr>
          <w:rFonts w:hint="eastAsia" w:ascii="仿宋_GB2312" w:hAnsi="仿宋_GB2312" w:eastAsia="仿宋_GB2312" w:cs="仿宋_GB2312"/>
          <w:kern w:val="0"/>
          <w:sz w:val="30"/>
          <w:szCs w:val="30"/>
        </w:rPr>
        <w:t>教育水平再上新台阶。围绕总体要求，201</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年重点抓好以下几个方面：</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&lt;一&gt;深化课堂教学改革</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继续坚定不移扎实推进课堂教学改革，提高课堂效率，坚定不移推行“导学案”制度和“两展三学一结”课堂教学模式。我们要做好“导学案”的修订与使用工作。课堂教学必须充分体现学生的主体地位，坚持落实“小组合作学习”，按照“先学后教、当堂训练”原则，教师的指导要适时、适度、适量，要保证学生自主学习的时间和空间</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注重向课堂外的延伸。</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抓好薄弱学科、薄弱环节教学和薄弱工作。从一年级起开始重视对优生薄弱学科的辅导，通过课堂重点抽问、课后个别辅导、作业采取面批等方式，努力做好培优辅差工作，确保优生各科均衡发展。各年级进一步调整晚辅导，分层、定人辅导，提高晚辅导效益。</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加强课题研究，正视平时课堂教学中碰到的问题，以“问题即课题、教学即研究”为着力点，以备课组为单位有针对性地进行研究，切实解决教学中遇到的问题，达到以教研促教改，以教改促质量的最终目的，发挥教育科研的针对性和指导性。</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&lt;二&gt;加强电子白板的培训与使用</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学期各班级全新安装的电子白板，将有助于我校信息技术与学科教学的深度融合，有助于课堂教学改革的推进，也有利于课堂效率的提高。全体教师都要主动学习白板的使用，包括体育、音乐等白板利用率不高的教师。要熟悉白板的特点性能，在充分使用好白板的同时能够正确维护。加强教室内电教设备的管理，教师要懂得操作规范，严格遵守操作流程，从而管理提高设备的利用率和良好率。</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&lt;三&gt;加大教师培养力度</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积极搭建各种平台，为教师成长提供尽可能多的机会，为培养学科带头人做好充分准备。有效利用好学校培训经费，让培训成为教师提升素质的新常态。将采取“走出去、请进来”的办法，更新教师教学理念，推动我校课堂改革。重视学校骨干教师培养，有重点地向推荐教师接受更高层次的学习培训，让更多有潜能的教师有更广阔的学习平台和展示机会。通过开展学习培训、读书活动等形式，为青年教师提供交流学习的机会，快速提高他们各方面素养，让青年教师尽早成熟，体会成功。</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&lt;四&gt;加强学校安全工作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规范学校安全管理。坚持一岗双责，强化责任落实。抓好安全教育与培训，不断强化师生安全意识和安全防范能力、自护自救能力。抓好安全工作巡查与监管，重点检查重点部位安全隐患排查、管理制度落实情况，形成长效机制。加强人防、物防、技防工作，切实做到有人防、有器材、有监控，并正常运行。与派出所和相关职能部门一同加强安全督查，加强对学校周边治安秩序整治，为学校广大师生创造良好的学习和生活环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2.强化学校卫生工作。切实做好健康教育和季节性传染病防控工作，完善疾病预防工作机制，采取得力措施，确保师生身体健康。加强学校公共卫生安全事件预警机制建设，确保不发生大的卫生安全事件。</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做好信访维稳工作。严肃信访纪律，坚决按信访条例依法办事。加强信息排查、搜集和研判工作，了解掌握带有倾向性和苗头性的问题。按照“发现在早，预防在先，处置在小”的要求，周密部署，超前防范，过细工作，及时发现和化解各类矛盾纠纷，避免越级上访和群体上访事件发生。</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4.落实各级安全工作制度，签订《安全工作责任书》，做到安全管理全面到位，安全责任具体落实。</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5.经常性开展学校安全检查，把每学期开学的第一周作为安全工作宣传周，及时消除学校安全隐患，对于重大安全隐患，及时上报。</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6.加强宣传教育，加大消防、防震、防踩踏等的应急演练，做好禁毒防艾、防邪教等工作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7.加强学生营养餐管理，实施营养改善计划坚持安全、营养、方便、廉价的原则，做到不符合质量要求的食物不进校，不食用，确保学生身体健康和饮食安全。</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8.依托学校“</w:t>
      </w:r>
      <w:r>
        <w:rPr>
          <w:rFonts w:hint="eastAsia" w:ascii="仿宋_GB2312" w:hAnsi="仿宋_GB2312" w:eastAsia="仿宋_GB2312" w:cs="仿宋_GB2312"/>
          <w:kern w:val="0"/>
          <w:sz w:val="30"/>
          <w:szCs w:val="30"/>
          <w:lang w:eastAsia="zh-CN"/>
        </w:rPr>
        <w:t>青</w:t>
      </w:r>
      <w:r>
        <w:rPr>
          <w:rFonts w:hint="eastAsia" w:ascii="仿宋_GB2312" w:hAnsi="仿宋_GB2312" w:eastAsia="仿宋_GB2312" w:cs="仿宋_GB2312"/>
          <w:kern w:val="0"/>
          <w:sz w:val="30"/>
          <w:szCs w:val="30"/>
        </w:rPr>
        <w:t>爱小屋”建设，加强禁毒防艾、心理健康、安全活动等方面的教育，切实服务好学生。</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&lt;五&gt;校容校貌和校园文化建设</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校容校貌是一个学校的外在形象，良好的校容校貌一定程度上能起到对学生环境育人的功能。我乡校将结合各校点实际，突出民族特色，重点打造3所校园文化示范学校，苏典乡九年一贯制学校重点打造民族文化传承的特色学校，勐嘎完小以百年老校为重点进行打造，达嘎塘小学则以优美的校园环境为重点进行打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lt;六&gt;巩固提高义务教育水平，保证学校在校生的巩固率。做好学生入学工作。深入了解本校学生的在学情况，健全贫困生档案，对个别家庭有特殊困难的学生，采取有效的救助措施。严格把好转学手续关。及时做好有关资料的收集工作，重视留守儿童教育问题；完善外来务工人员子女接受义务教育制度和措施；抓好学生营养改善计划工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黑体" w:hAnsi="黑体" w:eastAsia="黑体"/>
          <w:kern w:val="0"/>
          <w:sz w:val="30"/>
          <w:szCs w:val="30"/>
        </w:rPr>
      </w:pPr>
      <w:r>
        <w:rPr>
          <w:rFonts w:hint="eastAsia" w:ascii="仿宋_GB2312" w:hAnsi="仿宋_GB2312" w:eastAsia="仿宋_GB2312" w:cs="仿宋_GB2312"/>
          <w:kern w:val="0"/>
          <w:sz w:val="30"/>
          <w:szCs w:val="30"/>
        </w:rPr>
        <w:t>&lt;七&gt;打造办学特色，促进学生个性化发展。本学期，我们将继续抓好传统特色项目，科学制定大课间和课外活动计划，正常开设以跳嘎、三弦、芦笙、笛子、篮球、美术、音乐、舞蹈等各类课外活动兴趣小组，满足不同特长、不同兴趣、不同层次学生的发展需要。通过丰富社团，依托乡村少年宫，多措并举、协调发展，以特色发展驱动科学发展、内涵发展、和谐发展。积极参加各类比赛，组织开展校内课余文体比赛和各类实践活动，展示学生特色特长，培育学校办学特色。</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111</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111</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106</w:t>
      </w:r>
      <w:r>
        <w:rPr>
          <w:rFonts w:hint="eastAsia" w:ascii="仿宋_GB2312" w:hAnsi="仿宋_GB2312" w:eastAsia="仿宋_GB2312" w:cs="仿宋_GB2312"/>
          <w:color w:val="000000" w:themeColor="text1"/>
          <w:kern w:val="0"/>
          <w:sz w:val="30"/>
          <w:szCs w:val="30"/>
        </w:rPr>
        <w:t xml:space="preserve">人，其中：财政全供养 </w:t>
      </w:r>
      <w:r>
        <w:rPr>
          <w:rFonts w:hint="eastAsia" w:ascii="仿宋_GB2312" w:hAnsi="仿宋_GB2312" w:eastAsia="仿宋_GB2312" w:cs="仿宋_GB2312"/>
          <w:color w:val="000000" w:themeColor="text1"/>
          <w:kern w:val="0"/>
          <w:sz w:val="30"/>
          <w:szCs w:val="30"/>
          <w:lang w:val="en-US" w:eastAsia="zh-CN"/>
        </w:rPr>
        <w:t>106</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12</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12</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盈江县苏典乡九年一贯制学校</w:t>
      </w:r>
      <w:r>
        <w:rPr>
          <w:rFonts w:eastAsia="仿宋_GB2312"/>
          <w:kern w:val="0"/>
          <w:sz w:val="30"/>
          <w:szCs w:val="30"/>
        </w:rPr>
        <w:t>财务总收入</w:t>
      </w:r>
      <w:r>
        <w:rPr>
          <w:rFonts w:hint="eastAsia" w:eastAsia="仿宋_GB2312"/>
          <w:kern w:val="0"/>
          <w:sz w:val="30"/>
          <w:szCs w:val="30"/>
          <w:lang w:val="en-US" w:eastAsia="zh-CN"/>
        </w:rPr>
        <w:t>1321.42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1321.42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1321.42</w:t>
      </w:r>
      <w:r>
        <w:rPr>
          <w:rFonts w:eastAsia="仿宋_GB2312"/>
          <w:kern w:val="0"/>
          <w:sz w:val="30"/>
          <w:szCs w:val="30"/>
        </w:rPr>
        <w:t>万元，其中:本年收入</w:t>
      </w:r>
      <w:r>
        <w:rPr>
          <w:rFonts w:hint="eastAsia" w:eastAsia="仿宋_GB2312"/>
          <w:kern w:val="0"/>
          <w:sz w:val="30"/>
          <w:szCs w:val="30"/>
          <w:lang w:val="en-US" w:eastAsia="zh-CN"/>
        </w:rPr>
        <w:t>1321.42</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1321.42</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1321.42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1321.42</w:t>
      </w:r>
      <w:r>
        <w:rPr>
          <w:rFonts w:eastAsia="仿宋_GB2312"/>
          <w:kern w:val="0"/>
          <w:sz w:val="30"/>
          <w:szCs w:val="30"/>
        </w:rPr>
        <w:t>万元，其中，基本支出</w:t>
      </w:r>
      <w:r>
        <w:rPr>
          <w:rFonts w:hint="eastAsia" w:eastAsia="仿宋_GB2312"/>
          <w:kern w:val="0"/>
          <w:sz w:val="30"/>
          <w:szCs w:val="30"/>
          <w:lang w:val="en-US" w:eastAsia="zh-CN"/>
        </w:rPr>
        <w:t>1321.42</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“2050202” 教育支出-普通教育-小学教育673.40万元，主要用于工资福利支出和日常学校运行运转。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ab/>
      </w:r>
      <w:r>
        <w:rPr>
          <w:rFonts w:hint="eastAsia" w:ascii="仿宋_GB2312" w:hAnsi="仿宋_GB2312" w:eastAsia="仿宋_GB2312" w:cs="仿宋_GB2312"/>
          <w:sz w:val="30"/>
          <w:szCs w:val="30"/>
          <w:lang w:val="en-US" w:eastAsia="zh-CN"/>
        </w:rPr>
        <w:t>“2050203” 教育支出-普通教育-初中教育349.48万元，主要用于工资福利支出和日常学校运行运转。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“2080502”社会保障和就业支出-行政事业单位离退休-事业单位离退休0.72万元，主要用于离退休人员公用经费支出。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事业单位基本养老保险缴费支出186.14万元，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111.68</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2050202 小学教育673.40万元，其中：基本支出673.40万元，主要用于301工资福利支出669.14万元，</w:t>
      </w:r>
      <w:bookmarkStart w:id="0" w:name="OLE_LINK1"/>
      <w:r>
        <w:rPr>
          <w:rFonts w:hint="eastAsia" w:ascii="仿宋_GB2312" w:hAnsi="仿宋_GB2312" w:eastAsia="仿宋_GB2312" w:cs="仿宋_GB2312"/>
          <w:kern w:val="0"/>
          <w:sz w:val="30"/>
          <w:szCs w:val="30"/>
          <w:lang w:val="en-US" w:eastAsia="zh-CN"/>
        </w:rPr>
        <w:t>302商品服务支出</w:t>
      </w:r>
      <w:bookmarkEnd w:id="0"/>
      <w:r>
        <w:rPr>
          <w:rFonts w:hint="eastAsia" w:ascii="仿宋_GB2312" w:hAnsi="仿宋_GB2312" w:eastAsia="仿宋_GB2312" w:cs="仿宋_GB2312"/>
          <w:kern w:val="0"/>
          <w:sz w:val="30"/>
          <w:szCs w:val="30"/>
          <w:lang w:val="en-US" w:eastAsia="zh-CN"/>
        </w:rPr>
        <w:t>4.26万元；项目支出0万元。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2050203 初中教育349.48万元，其中：基本支出349.48万元，主要用于301工资福利支出347.49万元，302商品服务支出1.99万元；项目支出0万元。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kern w:val="0"/>
          <w:sz w:val="30"/>
          <w:szCs w:val="30"/>
          <w:lang w:val="en-US" w:eastAsia="zh-CN"/>
        </w:rPr>
        <w:t>2080502 事业单位离退休0.72万元，其中：基本支出0.72万元，主要用于302商品服务支出</w:t>
      </w:r>
      <w:r>
        <w:rPr>
          <w:rFonts w:hint="eastAsia" w:ascii="仿宋_GB2312" w:hAnsi="仿宋_GB2312" w:eastAsia="仿宋_GB2312" w:cs="仿宋_GB2312"/>
          <w:sz w:val="30"/>
          <w:szCs w:val="30"/>
          <w:lang w:val="en-US" w:eastAsia="zh-CN"/>
        </w:rPr>
        <w:t>0.72万元；项目支出0万元。</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 机关事业单位基本养老保险缴费支出186.14万元，其中：基本支出186.14万元，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工资福利支出186.14万元；项目支出0万元。</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2210201 住房公积金</w:t>
      </w:r>
      <w:bookmarkStart w:id="1" w:name="OLE_LINK4"/>
      <w:r>
        <w:rPr>
          <w:rFonts w:hint="eastAsia" w:ascii="仿宋_GB2312" w:hAnsi="仿宋_GB2312" w:eastAsia="仿宋_GB2312" w:cs="仿宋_GB2312"/>
          <w:sz w:val="30"/>
          <w:szCs w:val="30"/>
          <w:lang w:val="en-US" w:eastAsia="zh-CN"/>
        </w:rPr>
        <w:t>1</w:t>
      </w:r>
      <w:bookmarkEnd w:id="1"/>
      <w:r>
        <w:rPr>
          <w:rFonts w:hint="eastAsia" w:ascii="仿宋_GB2312" w:hAnsi="仿宋_GB2312" w:eastAsia="仿宋_GB2312" w:cs="仿宋_GB2312"/>
          <w:sz w:val="30"/>
          <w:szCs w:val="30"/>
          <w:lang w:val="en-US" w:eastAsia="zh-CN"/>
        </w:rPr>
        <w:t>11.68万元，其中：基本支出111.68万元，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工资福利支出111.68万元；项目支出0万元。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黑体" w:hAnsi="黑体" w:eastAsia="黑体"/>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对下专项土地改革在转移支付项目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w:t>
      </w:r>
      <w:r>
        <w:rPr>
          <w:rFonts w:hint="eastAsia" w:ascii="仿宋_GB2312" w:eastAsia="仿宋_GB2312"/>
          <w:kern w:val="0"/>
          <w:sz w:val="30"/>
          <w:szCs w:val="30"/>
          <w:lang w:eastAsia="zh-CN"/>
        </w:rPr>
        <w:t>盈江县苏典乡九年一贯制学校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0.8</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0.8</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0.8</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0.8</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增加</w:t>
      </w:r>
      <w:r>
        <w:rPr>
          <w:rFonts w:hint="eastAsia" w:ascii="仿宋_GB2312" w:eastAsia="仿宋_GB2312"/>
          <w:kern w:val="0"/>
          <w:sz w:val="30"/>
          <w:szCs w:val="30"/>
          <w:lang w:val="en-US" w:eastAsia="zh-CN"/>
        </w:rPr>
        <w:t>0.8万元，增加100%</w:t>
      </w:r>
      <w:r>
        <w:rPr>
          <w:rFonts w:hint="eastAsia" w:ascii="仿宋_GB2312" w:eastAsia="仿宋_GB2312"/>
          <w:kern w:val="0"/>
          <w:sz w:val="30"/>
          <w:szCs w:val="30"/>
        </w:rPr>
        <w:t>，公务用车购置及运行费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0.8</w:t>
      </w:r>
      <w:r>
        <w:rPr>
          <w:rFonts w:hint="eastAsia" w:ascii="仿宋_GB2312" w:eastAsia="仿宋_GB2312"/>
          <w:kern w:val="0"/>
          <w:sz w:val="30"/>
          <w:szCs w:val="30"/>
        </w:rPr>
        <w:t>万元</w:t>
      </w:r>
      <w:r>
        <w:rPr>
          <w:rFonts w:hint="eastAsia" w:ascii="仿宋_GB2312" w:eastAsia="仿宋_GB2312"/>
          <w:kern w:val="0"/>
          <w:sz w:val="30"/>
          <w:szCs w:val="30"/>
          <w:lang w:eastAsia="zh-CN"/>
        </w:rPr>
        <w:t>减少</w:t>
      </w:r>
      <w:r>
        <w:rPr>
          <w:rFonts w:hint="eastAsia" w:ascii="仿宋_GB2312" w:eastAsia="仿宋_GB2312"/>
          <w:kern w:val="0"/>
          <w:sz w:val="30"/>
          <w:szCs w:val="30"/>
          <w:lang w:val="en-US" w:eastAsia="zh-CN"/>
        </w:rPr>
        <w:t>0.8万元，减少100%</w:t>
      </w:r>
      <w:r>
        <w:rPr>
          <w:rFonts w:hint="eastAsia" w:ascii="仿宋_GB2312" w:eastAsia="仿宋_GB2312"/>
          <w:kern w:val="0"/>
          <w:sz w:val="30"/>
          <w:szCs w:val="30"/>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1321.42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1062.89万元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258.53万元，增24.32%。增加原因：调增人员工资。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1321.42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1321.42</w:t>
      </w:r>
      <w:r>
        <w:rPr>
          <w:rFonts w:eastAsia="仿宋_GB2312"/>
          <w:kern w:val="0"/>
          <w:sz w:val="30"/>
          <w:szCs w:val="30"/>
        </w:rPr>
        <w:t>万元，其中，基本支出</w:t>
      </w:r>
      <w:r>
        <w:rPr>
          <w:rFonts w:hint="eastAsia" w:eastAsia="仿宋_GB2312"/>
          <w:kern w:val="0"/>
          <w:sz w:val="30"/>
          <w:szCs w:val="30"/>
          <w:lang w:val="en-US" w:eastAsia="zh-CN"/>
        </w:rPr>
        <w:t>1321.42</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2"/>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450888"/>
    <w:rsid w:val="025737A0"/>
    <w:rsid w:val="02F638A8"/>
    <w:rsid w:val="03CD50E7"/>
    <w:rsid w:val="03F0214E"/>
    <w:rsid w:val="04CF1775"/>
    <w:rsid w:val="05616F12"/>
    <w:rsid w:val="061D49D6"/>
    <w:rsid w:val="06325B44"/>
    <w:rsid w:val="06E43398"/>
    <w:rsid w:val="079F1950"/>
    <w:rsid w:val="084A3CB5"/>
    <w:rsid w:val="0AB77A2F"/>
    <w:rsid w:val="0B8D7FD4"/>
    <w:rsid w:val="105A3BDF"/>
    <w:rsid w:val="13F52A67"/>
    <w:rsid w:val="14594CAF"/>
    <w:rsid w:val="16C85A74"/>
    <w:rsid w:val="172728C8"/>
    <w:rsid w:val="18194B15"/>
    <w:rsid w:val="1A0B3DDD"/>
    <w:rsid w:val="1A685806"/>
    <w:rsid w:val="206C0510"/>
    <w:rsid w:val="207165AF"/>
    <w:rsid w:val="215D47F3"/>
    <w:rsid w:val="21B76D32"/>
    <w:rsid w:val="228F2F2D"/>
    <w:rsid w:val="23293A4E"/>
    <w:rsid w:val="23C6578F"/>
    <w:rsid w:val="242E2599"/>
    <w:rsid w:val="26BF2FF3"/>
    <w:rsid w:val="27E3128E"/>
    <w:rsid w:val="28D26D48"/>
    <w:rsid w:val="29F4749C"/>
    <w:rsid w:val="2B696D85"/>
    <w:rsid w:val="2B790020"/>
    <w:rsid w:val="2C3026C2"/>
    <w:rsid w:val="2D7B7E3A"/>
    <w:rsid w:val="2DA75286"/>
    <w:rsid w:val="2FD25EA1"/>
    <w:rsid w:val="2FE15B71"/>
    <w:rsid w:val="30D85C38"/>
    <w:rsid w:val="33E37726"/>
    <w:rsid w:val="369B6FF2"/>
    <w:rsid w:val="36A50FB2"/>
    <w:rsid w:val="39466C4F"/>
    <w:rsid w:val="39BF048F"/>
    <w:rsid w:val="3A8C77EA"/>
    <w:rsid w:val="3B8E422C"/>
    <w:rsid w:val="3CC32D4E"/>
    <w:rsid w:val="3D531916"/>
    <w:rsid w:val="40727ADC"/>
    <w:rsid w:val="41986473"/>
    <w:rsid w:val="42BD1DA4"/>
    <w:rsid w:val="43131F13"/>
    <w:rsid w:val="43C35C3E"/>
    <w:rsid w:val="44A11F66"/>
    <w:rsid w:val="45166B3A"/>
    <w:rsid w:val="46D61E29"/>
    <w:rsid w:val="48BA0E0E"/>
    <w:rsid w:val="4A940EA9"/>
    <w:rsid w:val="4AB35E6B"/>
    <w:rsid w:val="4C2B6994"/>
    <w:rsid w:val="4D9924E2"/>
    <w:rsid w:val="4E1878C9"/>
    <w:rsid w:val="4F462F65"/>
    <w:rsid w:val="4FC334A8"/>
    <w:rsid w:val="50F26431"/>
    <w:rsid w:val="515A348C"/>
    <w:rsid w:val="523B41A3"/>
    <w:rsid w:val="555A28F9"/>
    <w:rsid w:val="564C72BA"/>
    <w:rsid w:val="5825432A"/>
    <w:rsid w:val="58310B0B"/>
    <w:rsid w:val="597D7B2E"/>
    <w:rsid w:val="5AB4032D"/>
    <w:rsid w:val="5DDB63FE"/>
    <w:rsid w:val="5E7D384C"/>
    <w:rsid w:val="5F1D569A"/>
    <w:rsid w:val="5FB20E86"/>
    <w:rsid w:val="64B14F4F"/>
    <w:rsid w:val="64D13A1C"/>
    <w:rsid w:val="65431806"/>
    <w:rsid w:val="656A32EF"/>
    <w:rsid w:val="65756AF5"/>
    <w:rsid w:val="65E20823"/>
    <w:rsid w:val="66447E71"/>
    <w:rsid w:val="67D95CA6"/>
    <w:rsid w:val="67DD5DBE"/>
    <w:rsid w:val="68083500"/>
    <w:rsid w:val="68C77134"/>
    <w:rsid w:val="6A8C3BB7"/>
    <w:rsid w:val="6AA93972"/>
    <w:rsid w:val="6CAC668F"/>
    <w:rsid w:val="6DA47EEE"/>
    <w:rsid w:val="6F774578"/>
    <w:rsid w:val="6FCD3E36"/>
    <w:rsid w:val="71E00635"/>
    <w:rsid w:val="724A4A01"/>
    <w:rsid w:val="72F37DB5"/>
    <w:rsid w:val="73AC74BE"/>
    <w:rsid w:val="75F37398"/>
    <w:rsid w:val="76C22F3D"/>
    <w:rsid w:val="7779331C"/>
    <w:rsid w:val="77D46EE6"/>
    <w:rsid w:val="783D31F1"/>
    <w:rsid w:val="79910928"/>
    <w:rsid w:val="7A017677"/>
    <w:rsid w:val="7B1E5394"/>
    <w:rsid w:val="7BAD518E"/>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2</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2019-04-29T09:46:27Z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