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lang w:eastAsia="zh-CN"/>
        </w:rPr>
        <w:t>盈江县太平镇中学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p>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盈江县太平镇中学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盈江县太平镇中学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盈江县太平镇中学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盈江县太平镇中学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11</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盈江县太平镇中学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560" w:firstLineChars="200"/>
        <w:jc w:val="both"/>
        <w:textAlignment w:val="auto"/>
        <w:outlineLvl w:val="9"/>
        <w:rPr>
          <w:rFonts w:hint="eastAsia" w:ascii="仿宋" w:hAnsi="仿宋" w:eastAsia="仿宋" w:cs="仿宋"/>
          <w:kern w:val="0"/>
          <w:sz w:val="30"/>
          <w:szCs w:val="30"/>
          <w:lang w:val="en-US" w:eastAsia="zh-CN"/>
        </w:rPr>
      </w:pPr>
      <w:r>
        <w:rPr>
          <w:rFonts w:hint="eastAsia" w:ascii="宋体" w:hAnsi="宋体" w:eastAsia="宋体" w:cs="宋体"/>
          <w:color w:val="auto"/>
          <w:kern w:val="0"/>
          <w:sz w:val="28"/>
          <w:szCs w:val="28"/>
          <w:lang w:val="en-US" w:eastAsia="zh-CN" w:bidi="ar-SA"/>
        </w:rPr>
        <w:t xml:space="preserve"> </w:t>
      </w:r>
      <w:r>
        <w:rPr>
          <w:rFonts w:hint="eastAsia" w:ascii="宋体" w:hAnsi="宋体" w:eastAsia="宋体" w:cs="宋体"/>
          <w:color w:val="auto"/>
          <w:kern w:val="0"/>
          <w:sz w:val="30"/>
          <w:szCs w:val="30"/>
          <w:lang w:val="en-US" w:eastAsia="zh-CN" w:bidi="ar-SA"/>
        </w:rPr>
        <w:t xml:space="preserve"> </w:t>
      </w:r>
      <w:r>
        <w:rPr>
          <w:rFonts w:hint="eastAsia" w:ascii="仿宋_GB2312" w:hAnsi="仿宋_GB2312" w:eastAsia="仿宋_GB2312" w:cs="仿宋_GB2312"/>
          <w:color w:val="auto"/>
          <w:kern w:val="0"/>
          <w:sz w:val="30"/>
          <w:szCs w:val="30"/>
          <w:lang w:val="en-US" w:eastAsia="zh-CN" w:bidi="ar-SA"/>
        </w:rPr>
        <w:t>盈江县太平镇中学设置7个科室：</w:t>
      </w:r>
      <w:r>
        <w:rPr>
          <w:rFonts w:hint="eastAsia" w:ascii="仿宋" w:hAnsi="仿宋" w:eastAsia="仿宋" w:cs="仿宋"/>
          <w:color w:val="auto"/>
          <w:sz w:val="30"/>
          <w:szCs w:val="30"/>
          <w:lang w:val="en-US" w:eastAsia="zh-CN"/>
        </w:rPr>
        <w:t>办公室、教科室、德育室、工会、团委、关工委、总务处</w:t>
      </w:r>
      <w:r>
        <w:rPr>
          <w:rFonts w:hint="eastAsia" w:ascii="仿宋" w:hAnsi="仿宋" w:eastAsia="仿宋" w:cs="仿宋"/>
          <w:color w:val="auto"/>
          <w:kern w:val="0"/>
          <w:sz w:val="30"/>
          <w:szCs w:val="30"/>
          <w:lang w:val="en-US" w:eastAsia="zh-CN" w:bidi="ar-SA"/>
        </w:rPr>
        <w:t>。</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楷体_GB2312" w:eastAsia="楷体_GB2312"/>
          <w:color w:val="auto"/>
          <w:kern w:val="0"/>
          <w:sz w:val="30"/>
          <w:szCs w:val="30"/>
        </w:rPr>
      </w:pPr>
      <w:r>
        <w:rPr>
          <w:rFonts w:ascii="楷体_GB2312" w:eastAsia="楷体_GB2312"/>
          <w:color w:val="auto"/>
          <w:kern w:val="0"/>
          <w:sz w:val="30"/>
          <w:szCs w:val="30"/>
        </w:rPr>
        <w:t>重点工作概述</w:t>
      </w:r>
    </w:p>
    <w:p>
      <w:pPr>
        <w:keepNext w:val="0"/>
        <w:keepLines w:val="0"/>
        <w:pageBreakBefore w:val="0"/>
        <w:widowControl/>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color w:val="auto"/>
          <w:kern w:val="0"/>
          <w:sz w:val="30"/>
          <w:szCs w:val="30"/>
          <w:lang w:val="en-US" w:eastAsia="zh-CN"/>
        </w:rPr>
      </w:pPr>
      <w:r>
        <w:rPr>
          <w:rFonts w:hint="eastAsia" w:ascii="楷体_GB2312" w:eastAsia="楷体_GB2312"/>
          <w:color w:val="000000" w:themeColor="text1"/>
          <w:kern w:val="0"/>
          <w:sz w:val="30"/>
          <w:szCs w:val="30"/>
          <w:lang w:val="en-US" w:eastAsia="zh-CN"/>
        </w:rPr>
        <w:t>本年度开展重点工作如下：</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lang w:val="en-US" w:eastAsia="zh-CN"/>
        </w:rPr>
        <w:t>1、</w:t>
      </w:r>
      <w:r>
        <w:rPr>
          <w:rFonts w:hint="eastAsia" w:ascii="仿宋_GB2312" w:hAnsi="仿宋_GB2312" w:eastAsia="仿宋_GB2312" w:cs="仿宋_GB2312"/>
          <w:color w:val="333333"/>
          <w:sz w:val="30"/>
          <w:szCs w:val="30"/>
        </w:rPr>
        <w:t>坚持以教学为中心，推进课改，进一步落实教学常规，突出毕业班工作，保证教学质量。</w:t>
      </w:r>
    </w:p>
    <w:p>
      <w:pPr>
        <w:keepNext w:val="0"/>
        <w:keepLines w:val="0"/>
        <w:pageBreakBefore w:val="0"/>
        <w:widowControl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333333"/>
          <w:sz w:val="30"/>
          <w:szCs w:val="30"/>
        </w:rPr>
      </w:pPr>
      <w:r>
        <w:rPr>
          <w:rFonts w:hint="eastAsia" w:ascii="仿宋_GB2312" w:hAnsi="仿宋_GB2312" w:eastAsia="仿宋_GB2312" w:cs="仿宋_GB2312"/>
          <w:color w:val="333333"/>
          <w:sz w:val="30"/>
          <w:szCs w:val="30"/>
        </w:rPr>
        <w:t xml:space="preserve">质量是学校的生命线，为此，千方百计提高教学质量是我们追求和奋斗目标，坚持做到聚精会神搞课堂教学，一心一意谋学校发展。 </w:t>
      </w:r>
      <w:r>
        <w:rPr>
          <w:rFonts w:hint="eastAsia" w:ascii="仿宋_GB2312" w:hAnsi="仿宋_GB2312" w:eastAsia="仿宋_GB2312" w:cs="仿宋_GB2312"/>
          <w:color w:val="333333"/>
          <w:sz w:val="30"/>
          <w:szCs w:val="30"/>
        </w:rPr>
        <w:br w:type="textWrapping"/>
      </w:r>
      <w:r>
        <w:rPr>
          <w:rFonts w:hint="eastAsia" w:ascii="仿宋_GB2312" w:hAnsi="仿宋_GB2312" w:eastAsia="仿宋_GB2312" w:cs="仿宋_GB2312"/>
          <w:color w:val="333333"/>
          <w:sz w:val="30"/>
          <w:szCs w:val="30"/>
        </w:rPr>
        <w:t>　　</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1</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 xml:space="preserve">重抓教师教育理念的转变。结合新课程改革的精神，学校要求教师在教学任务上从教书向育人转变；在教学观念上从以教师为中心向以教师为主导、学生为主体转变；在教学内容上从单纯的讲解向理论和实际相结合转变；在教学方法上从注重教法向教法与学法指导同步转变；在教学评价上从终结性评价向过程性评价与终结性评价并重转变。 </w:t>
      </w:r>
      <w:r>
        <w:rPr>
          <w:rFonts w:hint="eastAsia" w:ascii="仿宋_GB2312" w:hAnsi="仿宋_GB2312" w:eastAsia="仿宋_GB2312" w:cs="仿宋_GB2312"/>
          <w:color w:val="333333"/>
          <w:sz w:val="30"/>
          <w:szCs w:val="30"/>
        </w:rPr>
        <w:br w:type="textWrapping"/>
      </w:r>
      <w:r>
        <w:rPr>
          <w:rFonts w:hint="eastAsia" w:ascii="仿宋_GB2312" w:hAnsi="仿宋_GB2312" w:eastAsia="仿宋_GB2312" w:cs="仿宋_GB2312"/>
          <w:color w:val="333333"/>
          <w:sz w:val="30"/>
          <w:szCs w:val="30"/>
          <w:lang w:val="en-US" w:eastAsia="zh-CN"/>
        </w:rPr>
        <w:t xml:space="preserve">   </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2</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强化课堂常规管理，向45分钟要质量。学校想方设法使课堂教学真正做到严要求、轻负担、低消耗、高质量。在教学管理过程中进一步规范检查、落实、激励等制度，落实“人人懂常规、个个守规范</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班班有秩序”的要求。坚持领导深入班级听课制度，努力创设互相学习、互相观摩、互相促进、共同提高的教学氛围。校级领导、教务主任、教研组长深入课堂第一线听课，了解教师教学情况，把握教学方向，提高教学对策，对年轻教师进行现场指导，不断提高教师教学能力。</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3</w:t>
      </w:r>
      <w:r>
        <w:rPr>
          <w:rFonts w:hint="eastAsia" w:ascii="仿宋_GB2312" w:hAnsi="仿宋_GB2312" w:eastAsia="仿宋_GB2312" w:cs="仿宋_GB2312"/>
          <w:color w:val="333333"/>
          <w:sz w:val="30"/>
          <w:szCs w:val="30"/>
          <w:lang w:eastAsia="zh-CN"/>
        </w:rPr>
        <w:t>）</w:t>
      </w:r>
      <w:r>
        <w:rPr>
          <w:rFonts w:hint="eastAsia" w:ascii="仿宋_GB2312" w:hAnsi="仿宋_GB2312" w:eastAsia="仿宋_GB2312" w:cs="仿宋_GB2312"/>
          <w:color w:val="333333"/>
          <w:sz w:val="30"/>
          <w:szCs w:val="30"/>
        </w:rPr>
        <w:t>全力抓好毕业班工作，</w:t>
      </w:r>
      <w:r>
        <w:rPr>
          <w:rFonts w:hint="eastAsia" w:ascii="仿宋_GB2312" w:hAnsi="仿宋_GB2312" w:eastAsia="仿宋_GB2312" w:cs="仿宋_GB2312"/>
          <w:sz w:val="30"/>
          <w:szCs w:val="30"/>
        </w:rPr>
        <w:t>确保大部分学生继续升学。学校始终突出毕业班工作，充分认识到中考质量是学校生存发展，被社会认同的根本保证，把毕业班工作放在压倒一切的高度来认识。坚持强化训练，强调检查，批改迅速，辅导到位，团结协作，落实“三个捆绑”（领导与年级组长、年级组长与班主任、班主任与本班科任教师）到位，及早制定切实可行的备考计划，使复习、模拟</w:t>
      </w:r>
      <w:r>
        <w:rPr>
          <w:rFonts w:hint="eastAsia" w:ascii="仿宋_GB2312" w:hAnsi="仿宋_GB2312" w:eastAsia="仿宋_GB2312" w:cs="仿宋_GB2312"/>
          <w:color w:val="auto"/>
          <w:sz w:val="30"/>
          <w:szCs w:val="30"/>
          <w:u w:val="none"/>
        </w:rPr>
        <w:t>考试</w:t>
      </w:r>
      <w:r>
        <w:rPr>
          <w:rFonts w:hint="eastAsia" w:ascii="仿宋_GB2312" w:hAnsi="仿宋_GB2312" w:eastAsia="仿宋_GB2312" w:cs="仿宋_GB2312"/>
          <w:color w:val="auto"/>
          <w:sz w:val="30"/>
          <w:szCs w:val="30"/>
        </w:rPr>
        <w:t>都能有条不紊地进行。每次模拟</w:t>
      </w:r>
      <w:r>
        <w:rPr>
          <w:rFonts w:hint="eastAsia" w:ascii="仿宋_GB2312" w:hAnsi="仿宋_GB2312" w:eastAsia="仿宋_GB2312" w:cs="仿宋_GB2312"/>
          <w:color w:val="auto"/>
          <w:sz w:val="30"/>
          <w:szCs w:val="30"/>
          <w:u w:val="none"/>
        </w:rPr>
        <w:t>考试</w:t>
      </w:r>
      <w:r>
        <w:rPr>
          <w:rFonts w:hint="eastAsia" w:ascii="仿宋_GB2312" w:hAnsi="仿宋_GB2312" w:eastAsia="仿宋_GB2312" w:cs="仿宋_GB2312"/>
          <w:color w:val="auto"/>
          <w:sz w:val="30"/>
          <w:szCs w:val="30"/>
        </w:rPr>
        <w:t>后年级组都集中进行总结，及时调整复习计划和内容，使复习更有针</w:t>
      </w:r>
      <w:r>
        <w:rPr>
          <w:rFonts w:hint="eastAsia" w:ascii="仿宋_GB2312" w:hAnsi="仿宋_GB2312" w:eastAsia="仿宋_GB2312" w:cs="仿宋_GB2312"/>
          <w:sz w:val="30"/>
          <w:szCs w:val="30"/>
        </w:rPr>
        <w:t>对性和实效性。</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、确保新学年如期开学，圆满完成辖区招生任务。</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、狠抓控辍保学工作。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学年我们加大了义务教育法、未成年人保护法的宣传力度，修订完善了《盈江县第五初级中学控辍保学制度》，采取家访、电话沟通、发短信等多种形式，狠抓控辍保学工作。使广大群众增强对我校的信任感，依法送子女入学的积极性、主动性、自觉性。确保我校学生进得来、留得住、学得好。</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、依法治校，规范办学行为。</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坚决按照省、州、县相关文件精神，积极创造条件开齐课程，上足课时。从办人民满意的合格学校的高度狠抓了制度的落实，强化师德师风建设，把思想政治工作放在首位；落实上级政策，坚决执行 “零费制”，对学生实行人本关怀，不违规向学生多收一分钱，校服、保险等义务教育阶段的代收费项目，一律遵循学生和家长自愿的原则。</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、突出德育主体地位，加强学生养成习惯教育。</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我校始终把学生的养成习惯教育，校园平安和谐，学生健康发展放在德育工作的首位，积极开展丰富多彩的德育活动，培养学生德智体美等全面发展。</w:t>
      </w:r>
    </w:p>
    <w:p>
      <w:pPr>
        <w:keepNext w:val="0"/>
        <w:keepLines w:val="0"/>
        <w:pageBreakBefore w:val="0"/>
        <w:numPr>
          <w:ilvl w:val="0"/>
          <w:numId w:val="2"/>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加强德育阵地建设。建立了学校政教处、团委、班主任、科任教师及家长的德育管理网络。每学期组织学生到太平敬老院开展献爱心活动，请派出所干警上禁毒防艾课，借助身边典型实例，让学生深刻认识毒品的危害。注重德育热点问题如“留守子女”、早恋、网游等的研究，提高德育管理工作的针对性和实效性。</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加强学生的养成习惯教育。①、加强新版《中小学生守则》、《中学生日常行为规范》的学习，明白学生该做什么，让学生养成懂礼守规距的良好行为习惯。②</w:t>
      </w:r>
      <w:bookmarkStart w:id="0" w:name="_GoBack"/>
      <w:bookmarkEnd w:id="0"/>
      <w:r>
        <w:rPr>
          <w:rFonts w:hint="eastAsia" w:ascii="仿宋_GB2312" w:hAnsi="仿宋_GB2312" w:eastAsia="仿宋_GB2312" w:cs="仿宋_GB2312"/>
          <w:sz w:val="30"/>
          <w:szCs w:val="30"/>
        </w:rPr>
        <w:t>、充分利主题班会，加强学生的理想前途教育；③、实行《进出校门</w:t>
      </w:r>
      <w:r>
        <w:rPr>
          <w:rFonts w:hint="eastAsia" w:ascii="仿宋_GB2312" w:hAnsi="仿宋_GB2312" w:eastAsia="仿宋_GB2312" w:cs="仿宋_GB2312"/>
          <w:sz w:val="30"/>
          <w:szCs w:val="30"/>
          <w:lang w:eastAsia="zh-CN"/>
        </w:rPr>
        <w:t>登记簿</w:t>
      </w:r>
      <w:r>
        <w:rPr>
          <w:rFonts w:hint="eastAsia" w:ascii="仿宋_GB2312" w:hAnsi="仿宋_GB2312" w:eastAsia="仿宋_GB2312" w:cs="仿宋_GB2312"/>
          <w:sz w:val="30"/>
          <w:szCs w:val="30"/>
        </w:rPr>
        <w:t>》等管理制度，严格学生向班主任请假制度，多渠道约束和规范学生的行为习惯。</w:t>
      </w:r>
    </w:p>
    <w:p>
      <w:pPr>
        <w:keepNext w:val="0"/>
        <w:keepLines w:val="0"/>
        <w:pageBreakBefore w:val="0"/>
        <w:kinsoku/>
        <w:wordWrap/>
        <w:overflowPunct/>
        <w:topLinePunct w:val="0"/>
        <w:autoSpaceDE/>
        <w:autoSpaceDN/>
        <w:bidi w:val="0"/>
        <w:adjustRightInd/>
        <w:snapToGrid/>
        <w:ind w:left="0" w:lef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拓宽德育活动为载体。根据初中学生的身心发展规律，积极开展形式多样的德育活动，让学生参与其中，让学生潜移默化地受到教育，受到启迪，人格得到升华。①、开展“文明</w:t>
      </w:r>
      <w:r>
        <w:rPr>
          <w:rFonts w:hint="eastAsia" w:ascii="仿宋_GB2312" w:hAnsi="仿宋_GB2312" w:eastAsia="仿宋_GB2312" w:cs="仿宋_GB2312"/>
          <w:sz w:val="30"/>
          <w:szCs w:val="30"/>
          <w:lang w:eastAsia="zh-CN"/>
        </w:rPr>
        <w:t>宿舍</w:t>
      </w:r>
      <w:r>
        <w:rPr>
          <w:rFonts w:hint="eastAsia" w:ascii="仿宋_GB2312" w:hAnsi="仿宋_GB2312" w:eastAsia="仿宋_GB2312" w:cs="仿宋_GB2312"/>
          <w:sz w:val="30"/>
          <w:szCs w:val="30"/>
        </w:rPr>
        <w:t>”、“文明班级”的评选活动，组织“五四”、元旦文艺晚会、冬运会等，让学生积极参与，主动地发展，增强集体荣誉感和审美能力。②、充分利用重大节日、周一升国旗讲话，加强对学生的爱国主义教育。③、举办安全、法制、禁毒防艾等专题教育讲座，增强师生</w:t>
      </w:r>
      <w:r>
        <w:rPr>
          <w:rFonts w:hint="eastAsia" w:ascii="仿宋_GB2312" w:hAnsi="仿宋_GB2312" w:eastAsia="仿宋_GB2312" w:cs="仿宋_GB2312"/>
          <w:sz w:val="30"/>
          <w:szCs w:val="30"/>
          <w:lang w:eastAsia="zh-CN"/>
        </w:rPr>
        <w:t>法治意识</w:t>
      </w:r>
      <w:r>
        <w:rPr>
          <w:rFonts w:hint="eastAsia" w:ascii="仿宋_GB2312" w:hAnsi="仿宋_GB2312" w:eastAsia="仿宋_GB2312" w:cs="仿宋_GB2312"/>
          <w:sz w:val="30"/>
          <w:szCs w:val="30"/>
        </w:rPr>
        <w:t>和珍爱生命意识。</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营造平安和谐校园。加强安全教育，强化检查落实，注重人际关系和谐。</w:t>
      </w:r>
    </w:p>
    <w:p>
      <w:pPr>
        <w:pStyle w:val="6"/>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、狠抓安全工作。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校一直保持对安全工作的高度重视。学校成立了以校长为组长的安全工作领导小组，制定了安全工作责任制度和突发事件应急预案。鉴于近年来校园伤害事件多发的现状，我校高度重视并认真贯彻落实上级各部门的安全会议精神，不折不扣的按要求采取了一系列防范措施，如聘请专职保安、安装监控设备、加强值班管理等。积极开展“平安校园”创建工作，完善各种管理制度，制定了学校的工作计划，修订了应急预案，分层签订安全责任书，落实防盗、防火、防电、防溺水、防交通事故、防食品中毒等安全管理措施，坚决杜绝意外事故发生。加强了师生安全教育，安全知识的宣传，使全体教职工牢固树立“安全第一”、“安全重于泰山”的思想意识，及时排查各种安全隐患，落实整改措施。定期召开家长会并与学生家长签订安全责任书，加强组织消防防震演练活动，确保了学校安全零责任事故的良好态势。</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、下大力气，搞好体卫艺工作。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贯彻国家课程设置方案，重视体艺工作的开展。认真上好音体美课，组建音体美课外兴趣小组；坚持组织学生晨跑，认真落实课间操和眼保健操；定期召开冬季运动会、五四、元旦文艺晚会。通过狠抓体艺工作，达到强健学生的身体素质，促进学生的心理健康发展，让他们更好地学习和生活，为今后的人生奠定基础。</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2"/>
          <w:szCs w:val="30"/>
        </w:rPr>
      </w:pPr>
      <w:r>
        <w:rPr>
          <w:rFonts w:hint="eastAsia" w:ascii="仿宋_GB2312" w:hAnsi="仿宋_GB2312" w:eastAsia="仿宋_GB2312" w:cs="仿宋_GB2312"/>
          <w:sz w:val="30"/>
          <w:szCs w:val="30"/>
        </w:rPr>
        <w:t>认真搞好校园环境卫生。积极开展爱国卫生运动，做好清扫保洁，消除卫生死角。检查学校食堂、小卖部的食品卫生情况。开学第一周各班就结合入学教育，以多种形式开展了食品卫生安全、肠道传染病等的宣传教育活动，增强学生的自我保护意识和能力，保障学校师生员工的</w:t>
      </w:r>
      <w:r>
        <w:rPr>
          <w:rFonts w:hint="eastAsia" w:ascii="仿宋_GB2312" w:hAnsi="仿宋_GB2312" w:eastAsia="仿宋_GB2312" w:cs="仿宋_GB2312"/>
          <w:sz w:val="32"/>
          <w:szCs w:val="30"/>
        </w:rPr>
        <w:t>身体健康。</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个；事业单位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53</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53</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53</w:t>
      </w:r>
      <w:r>
        <w:rPr>
          <w:rFonts w:hint="eastAsia" w:ascii="仿宋_GB2312" w:hAnsi="仿宋_GB2312" w:eastAsia="仿宋_GB2312" w:cs="仿宋_GB2312"/>
          <w:kern w:val="0"/>
          <w:sz w:val="30"/>
          <w:szCs w:val="30"/>
        </w:rPr>
        <w:t xml:space="preserve">人，其中： 财政全供养 </w:t>
      </w:r>
      <w:r>
        <w:rPr>
          <w:rFonts w:hint="eastAsia" w:ascii="仿宋_GB2312" w:hAnsi="仿宋_GB2312" w:eastAsia="仿宋_GB2312" w:cs="仿宋_GB2312"/>
          <w:kern w:val="0"/>
          <w:sz w:val="30"/>
          <w:szCs w:val="30"/>
          <w:lang w:val="en-US" w:eastAsia="zh-CN"/>
        </w:rPr>
        <w:t>53</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 xml:space="preserve">离退休人员 </w:t>
      </w:r>
      <w:r>
        <w:rPr>
          <w:rFonts w:hint="eastAsia" w:ascii="仿宋_GB2312" w:hAnsi="仿宋_GB2312" w:eastAsia="仿宋_GB2312" w:cs="仿宋_GB2312"/>
          <w:color w:val="000000" w:themeColor="text1"/>
          <w:kern w:val="0"/>
          <w:sz w:val="30"/>
          <w:szCs w:val="30"/>
          <w:lang w:val="en-US" w:eastAsia="zh-CN"/>
        </w:rPr>
        <w:t>12</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12</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盈江县太平镇中学</w:t>
      </w:r>
      <w:r>
        <w:rPr>
          <w:rFonts w:eastAsia="仿宋_GB2312"/>
          <w:kern w:val="0"/>
          <w:sz w:val="30"/>
          <w:szCs w:val="30"/>
        </w:rPr>
        <w:t>财务总收入</w:t>
      </w:r>
      <w:r>
        <w:rPr>
          <w:rFonts w:hint="eastAsia" w:eastAsia="仿宋_GB2312"/>
          <w:kern w:val="0"/>
          <w:sz w:val="30"/>
          <w:szCs w:val="30"/>
          <w:lang w:val="en-US" w:eastAsia="zh-CN"/>
        </w:rPr>
        <w:t>761.14</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761.14</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761.14</w:t>
      </w:r>
      <w:r>
        <w:rPr>
          <w:rFonts w:eastAsia="仿宋_GB2312"/>
          <w:kern w:val="0"/>
          <w:sz w:val="30"/>
          <w:szCs w:val="30"/>
        </w:rPr>
        <w:t>万元，其中:本年收入</w:t>
      </w:r>
      <w:r>
        <w:rPr>
          <w:rFonts w:hint="eastAsia" w:eastAsia="仿宋_GB2312"/>
          <w:kern w:val="0"/>
          <w:sz w:val="30"/>
          <w:szCs w:val="30"/>
          <w:lang w:val="en-US" w:eastAsia="zh-CN"/>
        </w:rPr>
        <w:t>761.14</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761.14</w:t>
      </w:r>
      <w:r>
        <w:rPr>
          <w:rFonts w:eastAsia="仿宋_GB2312"/>
          <w:kern w:val="0"/>
          <w:sz w:val="30"/>
          <w:szCs w:val="30"/>
        </w:rPr>
        <w:t>万元（本级财力</w:t>
      </w:r>
      <w:r>
        <w:rPr>
          <w:rFonts w:hint="eastAsia" w:eastAsia="仿宋_GB2312"/>
          <w:kern w:val="0"/>
          <w:sz w:val="30"/>
          <w:szCs w:val="30"/>
          <w:lang w:val="en-US" w:eastAsia="zh-CN"/>
        </w:rPr>
        <w:t>761.14</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761.14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761.14</w:t>
      </w:r>
      <w:r>
        <w:rPr>
          <w:rFonts w:eastAsia="仿宋_GB2312"/>
          <w:kern w:val="0"/>
          <w:sz w:val="30"/>
          <w:szCs w:val="30"/>
        </w:rPr>
        <w:t>万元，其中，基本支出</w:t>
      </w:r>
      <w:r>
        <w:rPr>
          <w:rFonts w:hint="eastAsia" w:eastAsia="仿宋_GB2312"/>
          <w:kern w:val="0"/>
          <w:sz w:val="30"/>
          <w:szCs w:val="30"/>
          <w:lang w:val="en-US" w:eastAsia="zh-CN"/>
        </w:rPr>
        <w:t>761.14</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lang w:val="en-US" w:eastAsia="zh-CN"/>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教育支出-普通教育-中学教育596.21万元，主要用于工资福利支出和日常学校运行运转。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“2080502”社会保障和就业支出-行政事业单位离退休-事业单位离退休0.72万元，主要用于离退休人员公用经费支出。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事业单位基本养老保险缴费支出99.1万元，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65.11</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kern w:val="0"/>
          <w:sz w:val="30"/>
          <w:szCs w:val="30"/>
        </w:rPr>
        <w:t xml:space="preserve"> </w:t>
      </w:r>
      <w:r>
        <w:rPr>
          <w:rFonts w:hint="eastAsia" w:ascii="仿宋_GB2312" w:hAnsi="仿宋_GB2312" w:eastAsia="仿宋_GB2312" w:cs="仿宋_GB2312"/>
          <w:color w:val="333333"/>
          <w:sz w:val="30"/>
          <w:szCs w:val="30"/>
          <w:shd w:val="clear" w:color="040000" w:fill="FFFFFF"/>
          <w:lang w:val="en-US" w:eastAsia="zh-CN"/>
        </w:rPr>
        <w:t>2050203初中教育596.21万元，其中:基本支出596.21万元，主要用于301工资福利支出593.33万元，302商品和服务支出2.88万元；项目支出0万元。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2080502事业单位离退休0.72万元，其中:基本支出0.72万元，主要用于302商品和服务支出0.72万元；项目支出0万元。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2080505机关事业单位基本养老保险缴费支出99.10万元，其中:基本支出99.10万元，主要用于301工资和福利支出99.10万元；项目支出0万元。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color w:val="333333"/>
          <w:sz w:val="30"/>
          <w:szCs w:val="30"/>
          <w:shd w:val="clear" w:color="040000" w:fill="FFFFFF"/>
          <w:lang w:val="en-US" w:eastAsia="zh-CN"/>
        </w:rPr>
        <w:t>2210201住房公积金65.11万元，其中:基本支出65.11万元，主要用于301工资和福利支出65.11万元；项目支出0万元。</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对下专项转移支付项目</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val="en-US" w:eastAsia="zh-CN"/>
        </w:rPr>
      </w:pPr>
      <w:r>
        <w:rPr>
          <w:rFonts w:hint="eastAsia" w:eastAsia="仿宋_GB2312"/>
          <w:kern w:val="0"/>
          <w:sz w:val="30"/>
          <w:szCs w:val="30"/>
          <w:lang w:val="en-US" w:eastAsia="zh-CN"/>
        </w:rPr>
        <w:t xml:space="preserve"> 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6"/>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太平镇中学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1.78</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0.78</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万元。与上年</w:t>
      </w:r>
      <w:r>
        <w:rPr>
          <w:rFonts w:hint="eastAsia" w:ascii="仿宋_GB2312" w:eastAsia="仿宋_GB2312"/>
          <w:kern w:val="0"/>
          <w:sz w:val="30"/>
          <w:szCs w:val="30"/>
          <w:lang w:eastAsia="zh-CN"/>
        </w:rPr>
        <w:t>“</w:t>
      </w:r>
      <w:r>
        <w:rPr>
          <w:rFonts w:hint="eastAsia" w:ascii="仿宋_GB2312" w:eastAsia="仿宋_GB2312"/>
          <w:kern w:val="0"/>
          <w:sz w:val="30"/>
          <w:szCs w:val="30"/>
        </w:rPr>
        <w:t>三公”经费预算数</w:t>
      </w:r>
      <w:r>
        <w:rPr>
          <w:rFonts w:hint="eastAsia" w:ascii="仿宋_GB2312" w:eastAsia="仿宋_GB2312"/>
          <w:kern w:val="0"/>
          <w:sz w:val="30"/>
          <w:szCs w:val="30"/>
          <w:lang w:val="en-US" w:eastAsia="zh-CN"/>
        </w:rPr>
        <w:t>1.78</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0.78</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0.78</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w:t>
      </w:r>
      <w:r>
        <w:rPr>
          <w:rFonts w:hint="eastAsia" w:ascii="仿宋_GB2312" w:eastAsia="仿宋_GB2312"/>
          <w:kern w:val="0"/>
          <w:sz w:val="30"/>
          <w:szCs w:val="30"/>
          <w:lang w:eastAsia="zh-CN"/>
        </w:rPr>
        <w:t>，</w:t>
      </w:r>
      <w:r>
        <w:rPr>
          <w:rFonts w:hint="eastAsia" w:ascii="仿宋_GB2312" w:eastAsia="仿宋_GB2312"/>
          <w:kern w:val="0"/>
          <w:sz w:val="30"/>
          <w:szCs w:val="30"/>
        </w:rPr>
        <w:t>其中:公务用车购置费0万元、公务用车运行费</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2019年部门预算收入761.14</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632.22万元</w:t>
      </w:r>
      <w:r>
        <w:rPr>
          <w:rFonts w:hint="eastAsia" w:ascii="仿宋_GB2312" w:hAnsi="仿宋_GB2312" w:eastAsia="仿宋_GB2312" w:cs="仿宋_GB2312"/>
          <w:kern w:val="0"/>
          <w:sz w:val="30"/>
          <w:szCs w:val="30"/>
          <w:lang w:eastAsia="zh-CN"/>
        </w:rPr>
        <w:t>增加</w:t>
      </w:r>
      <w:r>
        <w:rPr>
          <w:rFonts w:hint="eastAsia" w:ascii="仿宋_GB2312" w:hAnsi="仿宋_GB2312" w:eastAsia="仿宋_GB2312" w:cs="仿宋_GB2312"/>
          <w:kern w:val="0"/>
          <w:sz w:val="30"/>
          <w:szCs w:val="30"/>
          <w:lang w:val="en-US" w:eastAsia="zh-CN"/>
        </w:rPr>
        <w:t>128.92万元，增加20.39%。增加原因：调增人员工资。</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太平镇中学无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lang w:val="en-US" w:eastAsia="zh-CN"/>
        </w:rPr>
      </w:pPr>
      <w:r>
        <w:rPr>
          <w:rFonts w:hint="eastAsia" w:ascii="仿宋_GB2312" w:eastAsia="仿宋_GB2312"/>
          <w:kern w:val="0"/>
          <w:sz w:val="30"/>
          <w:szCs w:val="30"/>
          <w:lang w:val="en-US" w:eastAsia="zh-CN"/>
        </w:rPr>
        <w:t>无</w:t>
      </w:r>
    </w:p>
    <w:p>
      <w:pPr>
        <w:keepNext w:val="0"/>
        <w:keepLines w:val="0"/>
        <w:pageBreakBefore w:val="0"/>
        <w:widowControl/>
        <w:numPr>
          <w:ilvl w:val="0"/>
          <w:numId w:val="7"/>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7"/>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 xml:space="preserve"> 2019</w:t>
      </w:r>
      <w:r>
        <w:rPr>
          <w:rFonts w:eastAsia="仿宋_GB2312"/>
          <w:kern w:val="0"/>
          <w:sz w:val="30"/>
          <w:szCs w:val="30"/>
        </w:rPr>
        <w:t xml:space="preserve">年部门预算总支出 </w:t>
      </w:r>
      <w:r>
        <w:rPr>
          <w:rFonts w:hint="eastAsia" w:eastAsia="仿宋_GB2312"/>
          <w:kern w:val="0"/>
          <w:sz w:val="30"/>
          <w:szCs w:val="30"/>
          <w:lang w:val="en-US" w:eastAsia="zh-CN"/>
        </w:rPr>
        <w:t>761.14</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761.14</w:t>
      </w:r>
      <w:r>
        <w:rPr>
          <w:rFonts w:eastAsia="仿宋_GB2312"/>
          <w:kern w:val="0"/>
          <w:sz w:val="30"/>
          <w:szCs w:val="30"/>
        </w:rPr>
        <w:t>万元，其中，基本支出</w:t>
      </w:r>
      <w:r>
        <w:rPr>
          <w:rFonts w:hint="eastAsia" w:eastAsia="仿宋_GB2312"/>
          <w:kern w:val="0"/>
          <w:sz w:val="30"/>
          <w:szCs w:val="30"/>
          <w:lang w:val="en-US" w:eastAsia="zh-CN"/>
        </w:rPr>
        <w:t>761.14</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hint="eastAsia" w:ascii="仿宋_GB2312" w:eastAsia="仿宋_GB2312"/>
          <w:kern w:val="0"/>
          <w:sz w:val="30"/>
          <w:szCs w:val="30"/>
          <w:lang w:eastAsia="zh-CN"/>
        </w:rPr>
        <w:t>；</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8F99AF"/>
    <w:multiLevelType w:val="singleLevel"/>
    <w:tmpl w:val="838F99AF"/>
    <w:lvl w:ilvl="0" w:tentative="0">
      <w:start w:val="1"/>
      <w:numFmt w:val="decimal"/>
      <w:suff w:val="space"/>
      <w:lvlText w:val="(%1)"/>
      <w:lvlJc w:val="left"/>
    </w:lvl>
  </w:abstractNum>
  <w:abstractNum w:abstractNumId="1">
    <w:nsid w:val="5C3DA9B9"/>
    <w:multiLevelType w:val="singleLevel"/>
    <w:tmpl w:val="5C3DA9B9"/>
    <w:lvl w:ilvl="0" w:tentative="0">
      <w:start w:val="3"/>
      <w:numFmt w:val="chineseCounting"/>
      <w:suff w:val="nothing"/>
      <w:lvlText w:val="（%1）"/>
      <w:lvlJc w:val="left"/>
    </w:lvl>
  </w:abstractNum>
  <w:abstractNum w:abstractNumId="2">
    <w:nsid w:val="5C47BA42"/>
    <w:multiLevelType w:val="singleLevel"/>
    <w:tmpl w:val="5C47BA42"/>
    <w:lvl w:ilvl="0" w:tentative="0">
      <w:start w:val="2"/>
      <w:numFmt w:val="chineseCounting"/>
      <w:suff w:val="nothing"/>
      <w:lvlText w:val="（%1）"/>
      <w:lvlJc w:val="left"/>
    </w:lvl>
  </w:abstractNum>
  <w:abstractNum w:abstractNumId="3">
    <w:nsid w:val="5C47DBBF"/>
    <w:multiLevelType w:val="singleLevel"/>
    <w:tmpl w:val="5C47DBBF"/>
    <w:lvl w:ilvl="0" w:tentative="0">
      <w:start w:val="4"/>
      <w:numFmt w:val="chineseCounting"/>
      <w:suff w:val="nothing"/>
      <w:lvlText w:val="%1、"/>
      <w:lvlJc w:val="left"/>
    </w:lvl>
  </w:abstractNum>
  <w:abstractNum w:abstractNumId="4">
    <w:nsid w:val="5C47DC0A"/>
    <w:multiLevelType w:val="singleLevel"/>
    <w:tmpl w:val="5C47DC0A"/>
    <w:lvl w:ilvl="0" w:tentative="0">
      <w:start w:val="5"/>
      <w:numFmt w:val="chineseCounting"/>
      <w:suff w:val="nothing"/>
      <w:lvlText w:val="%1、"/>
      <w:lvlJc w:val="left"/>
    </w:lvl>
  </w:abstractNum>
  <w:abstractNum w:abstractNumId="5">
    <w:nsid w:val="5CB6EB83"/>
    <w:multiLevelType w:val="singleLevel"/>
    <w:tmpl w:val="5CB6EB83"/>
    <w:lvl w:ilvl="0" w:tentative="0">
      <w:start w:val="1"/>
      <w:numFmt w:val="chineseCounting"/>
      <w:suff w:val="nothing"/>
      <w:lvlText w:val="（%1）"/>
      <w:lvlJc w:val="left"/>
    </w:lvl>
  </w:abstractNum>
  <w:abstractNum w:abstractNumId="6">
    <w:nsid w:val="5CC00B8C"/>
    <w:multiLevelType w:val="singleLevel"/>
    <w:tmpl w:val="5CC00B8C"/>
    <w:lvl w:ilvl="0" w:tentative="0">
      <w:start w:val="3"/>
      <w:numFmt w:val="chineseCounting"/>
      <w:suff w:val="nothing"/>
      <w:lvlText w:val="（%1）"/>
      <w:lvlJc w:val="left"/>
    </w:lvl>
  </w:abstractNum>
  <w:num w:numId="1">
    <w:abstractNumId w:val="6"/>
  </w:num>
  <w:num w:numId="2">
    <w:abstractNumId w:val="0"/>
  </w:num>
  <w:num w:numId="3">
    <w:abstractNumId w:val="3"/>
  </w:num>
  <w:num w:numId="4">
    <w:abstractNumId w:val="2"/>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4D0A7F"/>
    <w:rsid w:val="019E586C"/>
    <w:rsid w:val="025737A0"/>
    <w:rsid w:val="027E6BF2"/>
    <w:rsid w:val="03CD50E7"/>
    <w:rsid w:val="03F0214E"/>
    <w:rsid w:val="040A3FBD"/>
    <w:rsid w:val="048C268B"/>
    <w:rsid w:val="04CF1775"/>
    <w:rsid w:val="05616F12"/>
    <w:rsid w:val="06325B44"/>
    <w:rsid w:val="06E43398"/>
    <w:rsid w:val="07CA4089"/>
    <w:rsid w:val="084A3CB5"/>
    <w:rsid w:val="0A2930D6"/>
    <w:rsid w:val="0AB77A2F"/>
    <w:rsid w:val="0B7852AC"/>
    <w:rsid w:val="0E8C7EBD"/>
    <w:rsid w:val="0F917B52"/>
    <w:rsid w:val="104C1017"/>
    <w:rsid w:val="114E4D4B"/>
    <w:rsid w:val="13F52A67"/>
    <w:rsid w:val="14594CAF"/>
    <w:rsid w:val="163608B0"/>
    <w:rsid w:val="16C85A74"/>
    <w:rsid w:val="18103DD0"/>
    <w:rsid w:val="19A77E4D"/>
    <w:rsid w:val="1A0B3DDD"/>
    <w:rsid w:val="1A537DF2"/>
    <w:rsid w:val="1A685806"/>
    <w:rsid w:val="1B2A5B22"/>
    <w:rsid w:val="1D883593"/>
    <w:rsid w:val="1F9B1ACE"/>
    <w:rsid w:val="207165AF"/>
    <w:rsid w:val="209D2413"/>
    <w:rsid w:val="20A43186"/>
    <w:rsid w:val="221B41B2"/>
    <w:rsid w:val="23293A4E"/>
    <w:rsid w:val="23C6578F"/>
    <w:rsid w:val="242E2599"/>
    <w:rsid w:val="25111A52"/>
    <w:rsid w:val="252035D8"/>
    <w:rsid w:val="25783B09"/>
    <w:rsid w:val="26BF2FF3"/>
    <w:rsid w:val="27DA7CB2"/>
    <w:rsid w:val="27E3128E"/>
    <w:rsid w:val="28D26D48"/>
    <w:rsid w:val="28ED429B"/>
    <w:rsid w:val="29895E37"/>
    <w:rsid w:val="29F4749C"/>
    <w:rsid w:val="2B1F30A0"/>
    <w:rsid w:val="2B696D85"/>
    <w:rsid w:val="2CE25A78"/>
    <w:rsid w:val="2D7B7E3A"/>
    <w:rsid w:val="2DA75286"/>
    <w:rsid w:val="2FD25EA1"/>
    <w:rsid w:val="316F30A1"/>
    <w:rsid w:val="33233469"/>
    <w:rsid w:val="337555BF"/>
    <w:rsid w:val="33E37726"/>
    <w:rsid w:val="34E94374"/>
    <w:rsid w:val="35282C07"/>
    <w:rsid w:val="35D34E51"/>
    <w:rsid w:val="369B6FF2"/>
    <w:rsid w:val="36B27D99"/>
    <w:rsid w:val="384741CD"/>
    <w:rsid w:val="39466C4F"/>
    <w:rsid w:val="39BF048F"/>
    <w:rsid w:val="3A8C77EA"/>
    <w:rsid w:val="3CC32D4E"/>
    <w:rsid w:val="40A450FF"/>
    <w:rsid w:val="43131F13"/>
    <w:rsid w:val="43C35C3E"/>
    <w:rsid w:val="45166B3A"/>
    <w:rsid w:val="45FB61C0"/>
    <w:rsid w:val="46D61E29"/>
    <w:rsid w:val="4A940EA9"/>
    <w:rsid w:val="4AEC11CE"/>
    <w:rsid w:val="4E476792"/>
    <w:rsid w:val="4FC334A8"/>
    <w:rsid w:val="515A348C"/>
    <w:rsid w:val="52BD1BFC"/>
    <w:rsid w:val="53675FA8"/>
    <w:rsid w:val="53CA5153"/>
    <w:rsid w:val="54376E0C"/>
    <w:rsid w:val="564C72BA"/>
    <w:rsid w:val="5825043B"/>
    <w:rsid w:val="5825432A"/>
    <w:rsid w:val="58310B0B"/>
    <w:rsid w:val="5AB4032D"/>
    <w:rsid w:val="5D2D08B2"/>
    <w:rsid w:val="5E2C7531"/>
    <w:rsid w:val="5E6A5D3C"/>
    <w:rsid w:val="5E7D384C"/>
    <w:rsid w:val="6077766D"/>
    <w:rsid w:val="62ED152F"/>
    <w:rsid w:val="63C978BE"/>
    <w:rsid w:val="65756AF5"/>
    <w:rsid w:val="658D71E4"/>
    <w:rsid w:val="67D95CA6"/>
    <w:rsid w:val="67DD5DBE"/>
    <w:rsid w:val="68C77134"/>
    <w:rsid w:val="6A0D3E68"/>
    <w:rsid w:val="6A8C3BB7"/>
    <w:rsid w:val="6BFF0200"/>
    <w:rsid w:val="6CAC668F"/>
    <w:rsid w:val="6DA47EEE"/>
    <w:rsid w:val="6E5E0250"/>
    <w:rsid w:val="6FCD3E36"/>
    <w:rsid w:val="70852CEE"/>
    <w:rsid w:val="723C5372"/>
    <w:rsid w:val="724A4A01"/>
    <w:rsid w:val="72F37DB5"/>
    <w:rsid w:val="73AA1E70"/>
    <w:rsid w:val="74E036D3"/>
    <w:rsid w:val="750555D9"/>
    <w:rsid w:val="75F37398"/>
    <w:rsid w:val="764145A2"/>
    <w:rsid w:val="77303288"/>
    <w:rsid w:val="7941023E"/>
    <w:rsid w:val="79910928"/>
    <w:rsid w:val="7B1E5394"/>
    <w:rsid w:val="7EBB41C0"/>
    <w:rsid w:val="7EE1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42</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2024-07-24T08:25:38Z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BFAF6DC44B744F21B6E404A2CA35F90A</vt:lpwstr>
  </property>
</Properties>
</file>