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36"/>
          <w:szCs w:val="36"/>
        </w:rPr>
      </w:pPr>
      <w:bookmarkStart w:id="0" w:name="_GoBack"/>
      <w:r>
        <w:rPr>
          <w:rFonts w:hint="eastAsia" w:ascii="方正小标宋简体" w:hAnsi="方正小标宋简体" w:eastAsia="方正小标宋简体" w:cs="方正小标宋简体"/>
          <w:sz w:val="36"/>
          <w:szCs w:val="36"/>
        </w:rPr>
        <w:t>盈江县铜壁关乡中心学校2019年部门</w:t>
      </w:r>
    </w:p>
    <w:p>
      <w:pPr>
        <w:jc w:val="center"/>
        <w:rPr>
          <w:rFonts w:ascii="方正小标宋简体" w:eastAsia="方正小标宋简体"/>
          <w:sz w:val="36"/>
          <w:szCs w:val="36"/>
        </w:rPr>
      </w:pPr>
      <w:r>
        <w:rPr>
          <w:rFonts w:hint="eastAsia" w:ascii="方正小标宋简体" w:hAnsi="方正小标宋简体" w:eastAsia="方正小标宋简体" w:cs="方正小标宋简体"/>
          <w:sz w:val="36"/>
          <w:szCs w:val="36"/>
        </w:rPr>
        <w:t>预算公开</w:t>
      </w:r>
      <w:r>
        <w:rPr>
          <w:rFonts w:hint="eastAsia" w:ascii="方正小标宋简体" w:eastAsia="方正小标宋简体"/>
          <w:sz w:val="36"/>
          <w:szCs w:val="36"/>
        </w:rPr>
        <w:t>目录</w:t>
      </w:r>
    </w:p>
    <w:p>
      <w:pPr>
        <w:jc w:val="left"/>
        <w:rPr>
          <w:rFonts w:ascii="黑体" w:hAnsi="黑体" w:eastAsia="黑体"/>
          <w:sz w:val="30"/>
          <w:szCs w:val="30"/>
        </w:rPr>
      </w:pPr>
    </w:p>
    <w:p>
      <w:pPr>
        <w:jc w:val="left"/>
        <w:rPr>
          <w:rFonts w:ascii="黑体" w:hAnsi="黑体" w:eastAsia="黑体"/>
          <w:sz w:val="30"/>
          <w:szCs w:val="30"/>
        </w:rPr>
      </w:pPr>
      <w:r>
        <w:rPr>
          <w:rFonts w:hint="eastAsia" w:ascii="黑体" w:hAnsi="黑体" w:eastAsia="黑体"/>
          <w:sz w:val="30"/>
          <w:szCs w:val="30"/>
        </w:rPr>
        <w:t>第一部分 盈江县铜壁关乡中心学校2019年部门预算编制说明</w:t>
      </w:r>
    </w:p>
    <w:p>
      <w:pPr>
        <w:jc w:val="left"/>
        <w:rPr>
          <w:rFonts w:ascii="黑体" w:hAnsi="黑体" w:eastAsia="黑体"/>
          <w:sz w:val="30"/>
          <w:szCs w:val="30"/>
        </w:rPr>
      </w:pPr>
      <w:r>
        <w:rPr>
          <w:rFonts w:hint="eastAsia" w:ascii="黑体" w:hAnsi="黑体" w:eastAsia="黑体"/>
          <w:sz w:val="30"/>
          <w:szCs w:val="30"/>
        </w:rPr>
        <w:t>第二部分 盈江县铜壁关乡中心学校2019年部门预算表</w:t>
      </w:r>
    </w:p>
    <w:p>
      <w:pPr>
        <w:jc w:val="left"/>
        <w:rPr>
          <w:rFonts w:eastAsia="仿宋_GB2312"/>
          <w:sz w:val="30"/>
          <w:szCs w:val="30"/>
        </w:rPr>
      </w:pPr>
      <w:r>
        <w:rPr>
          <w:rFonts w:hint="eastAsia" w:eastAsia="仿宋_GB2312"/>
          <w:sz w:val="30"/>
          <w:szCs w:val="30"/>
        </w:rPr>
        <w:t>一、部门财务收支总体情况表</w:t>
      </w:r>
    </w:p>
    <w:p>
      <w:pPr>
        <w:jc w:val="left"/>
        <w:rPr>
          <w:rFonts w:eastAsia="仿宋_GB2312"/>
          <w:sz w:val="30"/>
          <w:szCs w:val="30"/>
        </w:rPr>
      </w:pPr>
      <w:r>
        <w:rPr>
          <w:rFonts w:hint="eastAsia" w:eastAsia="仿宋_GB2312"/>
          <w:sz w:val="30"/>
          <w:szCs w:val="30"/>
        </w:rPr>
        <w:t>二、部门收入总体情况表</w:t>
      </w:r>
    </w:p>
    <w:p>
      <w:pPr>
        <w:jc w:val="left"/>
        <w:rPr>
          <w:rFonts w:eastAsia="仿宋_GB2312"/>
          <w:sz w:val="30"/>
          <w:szCs w:val="30"/>
        </w:rPr>
      </w:pPr>
      <w:r>
        <w:rPr>
          <w:rFonts w:hint="eastAsia" w:eastAsia="仿宋_GB2312"/>
          <w:sz w:val="30"/>
          <w:szCs w:val="30"/>
        </w:rPr>
        <w:t>三、部门支出总体情况表</w:t>
      </w:r>
    </w:p>
    <w:p>
      <w:pPr>
        <w:jc w:val="left"/>
        <w:rPr>
          <w:rFonts w:eastAsia="仿宋_GB2312"/>
          <w:sz w:val="30"/>
          <w:szCs w:val="30"/>
        </w:rPr>
      </w:pPr>
      <w:r>
        <w:rPr>
          <w:rFonts w:hint="eastAsia" w:eastAsia="仿宋_GB2312"/>
          <w:sz w:val="30"/>
          <w:szCs w:val="30"/>
        </w:rPr>
        <w:t>四、部门财政拨款收支总体情况表</w:t>
      </w:r>
    </w:p>
    <w:p>
      <w:pPr>
        <w:jc w:val="left"/>
        <w:rPr>
          <w:rFonts w:eastAsia="仿宋_GB2312"/>
          <w:sz w:val="30"/>
          <w:szCs w:val="30"/>
        </w:rPr>
      </w:pPr>
      <w:r>
        <w:rPr>
          <w:rFonts w:hint="eastAsia" w:eastAsia="仿宋_GB2312"/>
          <w:sz w:val="30"/>
          <w:szCs w:val="30"/>
        </w:rPr>
        <w:t>五、部门一般公共预算本级财力安排支出情况表</w:t>
      </w:r>
    </w:p>
    <w:p>
      <w:pPr>
        <w:jc w:val="left"/>
        <w:rPr>
          <w:rFonts w:eastAsia="仿宋_GB2312"/>
          <w:sz w:val="30"/>
          <w:szCs w:val="30"/>
        </w:rPr>
      </w:pPr>
      <w:r>
        <w:rPr>
          <w:rFonts w:hint="eastAsia" w:eastAsia="仿宋_GB2312"/>
          <w:sz w:val="30"/>
          <w:szCs w:val="30"/>
        </w:rPr>
        <w:t>六、部门基本支出情况表</w:t>
      </w:r>
    </w:p>
    <w:p>
      <w:pPr>
        <w:jc w:val="left"/>
        <w:rPr>
          <w:rFonts w:eastAsia="仿宋_GB2312"/>
          <w:sz w:val="30"/>
          <w:szCs w:val="30"/>
        </w:rPr>
      </w:pPr>
      <w:r>
        <w:rPr>
          <w:rFonts w:hint="eastAsia" w:eastAsia="仿宋_GB2312"/>
          <w:sz w:val="30"/>
          <w:szCs w:val="30"/>
        </w:rPr>
        <w:t>七、部门政府性基金预算支出情况表</w:t>
      </w:r>
    </w:p>
    <w:p>
      <w:pPr>
        <w:jc w:val="left"/>
        <w:rPr>
          <w:rFonts w:eastAsia="仿宋_GB2312"/>
          <w:sz w:val="30"/>
          <w:szCs w:val="30"/>
        </w:rPr>
      </w:pPr>
      <w:r>
        <w:rPr>
          <w:rFonts w:hint="eastAsia" w:eastAsia="仿宋_GB2312"/>
          <w:sz w:val="30"/>
          <w:szCs w:val="30"/>
        </w:rPr>
        <w:t>八、财政拨款支出明细表（按经济科目分类）</w:t>
      </w:r>
    </w:p>
    <w:p>
      <w:pPr>
        <w:jc w:val="left"/>
        <w:rPr>
          <w:rFonts w:eastAsia="仿宋_GB2312"/>
          <w:sz w:val="30"/>
          <w:szCs w:val="30"/>
        </w:rPr>
      </w:pPr>
      <w:r>
        <w:rPr>
          <w:rFonts w:hint="eastAsia" w:eastAsia="仿宋_GB2312"/>
          <w:sz w:val="30"/>
          <w:szCs w:val="30"/>
        </w:rPr>
        <w:t>九、部门一般公共预算“三公”经费支出情况表</w:t>
      </w:r>
    </w:p>
    <w:p>
      <w:pPr>
        <w:jc w:val="left"/>
        <w:rPr>
          <w:rFonts w:eastAsia="仿宋_GB2312"/>
          <w:sz w:val="30"/>
          <w:szCs w:val="30"/>
        </w:rPr>
      </w:pPr>
      <w:r>
        <w:rPr>
          <w:rFonts w:hint="eastAsia" w:eastAsia="仿宋_GB2312"/>
          <w:sz w:val="30"/>
          <w:szCs w:val="30"/>
        </w:rPr>
        <w:t>十、县本级项目支出绩效目标表（本次下达）</w:t>
      </w:r>
    </w:p>
    <w:p>
      <w:pPr>
        <w:jc w:val="left"/>
        <w:rPr>
          <w:rFonts w:eastAsia="仿宋_GB2312"/>
          <w:sz w:val="30"/>
          <w:szCs w:val="30"/>
        </w:rPr>
      </w:pPr>
      <w:r>
        <w:rPr>
          <w:rFonts w:hint="eastAsia" w:eastAsia="仿宋_GB2312"/>
          <w:sz w:val="30"/>
          <w:szCs w:val="30"/>
        </w:rPr>
        <w:t>十一、县本级项目支出绩效目标表（另文下达）</w:t>
      </w:r>
    </w:p>
    <w:p>
      <w:pPr>
        <w:jc w:val="left"/>
        <w:rPr>
          <w:rFonts w:eastAsia="仿宋_GB2312"/>
          <w:sz w:val="30"/>
          <w:szCs w:val="30"/>
        </w:rPr>
      </w:pPr>
      <w:r>
        <w:rPr>
          <w:rFonts w:hint="eastAsia" w:eastAsia="仿宋_GB2312"/>
          <w:sz w:val="30"/>
          <w:szCs w:val="30"/>
        </w:rPr>
        <w:t>十二、县对下转移支付绩效目标表</w:t>
      </w:r>
    </w:p>
    <w:p>
      <w:pPr>
        <w:jc w:val="left"/>
        <w:rPr>
          <w:rFonts w:eastAsia="仿宋_GB2312"/>
          <w:sz w:val="30"/>
          <w:szCs w:val="30"/>
        </w:rPr>
      </w:pPr>
      <w:r>
        <w:rPr>
          <w:rFonts w:hint="eastAsia" w:eastAsia="仿宋_GB2312"/>
          <w:sz w:val="30"/>
          <w:szCs w:val="30"/>
        </w:rPr>
        <w:t>十三、部门政府采购情况表</w:t>
      </w:r>
    </w:p>
    <w:p>
      <w:pPr>
        <w:jc w:val="left"/>
        <w:rPr>
          <w:rFonts w:eastAsia="仿宋_GB2312"/>
          <w:sz w:val="30"/>
          <w:szCs w:val="30"/>
        </w:rPr>
      </w:pPr>
    </w:p>
    <w:p>
      <w:pPr>
        <w:widowControl/>
        <w:rPr>
          <w:rFonts w:ascii="方正小标宋简体" w:eastAsia="方正小标宋简体"/>
          <w:kern w:val="0"/>
          <w:sz w:val="36"/>
          <w:szCs w:val="36"/>
        </w:rPr>
      </w:pPr>
      <w:r>
        <w:rPr>
          <w:rFonts w:hint="eastAsia" w:ascii="方正小标宋简体" w:eastAsia="方正小标宋简体"/>
          <w:kern w:val="0"/>
          <w:sz w:val="36"/>
          <w:szCs w:val="36"/>
        </w:rPr>
        <w:t>盈江县铜壁关乡中心学校2019年部门预算编制说明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江县财政局关于盈江县铜壁关乡中心学校2019年部门预算的批复》（盈财预分指〔2019〕32号），按照预算管理的相关规定，盈江县铜壁关乡中心学校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特</w:t>
      </w:r>
      <w:r>
        <w:rPr>
          <w:rFonts w:hint="eastAsia" w:ascii="仿宋_GB2312" w:hAnsi="仿宋_GB2312" w:eastAsia="仿宋_GB2312" w:cs="仿宋_GB2312"/>
          <w:kern w:val="0"/>
          <w:sz w:val="30"/>
          <w:szCs w:val="30"/>
          <w:lang w:eastAsia="zh-CN"/>
        </w:rPr>
        <w:t>殊</w:t>
      </w:r>
      <w:r>
        <w:rPr>
          <w:rFonts w:hint="eastAsia" w:ascii="仿宋_GB2312" w:hAnsi="仿宋_GB2312" w:eastAsia="仿宋_GB2312" w:cs="仿宋_GB2312"/>
          <w:kern w:val="0"/>
          <w:sz w:val="30"/>
          <w:szCs w:val="30"/>
        </w:rPr>
        <w:t>教育发展，高度重视民族教育，规范发展民办教育，加强教育合作与交流。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FF0000"/>
          <w:kern w:val="0"/>
          <w:sz w:val="30"/>
          <w:szCs w:val="30"/>
        </w:rPr>
      </w:pPr>
      <w:r>
        <w:rPr>
          <w:rFonts w:hint="eastAsia" w:ascii="楷体_GB2312" w:eastAsia="楷体_GB2312"/>
          <w:kern w:val="0"/>
          <w:sz w:val="30"/>
          <w:szCs w:val="30"/>
        </w:rPr>
        <w:t>（二）</w:t>
      </w:r>
      <w:r>
        <w:rPr>
          <w:rFonts w:hint="eastAsia" w:ascii="楷体_GB2312" w:eastAsia="楷体_GB2312"/>
          <w:color w:val="auto"/>
          <w:kern w:val="0"/>
          <w:sz w:val="30"/>
          <w:szCs w:val="30"/>
        </w:rPr>
        <w:t>机构设置情况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宋体" w:eastAsia="仿宋_GB2312" w:cs="宋体"/>
          <w:sz w:val="30"/>
          <w:szCs w:val="30"/>
        </w:rPr>
      </w:pPr>
      <w:r>
        <w:rPr>
          <w:rFonts w:hint="eastAsia" w:ascii="仿宋_GB2312" w:hAnsi="仿宋_GB2312" w:eastAsia="仿宋_GB2312" w:cs="仿宋_GB2312"/>
          <w:kern w:val="0"/>
          <w:sz w:val="30"/>
          <w:szCs w:val="30"/>
        </w:rPr>
        <w:t>盈江县铜壁关乡中心学校设置5</w:t>
      </w:r>
      <w:r>
        <w:rPr>
          <w:rFonts w:hint="eastAsia" w:ascii="仿宋_GB2312" w:hAnsi="宋体" w:eastAsia="仿宋_GB2312" w:cs="宋体"/>
          <w:sz w:val="30"/>
          <w:szCs w:val="30"/>
        </w:rPr>
        <w:t>个科室：办公室、教务处、德育处、总务处、教科室。</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color w:val="FF0000"/>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w:t>
      </w:r>
      <w:r>
        <w:rPr>
          <w:rFonts w:ascii="楷体_GB2312" w:eastAsia="楷体_GB2312"/>
          <w:color w:val="auto"/>
          <w:kern w:val="0"/>
          <w:sz w:val="30"/>
          <w:szCs w:val="30"/>
        </w:rPr>
        <w:t>重点工作概述</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outlineLvl w:val="9"/>
        <w:rPr>
          <w:rFonts w:hint="eastAsia" w:ascii="仿宋_GB2312" w:hAnsi="仿宋" w:eastAsia="仿宋_GB2312" w:cs="宋体"/>
          <w:bCs/>
          <w:color w:val="000000"/>
          <w:sz w:val="30"/>
          <w:szCs w:val="30"/>
        </w:rPr>
      </w:pPr>
      <w:r>
        <w:rPr>
          <w:rFonts w:hint="eastAsia" w:ascii="仿宋_GB2312" w:hAnsi="仿宋" w:eastAsia="仿宋_GB2312" w:cs="宋体"/>
          <w:bCs/>
          <w:color w:val="000000"/>
          <w:sz w:val="30"/>
          <w:szCs w:val="30"/>
        </w:rPr>
        <w:t xml:space="preserve">1、加强科学管理，实施民主理校； </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outlineLvl w:val="9"/>
        <w:rPr>
          <w:rFonts w:hint="eastAsia" w:ascii="仿宋_GB2312" w:hAnsi="仿宋" w:eastAsia="仿宋_GB2312" w:cs="宋体"/>
          <w:color w:val="000000"/>
          <w:sz w:val="30"/>
          <w:szCs w:val="30"/>
        </w:rPr>
      </w:pPr>
      <w:r>
        <w:rPr>
          <w:rFonts w:hint="eastAsia" w:ascii="仿宋_GB2312" w:hAnsi="仿宋" w:eastAsia="仿宋_GB2312" w:cs="宋体"/>
          <w:color w:val="000000"/>
          <w:sz w:val="30"/>
          <w:szCs w:val="30"/>
        </w:rPr>
        <w:t>2、</w:t>
      </w:r>
      <w:r>
        <w:rPr>
          <w:rFonts w:hint="eastAsia" w:ascii="仿宋_GB2312" w:hAnsi="仿宋" w:eastAsia="仿宋_GB2312" w:cs="宋体"/>
          <w:bCs/>
          <w:color w:val="000000"/>
          <w:sz w:val="30"/>
          <w:szCs w:val="30"/>
        </w:rPr>
        <w:t xml:space="preserve">强化队伍建设，转变工作作风； </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outlineLvl w:val="9"/>
        <w:rPr>
          <w:rFonts w:hint="eastAsia" w:ascii="仿宋_GB2312" w:hAnsi="仿宋" w:eastAsia="仿宋_GB2312" w:cs="宋体"/>
          <w:bCs/>
          <w:color w:val="000000"/>
          <w:sz w:val="30"/>
          <w:szCs w:val="30"/>
        </w:rPr>
      </w:pPr>
      <w:r>
        <w:rPr>
          <w:rFonts w:hint="eastAsia" w:ascii="仿宋_GB2312" w:hAnsi="仿宋" w:eastAsia="仿宋_GB2312" w:cs="宋体"/>
          <w:bCs/>
          <w:color w:val="000000"/>
          <w:sz w:val="30"/>
          <w:szCs w:val="30"/>
        </w:rPr>
        <w:t xml:space="preserve">3、深化常规管理，抓实校本教研，提高教育教学质量，引领教师专业发展； </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outlineLvl w:val="9"/>
        <w:rPr>
          <w:rFonts w:hint="eastAsia" w:ascii="仿宋_GB2312" w:hAnsi="仿宋" w:eastAsia="仿宋_GB2312" w:cs="宋体"/>
          <w:color w:val="000000"/>
          <w:sz w:val="30"/>
          <w:szCs w:val="30"/>
          <w:shd w:val="clear" w:color="auto" w:fill="FFFFFF"/>
        </w:rPr>
      </w:pPr>
      <w:r>
        <w:rPr>
          <w:rFonts w:hint="eastAsia" w:ascii="仿宋_GB2312" w:hAnsi="仿宋" w:eastAsia="仿宋_GB2312" w:cs="宋体"/>
          <w:bCs/>
          <w:color w:val="000000"/>
          <w:sz w:val="30"/>
          <w:szCs w:val="30"/>
        </w:rPr>
        <w:t xml:space="preserve">4、创新德育形式，增强学校立德树人实效； </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outlineLvl w:val="9"/>
        <w:rPr>
          <w:rFonts w:hint="eastAsia" w:ascii="仿宋_GB2312" w:hAnsi="仿宋" w:eastAsia="仿宋_GB2312" w:cs="宋体"/>
          <w:bCs/>
          <w:color w:val="000000"/>
          <w:sz w:val="30"/>
          <w:szCs w:val="30"/>
        </w:rPr>
      </w:pPr>
      <w:r>
        <w:rPr>
          <w:rFonts w:hint="eastAsia" w:ascii="仿宋_GB2312" w:hAnsi="仿宋" w:eastAsia="仿宋_GB2312" w:cs="宋体"/>
          <w:bCs/>
          <w:color w:val="000000"/>
          <w:sz w:val="30"/>
          <w:szCs w:val="30"/>
        </w:rPr>
        <w:t xml:space="preserve">5、落实安全责任，积极打造“平安校园”； </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outlineLvl w:val="9"/>
        <w:rPr>
          <w:rFonts w:hint="eastAsia" w:ascii="仿宋_GB2312" w:hAnsi="仿宋" w:eastAsia="仿宋_GB2312" w:cs="宋体"/>
          <w:bCs/>
          <w:color w:val="000000"/>
          <w:sz w:val="30"/>
          <w:szCs w:val="30"/>
        </w:rPr>
      </w:pPr>
      <w:r>
        <w:rPr>
          <w:rFonts w:hint="eastAsia" w:ascii="仿宋_GB2312" w:hAnsi="仿宋" w:eastAsia="仿宋_GB2312" w:cs="宋体"/>
          <w:bCs/>
          <w:color w:val="000000"/>
          <w:sz w:val="30"/>
          <w:szCs w:val="30"/>
        </w:rPr>
        <w:t>6、推进党风师德师风建设，促进学校和谐发展 ；</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outlineLvl w:val="9"/>
        <w:rPr>
          <w:rFonts w:hint="eastAsia" w:ascii="仿宋_GB2312" w:hAnsi="仿宋" w:eastAsia="仿宋_GB2312"/>
          <w:bCs/>
          <w:sz w:val="30"/>
          <w:szCs w:val="30"/>
        </w:rPr>
      </w:pPr>
      <w:r>
        <w:rPr>
          <w:rFonts w:hint="eastAsia" w:ascii="仿宋_GB2312" w:hAnsi="仿宋" w:eastAsia="仿宋_GB2312"/>
          <w:bCs/>
          <w:sz w:val="30"/>
          <w:szCs w:val="30"/>
        </w:rPr>
        <w:t>7、以优质均衡发展为目标，全面改善办学条件</w:t>
      </w:r>
      <w:r>
        <w:rPr>
          <w:rFonts w:hint="eastAsia" w:ascii="仿宋_GB2312" w:hAnsi="仿宋" w:eastAsia="仿宋_GB2312" w:cs="方正楷体_GBK"/>
          <w:bCs/>
          <w:sz w:val="30"/>
          <w:szCs w:val="30"/>
        </w:rPr>
        <w:t>和提升</w:t>
      </w:r>
      <w:r>
        <w:rPr>
          <w:rFonts w:hint="eastAsia" w:ascii="仿宋_GB2312" w:hAnsi="仿宋" w:eastAsia="仿宋_GB2312"/>
          <w:bCs/>
          <w:sz w:val="30"/>
          <w:szCs w:val="30"/>
        </w:rPr>
        <w:t xml:space="preserve">学校管理水平； </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outlineLvl w:val="9"/>
        <w:rPr>
          <w:rFonts w:hint="eastAsia" w:ascii="仿宋_GB2312" w:hAnsi="仿宋" w:eastAsia="仿宋_GB2312"/>
          <w:sz w:val="30"/>
          <w:szCs w:val="30"/>
        </w:rPr>
      </w:pPr>
      <w:r>
        <w:rPr>
          <w:rFonts w:hint="eastAsia" w:ascii="仿宋_GB2312" w:hAnsi="仿宋" w:eastAsia="仿宋_GB2312"/>
          <w:bCs/>
          <w:sz w:val="30"/>
          <w:szCs w:val="30"/>
        </w:rPr>
        <w:t>8、以智力扶贫为抓手，抓好教育扶贫工作</w:t>
      </w:r>
      <w:r>
        <w:rPr>
          <w:rFonts w:hint="eastAsia" w:ascii="仿宋_GB2312" w:hAnsi="仿宋" w:eastAsia="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我单位编制2019年部门预算单位共1个。其中：财政全供给单位1个；部分供给单位0个；特殊供给单位0个；自收自支单位0个。财政全供给单位中行政单位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个；事业单位1个；非参公管理事业单位0个。截止2018年11月统计，部门基本情况如下：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在职人员编制38人，其中：行政编制 0人，事业编制38人。在职实有38人，其中： 财政全供养 38人，财政部分供养0人，非财政供养0人。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离退休人员24人，其中： 离休0 人，退休24人。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车辆编制1辆，实有车辆1辆。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rPr>
        <w:t>2019</w:t>
      </w:r>
      <w:r>
        <w:rPr>
          <w:rFonts w:eastAsia="仿宋_GB2312"/>
          <w:kern w:val="0"/>
          <w:sz w:val="30"/>
          <w:szCs w:val="30"/>
        </w:rPr>
        <w:t>年</w:t>
      </w:r>
      <w:r>
        <w:rPr>
          <w:rFonts w:hint="eastAsia" w:ascii="仿宋_GB2312" w:hAnsi="仿宋_GB2312" w:eastAsia="仿宋_GB2312" w:cs="仿宋_GB2312"/>
          <w:kern w:val="0"/>
          <w:sz w:val="30"/>
          <w:szCs w:val="30"/>
        </w:rPr>
        <w:t>盈江县铜壁关乡中心学校</w:t>
      </w:r>
      <w:r>
        <w:rPr>
          <w:rFonts w:hint="eastAsia" w:eastAsia="仿宋_GB2312"/>
          <w:kern w:val="0"/>
          <w:sz w:val="30"/>
          <w:szCs w:val="30"/>
        </w:rPr>
        <w:t>校</w:t>
      </w:r>
      <w:r>
        <w:rPr>
          <w:rFonts w:eastAsia="仿宋_GB2312"/>
          <w:kern w:val="0"/>
          <w:sz w:val="30"/>
          <w:szCs w:val="30"/>
        </w:rPr>
        <w:t>财务总收入</w:t>
      </w:r>
      <w:r>
        <w:rPr>
          <w:rFonts w:hint="eastAsia" w:eastAsia="仿宋_GB2312"/>
          <w:kern w:val="0"/>
          <w:sz w:val="30"/>
          <w:szCs w:val="30"/>
        </w:rPr>
        <w:t>437.31</w:t>
      </w:r>
      <w:r>
        <w:rPr>
          <w:rFonts w:eastAsia="仿宋_GB2312"/>
          <w:kern w:val="0"/>
          <w:sz w:val="30"/>
          <w:szCs w:val="30"/>
        </w:rPr>
        <w:t>万元，其中：一般公共预算</w:t>
      </w:r>
      <w:r>
        <w:rPr>
          <w:rFonts w:hint="eastAsia" w:eastAsia="仿宋_GB2312"/>
          <w:kern w:val="0"/>
          <w:sz w:val="30"/>
          <w:szCs w:val="30"/>
        </w:rPr>
        <w:t>财政拨款437.31</w:t>
      </w:r>
      <w:r>
        <w:rPr>
          <w:rFonts w:eastAsia="仿宋_GB2312"/>
          <w:kern w:val="0"/>
          <w:sz w:val="30"/>
          <w:szCs w:val="30"/>
        </w:rPr>
        <w:t>万元，政府性基金</w:t>
      </w:r>
      <w:r>
        <w:rPr>
          <w:rFonts w:hint="eastAsia" w:eastAsia="仿宋_GB2312"/>
          <w:kern w:val="0"/>
          <w:sz w:val="30"/>
          <w:szCs w:val="30"/>
        </w:rPr>
        <w:t>预算财政拨款0</w:t>
      </w:r>
      <w:r>
        <w:rPr>
          <w:rFonts w:eastAsia="仿宋_GB2312"/>
          <w:kern w:val="0"/>
          <w:sz w:val="30"/>
          <w:szCs w:val="30"/>
        </w:rPr>
        <w:t>万元，国有资本经营</w:t>
      </w:r>
      <w:r>
        <w:rPr>
          <w:rFonts w:hint="eastAsia" w:eastAsia="仿宋_GB2312"/>
          <w:kern w:val="0"/>
          <w:sz w:val="30"/>
          <w:szCs w:val="30"/>
        </w:rPr>
        <w:t>预算财政拨款0</w:t>
      </w:r>
      <w:r>
        <w:rPr>
          <w:rFonts w:eastAsia="仿宋_GB2312"/>
          <w:kern w:val="0"/>
          <w:sz w:val="30"/>
          <w:szCs w:val="30"/>
        </w:rPr>
        <w:t>万元，事业收入</w:t>
      </w:r>
      <w:r>
        <w:rPr>
          <w:rFonts w:hint="eastAsia" w:eastAsia="仿宋_GB2312"/>
          <w:kern w:val="0"/>
          <w:sz w:val="30"/>
          <w:szCs w:val="30"/>
        </w:rPr>
        <w:t>0</w:t>
      </w:r>
      <w:r>
        <w:rPr>
          <w:rFonts w:eastAsia="仿宋_GB2312"/>
          <w:kern w:val="0"/>
          <w:sz w:val="30"/>
          <w:szCs w:val="30"/>
        </w:rPr>
        <w:t>万元，事业单位经营收入</w:t>
      </w:r>
      <w:r>
        <w:rPr>
          <w:rFonts w:hint="eastAsia" w:eastAsia="仿宋_GB2312"/>
          <w:kern w:val="0"/>
          <w:sz w:val="30"/>
          <w:szCs w:val="30"/>
        </w:rPr>
        <w:t>0</w:t>
      </w:r>
      <w:r>
        <w:rPr>
          <w:rFonts w:eastAsia="仿宋_GB2312"/>
          <w:kern w:val="0"/>
          <w:sz w:val="30"/>
          <w:szCs w:val="30"/>
        </w:rPr>
        <w:t>万元，其他收入</w:t>
      </w:r>
      <w:r>
        <w:rPr>
          <w:rFonts w:hint="eastAsia" w:eastAsia="仿宋_GB2312"/>
          <w:kern w:val="0"/>
          <w:sz w:val="30"/>
          <w:szCs w:val="30"/>
        </w:rPr>
        <w:t>0</w:t>
      </w:r>
      <w:r>
        <w:rPr>
          <w:rFonts w:eastAsia="仿宋_GB2312"/>
          <w:kern w:val="0"/>
          <w:sz w:val="30"/>
          <w:szCs w:val="30"/>
        </w:rPr>
        <w:t>万元</w:t>
      </w:r>
      <w:r>
        <w:rPr>
          <w:rFonts w:hint="eastAsia" w:eastAsia="仿宋_GB2312"/>
          <w:kern w:val="0"/>
          <w:sz w:val="30"/>
          <w:szCs w:val="30"/>
        </w:rPr>
        <w:t>，上年结转0万元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rPr>
        <w:t>2019</w:t>
      </w:r>
      <w:r>
        <w:rPr>
          <w:rFonts w:eastAsia="仿宋_GB2312"/>
          <w:kern w:val="0"/>
          <w:sz w:val="30"/>
          <w:szCs w:val="30"/>
        </w:rPr>
        <w:t xml:space="preserve">年部门财政拨款收入 </w:t>
      </w:r>
      <w:r>
        <w:rPr>
          <w:rFonts w:hint="eastAsia" w:eastAsia="仿宋_GB2312"/>
          <w:kern w:val="0"/>
          <w:sz w:val="30"/>
          <w:szCs w:val="30"/>
        </w:rPr>
        <w:t>437.31</w:t>
      </w:r>
      <w:r>
        <w:rPr>
          <w:rFonts w:eastAsia="仿宋_GB2312"/>
          <w:kern w:val="0"/>
          <w:sz w:val="30"/>
          <w:szCs w:val="30"/>
        </w:rPr>
        <w:t>万元，其中:本年收入</w:t>
      </w:r>
      <w:r>
        <w:rPr>
          <w:rFonts w:hint="eastAsia" w:eastAsia="仿宋_GB2312"/>
          <w:kern w:val="0"/>
          <w:sz w:val="30"/>
          <w:szCs w:val="30"/>
        </w:rPr>
        <w:t>437.31</w:t>
      </w:r>
      <w:r>
        <w:rPr>
          <w:rFonts w:eastAsia="仿宋_GB2312"/>
          <w:kern w:val="0"/>
          <w:sz w:val="30"/>
          <w:szCs w:val="30"/>
        </w:rPr>
        <w:t>万元，上年结转</w:t>
      </w:r>
      <w:r>
        <w:rPr>
          <w:rFonts w:hint="eastAsia" w:eastAsia="仿宋_GB2312"/>
          <w:kern w:val="0"/>
          <w:sz w:val="30"/>
          <w:szCs w:val="30"/>
        </w:rPr>
        <w:t>0</w:t>
      </w:r>
      <w:r>
        <w:rPr>
          <w:rFonts w:eastAsia="仿宋_GB2312"/>
          <w:kern w:val="0"/>
          <w:sz w:val="30"/>
          <w:szCs w:val="30"/>
        </w:rPr>
        <w:t>万元。本年收入中，一般公共预算财政拨款</w:t>
      </w:r>
      <w:r>
        <w:rPr>
          <w:rFonts w:hint="eastAsia" w:eastAsia="仿宋_GB2312"/>
          <w:kern w:val="0"/>
          <w:sz w:val="30"/>
          <w:szCs w:val="30"/>
        </w:rPr>
        <w:t>437.31</w:t>
      </w:r>
      <w:r>
        <w:rPr>
          <w:rFonts w:eastAsia="仿宋_GB2312"/>
          <w:kern w:val="0"/>
          <w:sz w:val="30"/>
          <w:szCs w:val="30"/>
        </w:rPr>
        <w:t>万元（本级财力</w:t>
      </w:r>
      <w:r>
        <w:rPr>
          <w:rFonts w:hint="eastAsia" w:eastAsia="仿宋_GB2312"/>
          <w:kern w:val="0"/>
          <w:sz w:val="30"/>
          <w:szCs w:val="30"/>
        </w:rPr>
        <w:t>437.31</w:t>
      </w:r>
      <w:r>
        <w:rPr>
          <w:rFonts w:eastAsia="仿宋_GB2312"/>
          <w:kern w:val="0"/>
          <w:sz w:val="30"/>
          <w:szCs w:val="30"/>
        </w:rPr>
        <w:t>万元，专项收入</w:t>
      </w:r>
      <w:r>
        <w:rPr>
          <w:rFonts w:hint="eastAsia" w:eastAsia="仿宋_GB2312"/>
          <w:kern w:val="0"/>
          <w:sz w:val="30"/>
          <w:szCs w:val="30"/>
        </w:rPr>
        <w:t>0</w:t>
      </w:r>
      <w:r>
        <w:rPr>
          <w:rFonts w:eastAsia="仿宋_GB2312"/>
          <w:kern w:val="0"/>
          <w:sz w:val="30"/>
          <w:szCs w:val="30"/>
        </w:rPr>
        <w:t>万元，执法办案补助</w:t>
      </w:r>
      <w:r>
        <w:rPr>
          <w:rFonts w:hint="eastAsia" w:eastAsia="仿宋_GB2312"/>
          <w:kern w:val="0"/>
          <w:sz w:val="30"/>
          <w:szCs w:val="30"/>
        </w:rPr>
        <w:t>0</w:t>
      </w:r>
      <w:r>
        <w:rPr>
          <w:rFonts w:eastAsia="仿宋_GB2312"/>
          <w:kern w:val="0"/>
          <w:sz w:val="30"/>
          <w:szCs w:val="30"/>
        </w:rPr>
        <w:t>万元，收费成本补偿</w:t>
      </w:r>
      <w:r>
        <w:rPr>
          <w:rFonts w:hint="eastAsia" w:eastAsia="仿宋_GB2312"/>
          <w:kern w:val="0"/>
          <w:sz w:val="30"/>
          <w:szCs w:val="30"/>
        </w:rPr>
        <w:t>0</w:t>
      </w:r>
      <w:r>
        <w:rPr>
          <w:rFonts w:eastAsia="仿宋_GB2312"/>
          <w:kern w:val="0"/>
          <w:sz w:val="30"/>
          <w:szCs w:val="30"/>
        </w:rPr>
        <w:t>万元，财政专户管理的收入</w:t>
      </w:r>
      <w:r>
        <w:rPr>
          <w:rFonts w:hint="eastAsia" w:eastAsia="仿宋_GB2312"/>
          <w:kern w:val="0"/>
          <w:sz w:val="30"/>
          <w:szCs w:val="30"/>
        </w:rPr>
        <w:t>0</w:t>
      </w:r>
      <w:r>
        <w:rPr>
          <w:rFonts w:eastAsia="仿宋_GB2312"/>
          <w:kern w:val="0"/>
          <w:sz w:val="30"/>
          <w:szCs w:val="30"/>
        </w:rPr>
        <w:t>万元，国有资源（资产）有偿使用</w:t>
      </w:r>
      <w:r>
        <w:rPr>
          <w:rFonts w:hint="eastAsia" w:eastAsia="仿宋_GB2312"/>
          <w:kern w:val="0"/>
          <w:sz w:val="30"/>
          <w:szCs w:val="30"/>
        </w:rPr>
        <w:t>成本补偿0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rPr>
        <w:t>2019</w:t>
      </w:r>
      <w:r>
        <w:rPr>
          <w:rFonts w:eastAsia="仿宋_GB2312"/>
          <w:kern w:val="0"/>
          <w:sz w:val="30"/>
          <w:szCs w:val="30"/>
        </w:rPr>
        <w:t xml:space="preserve">年部门预算总支出 </w:t>
      </w:r>
      <w:r>
        <w:rPr>
          <w:rFonts w:hint="eastAsia" w:eastAsia="仿宋_GB2312"/>
          <w:kern w:val="0"/>
          <w:sz w:val="30"/>
          <w:szCs w:val="30"/>
        </w:rPr>
        <w:t>437.31</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rPr>
        <w:t>437.31</w:t>
      </w:r>
      <w:r>
        <w:rPr>
          <w:rFonts w:eastAsia="仿宋_GB2312"/>
          <w:kern w:val="0"/>
          <w:sz w:val="30"/>
          <w:szCs w:val="30"/>
        </w:rPr>
        <w:t>万元，其中，基本支出</w:t>
      </w:r>
      <w:r>
        <w:rPr>
          <w:rFonts w:hint="eastAsia" w:eastAsia="仿宋_GB2312"/>
          <w:kern w:val="0"/>
          <w:sz w:val="30"/>
          <w:szCs w:val="30"/>
        </w:rPr>
        <w:t>437.31</w:t>
      </w:r>
      <w:r>
        <w:rPr>
          <w:rFonts w:eastAsia="仿宋_GB2312"/>
          <w:kern w:val="0"/>
          <w:sz w:val="30"/>
          <w:szCs w:val="30"/>
        </w:rPr>
        <w:t>万元，项目支出</w:t>
      </w:r>
      <w:r>
        <w:rPr>
          <w:rFonts w:hint="eastAsia" w:eastAsia="仿宋_GB2312"/>
          <w:kern w:val="0"/>
          <w:sz w:val="30"/>
          <w:szCs w:val="30"/>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功能科目分组</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“2050202” 教育支出-普通教育-小学教育329.86万元，主要用于工资福利支出和日常学校运行运转。</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“2080502”社会保障和就业支出-行政事业单位离退休-事业单位离退休1.44万元，主要用于离退休人员公用经费支出。</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rPr>
        <w:t>“2080505”社会保障和就业支出-行政事业单位离退休- 事业单位基本养老保险缴费支出61.32万元，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rPr>
        <w:t>“2080506”社会保障和就业支出-行政事业单位离退休- 事业单位职业年金缴费支出2.58万元，</w:t>
      </w:r>
      <w:r>
        <w:rPr>
          <w:rFonts w:hint="eastAsia" w:ascii="仿宋_GB2312" w:hAnsi="仿宋_GB2312" w:eastAsia="仿宋_GB2312" w:cs="仿宋_GB2312"/>
          <w:color w:val="333333"/>
          <w:sz w:val="30"/>
          <w:szCs w:val="30"/>
          <w:shd w:val="clear" w:color="040000" w:fill="FFFFFF"/>
        </w:rPr>
        <w:t>主要反映单位缴交的养老保险</w:t>
      </w:r>
      <w:r>
        <w:rPr>
          <w:rFonts w:hint="eastAsia" w:ascii="仿宋_GB2312" w:hAnsi="仿宋_GB2312" w:eastAsia="仿宋_GB2312" w:cs="仿宋_GB2312"/>
          <w:sz w:val="30"/>
          <w:szCs w:val="30"/>
        </w:rPr>
        <w:t>职业年金</w:t>
      </w:r>
      <w:r>
        <w:rPr>
          <w:rFonts w:hint="eastAsia" w:ascii="仿宋_GB2312" w:hAnsi="仿宋_GB2312" w:eastAsia="仿宋_GB2312" w:cs="仿宋_GB2312"/>
          <w:color w:val="333333"/>
          <w:sz w:val="30"/>
          <w:szCs w:val="30"/>
          <w:shd w:val="clear" w:color="040000" w:fill="FFFFFF"/>
        </w:rPr>
        <w:t>支出。</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“2210201”</w:t>
      </w:r>
      <w:r>
        <w:rPr>
          <w:rFonts w:hint="eastAsia" w:ascii="仿宋_GB2312" w:hAnsi="仿宋_GB2312" w:eastAsia="仿宋_GB2312" w:cs="仿宋_GB2312"/>
          <w:color w:val="333333"/>
          <w:sz w:val="30"/>
          <w:szCs w:val="30"/>
          <w:shd w:val="clear" w:color="040000" w:fill="FFFFFF"/>
        </w:rPr>
        <w:t>住房保障支出-住房改革支出-住房公积金42.11万元，主要用于单位住房公积金支出。</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sz w:val="30"/>
          <w:szCs w:val="30"/>
        </w:rPr>
        <w:t>“</w:t>
      </w:r>
      <w:r>
        <w:rPr>
          <w:rFonts w:hint="eastAsia" w:ascii="仿宋_GB2312" w:hAnsi="仿宋_GB2312" w:eastAsia="仿宋_GB2312" w:cs="仿宋_GB2312"/>
          <w:kern w:val="0"/>
          <w:sz w:val="30"/>
          <w:szCs w:val="30"/>
        </w:rPr>
        <w:t>2050202</w:t>
      </w:r>
      <w:r>
        <w:rPr>
          <w:rFonts w:hint="eastAsia" w:ascii="仿宋_GB2312" w:hAnsi="仿宋_GB2312" w:eastAsia="仿宋_GB2312" w:cs="仿宋_GB2312"/>
          <w:sz w:val="30"/>
          <w:szCs w:val="30"/>
        </w:rPr>
        <w:t>”</w:t>
      </w:r>
      <w:r>
        <w:rPr>
          <w:rFonts w:hint="eastAsia" w:ascii="仿宋_GB2312" w:hAnsi="仿宋_GB2312" w:eastAsia="仿宋_GB2312" w:cs="仿宋_GB2312"/>
          <w:kern w:val="0"/>
          <w:sz w:val="30"/>
          <w:szCs w:val="30"/>
        </w:rPr>
        <w:t>小学教育329.86</w:t>
      </w:r>
      <w:r>
        <w:rPr>
          <w:rFonts w:hint="eastAsia" w:ascii="仿宋_GB2312" w:hAnsi="仿宋_GB2312" w:eastAsia="仿宋_GB2312" w:cs="仿宋_GB2312"/>
          <w:color w:val="333333"/>
          <w:sz w:val="30"/>
          <w:szCs w:val="30"/>
          <w:shd w:val="clear" w:color="040000" w:fill="FFFFFF"/>
        </w:rPr>
        <w:t>万元其中：基本支出329.86万元，主要用于301工资福利支出325.54万元，302商品和服务支出2.16万元，303对个人和家庭的补助支出2.16万元</w:t>
      </w:r>
      <w:r>
        <w:rPr>
          <w:rFonts w:hint="eastAsia" w:ascii="仿宋_GB2312" w:hAnsi="仿宋_GB2312" w:eastAsia="仿宋_GB2312" w:cs="仿宋_GB2312"/>
          <w:color w:val="333333"/>
          <w:sz w:val="30"/>
          <w:szCs w:val="30"/>
          <w:shd w:val="clear" w:color="040000" w:fill="FFFFFF"/>
          <w:lang w:eastAsia="zh-CN"/>
        </w:rPr>
        <w:t>；</w:t>
      </w:r>
      <w:r>
        <w:rPr>
          <w:rFonts w:hint="eastAsia" w:ascii="仿宋_GB2312" w:hAnsi="仿宋_GB2312" w:eastAsia="仿宋_GB2312" w:cs="仿宋_GB2312"/>
          <w:color w:val="333333"/>
          <w:sz w:val="30"/>
          <w:szCs w:val="30"/>
          <w:shd w:val="clear" w:color="040000" w:fill="FFFFFF"/>
        </w:rPr>
        <w:t>项目支出0万元。</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2080502</w:t>
      </w: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事业单位离退休1.44万元其中：基本支出1.44万元，主要用于302商品和服务支出1.44万元。项目支出0万元。</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2080505</w:t>
      </w: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机关事业单位基本养老保险缴费支出61.32万元其中：基本支出61.32万元，主要用于301工资福利支出61.32万元。项目支出0万元。</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2080506</w:t>
      </w: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机关事业单位职业年金缴费支出2.58万元其中：基本支出2.58万元，主要用于301工资福利支出2.58万元。项目支出0万元。</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2210201</w:t>
      </w: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住房公积金42.11万元其中：基本支出42.11万元，主要用于301工资福利支出42.11万元。项目支出0万元。</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本单位2019年无县对下专项转移支付</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rPr>
        <w:t>无</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kinsoku/>
        <w:wordWrap/>
        <w:overflowPunct/>
        <w:topLinePunct w:val="0"/>
        <w:autoSpaceDE/>
        <w:autoSpaceDN/>
        <w:bidi w:val="0"/>
        <w:adjustRightInd/>
        <w:snapToGrid/>
        <w:spacing w:line="600" w:lineRule="atLeast"/>
        <w:ind w:firstLine="600" w:firstLineChars="200"/>
        <w:jc w:val="both"/>
        <w:textAlignment w:val="auto"/>
        <w:outlineLvl w:val="9"/>
        <w:rPr>
          <w:rFonts w:ascii="仿宋_GB2312" w:eastAsia="仿宋_GB2312"/>
          <w:kern w:val="0"/>
          <w:sz w:val="30"/>
          <w:szCs w:val="30"/>
        </w:rPr>
      </w:pPr>
      <w:r>
        <w:rPr>
          <w:rFonts w:hint="eastAsia" w:ascii="仿宋_GB2312" w:eastAsia="仿宋_GB2312"/>
          <w:kern w:val="0"/>
          <w:sz w:val="30"/>
          <w:szCs w:val="30"/>
        </w:rPr>
        <w:t>2019年盈江县铜壁关乡中心学校“三公”经费预算数为1.5万元，其中：因公出国（境）费用0万元、公务接待费0万元、公务用车购置及运行费1.5万元,其中:公务用车购置费0万元、公务用车运行费1.5万元。与上年三公”经费预算数1.5万元相比持平。其中:因公出国（境）费用0万元与上年预算数0万元持平，公务接待费0万元与上年预算数0万元持平，公务用车购置及运行费1.5万元;其中:公务用车购置费0万元、公务用车运行费1.5万元与上年预算数1.5万元持平。</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ascii="仿宋_GB2312" w:hAnsi="仿宋_GB2312" w:eastAsia="仿宋_GB2312" w:cs="仿宋_GB2312"/>
          <w:color w:val="FF0000"/>
          <w:sz w:val="30"/>
          <w:szCs w:val="30"/>
        </w:rPr>
      </w:pPr>
      <w:r>
        <w:rPr>
          <w:rFonts w:hint="eastAsia" w:ascii="楷体" w:hAnsi="楷体" w:eastAsia="楷体" w:cs="楷体"/>
          <w:kern w:val="0"/>
          <w:sz w:val="30"/>
          <w:szCs w:val="30"/>
        </w:rPr>
        <w:t>（二）</w:t>
      </w:r>
      <w:r>
        <w:rPr>
          <w:rFonts w:hint="eastAsia" w:ascii="楷体_GB2312" w:hAnsi="Times New Roman" w:eastAsia="楷体_GB2312" w:cs="Times New Roman"/>
          <w:kern w:val="0"/>
          <w:sz w:val="30"/>
          <w:szCs w:val="30"/>
          <w:lang w:val="en-US" w:eastAsia="zh-CN" w:bidi="ar-SA"/>
        </w:rPr>
        <w:t>预算收入增减变化情况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color w:val="FF0000"/>
          <w:sz w:val="30"/>
          <w:szCs w:val="30"/>
        </w:rPr>
      </w:pPr>
      <w:r>
        <w:rPr>
          <w:rFonts w:hint="eastAsia" w:ascii="仿宋_GB2312" w:hAnsi="仿宋_GB2312" w:eastAsia="仿宋_GB2312" w:cs="仿宋_GB2312"/>
          <w:kern w:val="0"/>
          <w:sz w:val="30"/>
          <w:szCs w:val="30"/>
        </w:rPr>
        <w:t>2019年部门预算收入437.31万元，比上年预算数412.89万元增24.42万元，增加5.91%。增加原因：调增人员工资。</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楷体_GB2312" w:hAnsi="Times New Roman" w:eastAsia="楷体_GB2312" w:cs="Times New Roman"/>
          <w:kern w:val="0"/>
          <w:sz w:val="30"/>
          <w:szCs w:val="30"/>
          <w:lang w:val="en-US" w:eastAsia="zh-CN" w:bidi="ar-SA"/>
        </w:rPr>
      </w:pPr>
      <w:r>
        <w:rPr>
          <w:rFonts w:hint="eastAsia" w:ascii="楷体" w:hAnsi="楷体" w:eastAsia="楷体" w:cs="楷体"/>
          <w:kern w:val="0"/>
          <w:sz w:val="30"/>
          <w:szCs w:val="30"/>
        </w:rPr>
        <w:t>（</w:t>
      </w:r>
      <w:r>
        <w:rPr>
          <w:rFonts w:hint="eastAsia" w:ascii="楷体" w:hAnsi="楷体" w:eastAsia="楷体" w:cs="楷体"/>
          <w:kern w:val="0"/>
          <w:sz w:val="30"/>
          <w:szCs w:val="30"/>
          <w:lang w:eastAsia="zh-CN"/>
        </w:rPr>
        <w:t>三</w:t>
      </w:r>
      <w:r>
        <w:rPr>
          <w:rFonts w:hint="eastAsia" w:ascii="楷体" w:hAnsi="楷体" w:eastAsia="楷体" w:cs="楷体"/>
          <w:kern w:val="0"/>
          <w:sz w:val="30"/>
          <w:szCs w:val="30"/>
        </w:rPr>
        <w:t>）</w:t>
      </w:r>
      <w:r>
        <w:rPr>
          <w:rFonts w:hint="eastAsia" w:ascii="楷体_GB2312" w:hAnsi="Times New Roman" w:eastAsia="楷体_GB2312" w:cs="Times New Roman"/>
          <w:kern w:val="0"/>
          <w:sz w:val="30"/>
          <w:szCs w:val="30"/>
          <w:lang w:val="en-US" w:eastAsia="zh-CN" w:bidi="ar-SA"/>
        </w:rPr>
        <w:t>部门基本支出预算变动的主要原因，对本年与上年同口径数据比对情况分析</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楷体" w:hAnsi="楷体" w:eastAsia="楷体" w:cs="楷体"/>
          <w:kern w:val="0"/>
          <w:sz w:val="30"/>
          <w:szCs w:val="30"/>
        </w:rPr>
      </w:pPr>
      <w:r>
        <w:rPr>
          <w:rFonts w:hint="eastAsia" w:ascii="仿宋_GB2312" w:eastAsia="仿宋_GB2312"/>
          <w:kern w:val="0"/>
          <w:sz w:val="30"/>
          <w:szCs w:val="30"/>
        </w:rPr>
        <w:t>2019 年盈江县</w:t>
      </w:r>
      <w:r>
        <w:rPr>
          <w:rFonts w:hint="eastAsia" w:ascii="仿宋_GB2312" w:eastAsia="仿宋_GB2312"/>
          <w:kern w:val="0"/>
          <w:sz w:val="30"/>
          <w:szCs w:val="30"/>
          <w:lang w:eastAsia="zh-CN"/>
        </w:rPr>
        <w:t>铜壁关乡中心学校</w:t>
      </w:r>
      <w:r>
        <w:rPr>
          <w:rFonts w:hint="eastAsia" w:ascii="仿宋_GB2312" w:eastAsia="仿宋_GB2312"/>
          <w:kern w:val="0"/>
          <w:sz w:val="30"/>
          <w:szCs w:val="30"/>
        </w:rPr>
        <w:t>基本支出</w:t>
      </w:r>
      <w:r>
        <w:rPr>
          <w:rFonts w:hint="eastAsia" w:ascii="仿宋_GB2312" w:hAnsi="仿宋_GB2312" w:eastAsia="仿宋_GB2312" w:cs="仿宋_GB2312"/>
          <w:kern w:val="0"/>
          <w:sz w:val="30"/>
          <w:szCs w:val="30"/>
        </w:rPr>
        <w:t>437.31</w:t>
      </w:r>
      <w:r>
        <w:rPr>
          <w:rFonts w:hint="eastAsia" w:ascii="仿宋_GB2312" w:eastAsia="仿宋_GB2312"/>
          <w:kern w:val="0"/>
          <w:sz w:val="30"/>
          <w:szCs w:val="30"/>
        </w:rPr>
        <w:t>万元与上年同期数</w:t>
      </w:r>
      <w:r>
        <w:rPr>
          <w:rFonts w:hint="eastAsia" w:ascii="仿宋_GB2312" w:hAnsi="仿宋_GB2312" w:eastAsia="仿宋_GB2312" w:cs="仿宋_GB2312"/>
          <w:kern w:val="0"/>
          <w:sz w:val="30"/>
          <w:szCs w:val="30"/>
        </w:rPr>
        <w:t>412.89</w:t>
      </w:r>
      <w:r>
        <w:rPr>
          <w:rFonts w:hint="eastAsia" w:ascii="仿宋_GB2312" w:eastAsia="仿宋_GB2312"/>
          <w:kern w:val="0"/>
          <w:sz w:val="30"/>
          <w:szCs w:val="30"/>
        </w:rPr>
        <w:t>万元相比，增加</w:t>
      </w:r>
      <w:r>
        <w:rPr>
          <w:rFonts w:hint="eastAsia" w:ascii="仿宋_GB2312" w:hAnsi="仿宋_GB2312" w:eastAsia="仿宋_GB2312" w:cs="仿宋_GB2312"/>
          <w:kern w:val="0"/>
          <w:sz w:val="30"/>
          <w:szCs w:val="30"/>
        </w:rPr>
        <w:t>24.42</w:t>
      </w:r>
      <w:r>
        <w:rPr>
          <w:rFonts w:hint="eastAsia" w:ascii="仿宋_GB2312" w:eastAsia="仿宋_GB2312"/>
          <w:kern w:val="0"/>
          <w:sz w:val="30"/>
          <w:szCs w:val="30"/>
        </w:rPr>
        <w:t>万元增幅为</w:t>
      </w:r>
      <w:r>
        <w:rPr>
          <w:rFonts w:hint="eastAsia" w:ascii="仿宋_GB2312" w:hAnsi="仿宋_GB2312" w:eastAsia="仿宋_GB2312" w:cs="仿宋_GB2312"/>
          <w:kern w:val="0"/>
          <w:sz w:val="30"/>
          <w:szCs w:val="30"/>
        </w:rPr>
        <w:t>5.91%</w:t>
      </w:r>
      <w:r>
        <w:rPr>
          <w:rFonts w:hint="eastAsia" w:ascii="仿宋_GB2312" w:eastAsia="仿宋_GB2312"/>
          <w:kern w:val="0"/>
          <w:sz w:val="30"/>
          <w:szCs w:val="30"/>
        </w:rPr>
        <w:t>，主要是在职职工调</w:t>
      </w:r>
      <w:r>
        <w:rPr>
          <w:rFonts w:hint="eastAsia" w:ascii="仿宋_GB2312" w:eastAsia="仿宋_GB2312"/>
          <w:kern w:val="0"/>
          <w:sz w:val="30"/>
          <w:szCs w:val="30"/>
          <w:lang w:eastAsia="zh-CN"/>
        </w:rPr>
        <w:t>增</w:t>
      </w:r>
      <w:r>
        <w:rPr>
          <w:rFonts w:hint="eastAsia" w:ascii="仿宋_GB2312" w:eastAsia="仿宋_GB2312"/>
          <w:kern w:val="0"/>
          <w:sz w:val="30"/>
          <w:szCs w:val="30"/>
        </w:rPr>
        <w:t>基本工资标准和津贴补贴。</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楷体_GB2312" w:hAnsi="Times New Roman" w:eastAsia="楷体_GB2312" w:cs="Times New Roman"/>
          <w:kern w:val="0"/>
          <w:sz w:val="30"/>
          <w:szCs w:val="30"/>
          <w:lang w:val="en-US" w:eastAsia="zh-CN" w:bidi="ar-SA"/>
        </w:rPr>
      </w:pPr>
      <w:r>
        <w:rPr>
          <w:rFonts w:hint="eastAsia" w:ascii="楷体_GB2312" w:eastAsia="楷体_GB2312" w:cs="Times New Roman"/>
          <w:kern w:val="0"/>
          <w:sz w:val="30"/>
          <w:szCs w:val="30"/>
          <w:lang w:val="en-US" w:eastAsia="zh-CN" w:bidi="ar-SA"/>
        </w:rPr>
        <w:t>（四）</w:t>
      </w:r>
      <w:r>
        <w:rPr>
          <w:rFonts w:hint="eastAsia" w:ascii="楷体_GB2312" w:hAnsi="Times New Roman" w:eastAsia="楷体_GB2312" w:cs="Times New Roman"/>
          <w:kern w:val="0"/>
          <w:sz w:val="30"/>
          <w:szCs w:val="30"/>
          <w:lang w:val="en-US" w:eastAsia="zh-CN" w:bidi="ar-SA"/>
        </w:rPr>
        <w:t>项目支出情况</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年盈江县</w:t>
      </w:r>
      <w:r>
        <w:rPr>
          <w:rFonts w:hint="eastAsia" w:ascii="仿宋_GB2312" w:hAnsi="仿宋_GB2312" w:eastAsia="仿宋_GB2312" w:cs="仿宋_GB2312"/>
          <w:sz w:val="30"/>
          <w:szCs w:val="30"/>
          <w:lang w:eastAsia="zh-CN"/>
        </w:rPr>
        <w:t>铜壁关乡中心学校</w:t>
      </w:r>
      <w:r>
        <w:rPr>
          <w:rFonts w:hint="eastAsia" w:ascii="仿宋_GB2312" w:hAnsi="仿宋_GB2312" w:eastAsia="仿宋_GB2312" w:cs="仿宋_GB2312"/>
          <w:sz w:val="30"/>
          <w:szCs w:val="30"/>
        </w:rPr>
        <w:t>项目支出</w:t>
      </w:r>
      <w:r>
        <w:rPr>
          <w:rFonts w:hint="eastAsia" w:ascii="仿宋_GB2312" w:hAnsi="仿宋_GB2312" w:eastAsia="仿宋_GB2312" w:cs="仿宋_GB2312"/>
          <w:sz w:val="30"/>
          <w:szCs w:val="30"/>
          <w:lang w:eastAsia="zh-CN"/>
        </w:rPr>
        <w:t>与</w:t>
      </w:r>
      <w:r>
        <w:rPr>
          <w:rFonts w:hint="eastAsia" w:ascii="仿宋_GB2312" w:hAnsi="仿宋_GB2312" w:eastAsia="仿宋_GB2312" w:cs="仿宋_GB2312"/>
          <w:sz w:val="30"/>
          <w:szCs w:val="30"/>
          <w:lang w:val="en-US" w:eastAsia="zh-CN"/>
        </w:rPr>
        <w:t>2018年一致无项目支出</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rPr>
        <w:t>差</w:t>
      </w:r>
      <w:r>
        <w:rPr>
          <w:rFonts w:hint="eastAsia" w:ascii="仿宋_GB2312" w:hAnsi="仿宋_GB2312" w:eastAsia="仿宋_GB2312" w:cs="仿宋_GB2312"/>
          <w:color w:val="333333"/>
          <w:kern w:val="0"/>
          <w:sz w:val="30"/>
          <w:szCs w:val="30"/>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eastAsia="仿宋_GB2312"/>
          <w:kern w:val="0"/>
          <w:sz w:val="30"/>
          <w:szCs w:val="30"/>
        </w:rPr>
      </w:pPr>
      <w:r>
        <w:rPr>
          <w:rFonts w:hint="eastAsia" w:ascii="仿宋_GB2312" w:eastAsia="仿宋_GB2312"/>
          <w:kern w:val="0"/>
          <w:sz w:val="30"/>
          <w:szCs w:val="30"/>
          <w:lang w:val="en-US" w:eastAsia="zh-CN"/>
        </w:rPr>
        <w:t xml:space="preserve">   </w:t>
      </w:r>
      <w:r>
        <w:rPr>
          <w:rFonts w:hint="eastAsia" w:ascii="仿宋_GB2312" w:eastAsia="仿宋_GB2312"/>
          <w:kern w:val="0"/>
          <w:sz w:val="30"/>
          <w:szCs w:val="30"/>
          <w:lang w:eastAsia="zh-CN"/>
        </w:rPr>
        <w:t>无</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eastAsia="仿宋_GB2312"/>
          <w:kern w:val="0"/>
          <w:sz w:val="30"/>
          <w:szCs w:val="30"/>
        </w:rPr>
      </w:pPr>
      <w:r>
        <w:rPr>
          <w:rFonts w:hint="eastAsia" w:ascii="楷体_GB2312" w:eastAsia="楷体_GB2312"/>
          <w:kern w:val="0"/>
          <w:sz w:val="30"/>
          <w:szCs w:val="30"/>
        </w:rPr>
        <w:t xml:space="preserve"> </w:t>
      </w:r>
      <w:r>
        <w:rPr>
          <w:rFonts w:hint="eastAsia" w:ascii="仿宋_GB2312" w:eastAsia="仿宋_GB2312"/>
          <w:kern w:val="0"/>
          <w:sz w:val="30"/>
          <w:szCs w:val="30"/>
        </w:rPr>
        <w:t>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rPr>
        <w:t>2019</w:t>
      </w:r>
      <w:r>
        <w:rPr>
          <w:rFonts w:eastAsia="仿宋_GB2312"/>
          <w:kern w:val="0"/>
          <w:sz w:val="30"/>
          <w:szCs w:val="30"/>
        </w:rPr>
        <w:t xml:space="preserve">年部门预算总支出 </w:t>
      </w:r>
      <w:r>
        <w:rPr>
          <w:rFonts w:hint="eastAsia" w:eastAsia="仿宋_GB2312"/>
          <w:kern w:val="0"/>
          <w:sz w:val="30"/>
          <w:szCs w:val="30"/>
        </w:rPr>
        <w:t>437.31</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rPr>
        <w:t>437.31</w:t>
      </w:r>
      <w:r>
        <w:rPr>
          <w:rFonts w:eastAsia="仿宋_GB2312"/>
          <w:kern w:val="0"/>
          <w:sz w:val="30"/>
          <w:szCs w:val="30"/>
        </w:rPr>
        <w:t>万元，其中，基本支出</w:t>
      </w:r>
      <w:r>
        <w:rPr>
          <w:rFonts w:hint="eastAsia" w:eastAsia="仿宋_GB2312"/>
          <w:kern w:val="0"/>
          <w:sz w:val="30"/>
          <w:szCs w:val="30"/>
        </w:rPr>
        <w:t>437.31</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归口管理的行政单位离退休、</w:t>
      </w:r>
      <w:r>
        <w:rPr>
          <w:rFonts w:hint="eastAsia" w:ascii="仿宋_GB2312" w:eastAsia="仿宋_GB2312"/>
          <w:kern w:val="0"/>
          <w:sz w:val="30"/>
          <w:szCs w:val="30"/>
        </w:rPr>
        <w:t>基本养老保险缴费，住房公积金，支付公用经费确保机构正常运转。</w:t>
      </w:r>
      <w:r>
        <w:rPr>
          <w:rFonts w:eastAsia="仿宋_GB2312"/>
          <w:kern w:val="0"/>
          <w:sz w:val="30"/>
          <w:szCs w:val="30"/>
        </w:rPr>
        <w:t>项目支出</w:t>
      </w:r>
      <w:r>
        <w:rPr>
          <w:rFonts w:hint="eastAsia" w:eastAsia="仿宋_GB2312"/>
          <w:kern w:val="0"/>
          <w:sz w:val="30"/>
          <w:szCs w:val="30"/>
        </w:rPr>
        <w:t>0</w:t>
      </w:r>
      <w:r>
        <w:rPr>
          <w:rFonts w:eastAsia="仿宋_GB2312"/>
          <w:kern w:val="0"/>
          <w:sz w:val="30"/>
          <w:szCs w:val="30"/>
        </w:rPr>
        <w:t>万元。</w:t>
      </w:r>
    </w:p>
    <w:p>
      <w:pPr>
        <w:widowControl/>
        <w:jc w:val="left"/>
        <w:rPr>
          <w:rFonts w:ascii="仿宋_GB2312" w:eastAsia="仿宋_GB2312"/>
          <w:kern w:val="0"/>
          <w:sz w:val="30"/>
          <w:szCs w:val="30"/>
        </w:rPr>
      </w:pPr>
    </w:p>
    <w:p>
      <w:pPr>
        <w:widowControl/>
        <w:jc w:val="left"/>
        <w:rPr>
          <w:rFonts w:ascii="楷体_GB2312" w:eastAsia="楷体_GB2312"/>
          <w:kern w:val="0"/>
          <w:sz w:val="30"/>
          <w:szCs w:val="30"/>
        </w:rPr>
      </w:pPr>
    </w:p>
    <w:bookmarkEnd w:id="0"/>
    <w:sectPr>
      <w:headerReference r:id="rId3" w:type="default"/>
      <w:headerReference r:id="rId4" w:type="even"/>
      <w:pgSz w:w="11906" w:h="16838"/>
      <w:pgMar w:top="1247" w:right="1797" w:bottom="1247"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Arial Unicode MS"/>
    <w:panose1 w:val="02010609060101010101"/>
    <w:charset w:val="86"/>
    <w:family w:val="auto"/>
    <w:pitch w:val="default"/>
    <w:sig w:usb0="00000000" w:usb1="00000000"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3683B"/>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D60"/>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66030"/>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3CB"/>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76757"/>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CD50E7"/>
    <w:rsid w:val="03F0214E"/>
    <w:rsid w:val="048C268B"/>
    <w:rsid w:val="04CF1775"/>
    <w:rsid w:val="05616F12"/>
    <w:rsid w:val="058D249C"/>
    <w:rsid w:val="05E01812"/>
    <w:rsid w:val="061A2813"/>
    <w:rsid w:val="06325B44"/>
    <w:rsid w:val="06E43398"/>
    <w:rsid w:val="071C0DFF"/>
    <w:rsid w:val="084A3CB5"/>
    <w:rsid w:val="0AB77A2F"/>
    <w:rsid w:val="0B800818"/>
    <w:rsid w:val="0C4D07DF"/>
    <w:rsid w:val="0D870669"/>
    <w:rsid w:val="114E4D4B"/>
    <w:rsid w:val="13F52A67"/>
    <w:rsid w:val="14594CAF"/>
    <w:rsid w:val="163608B0"/>
    <w:rsid w:val="16C85A74"/>
    <w:rsid w:val="19A77E4D"/>
    <w:rsid w:val="1A0B3DDD"/>
    <w:rsid w:val="1A272E8E"/>
    <w:rsid w:val="1A685806"/>
    <w:rsid w:val="207165AF"/>
    <w:rsid w:val="209D2413"/>
    <w:rsid w:val="23293A4E"/>
    <w:rsid w:val="23C6578F"/>
    <w:rsid w:val="242E2599"/>
    <w:rsid w:val="25111A52"/>
    <w:rsid w:val="252035D8"/>
    <w:rsid w:val="25CB4FD6"/>
    <w:rsid w:val="26BF2FF3"/>
    <w:rsid w:val="26C01C7D"/>
    <w:rsid w:val="270C409F"/>
    <w:rsid w:val="27E3128E"/>
    <w:rsid w:val="28D26D48"/>
    <w:rsid w:val="28ED429B"/>
    <w:rsid w:val="29895E37"/>
    <w:rsid w:val="29F4749C"/>
    <w:rsid w:val="2B696D85"/>
    <w:rsid w:val="2B880CBF"/>
    <w:rsid w:val="2D7B7E3A"/>
    <w:rsid w:val="2DA75286"/>
    <w:rsid w:val="2FD25EA1"/>
    <w:rsid w:val="30672B10"/>
    <w:rsid w:val="33233469"/>
    <w:rsid w:val="33E37726"/>
    <w:rsid w:val="340235A7"/>
    <w:rsid w:val="369B6FF2"/>
    <w:rsid w:val="37580526"/>
    <w:rsid w:val="37A862F8"/>
    <w:rsid w:val="384741CD"/>
    <w:rsid w:val="39466C4F"/>
    <w:rsid w:val="39BF048F"/>
    <w:rsid w:val="3A8C77EA"/>
    <w:rsid w:val="3B1B4603"/>
    <w:rsid w:val="3C010CB3"/>
    <w:rsid w:val="3CC32D4E"/>
    <w:rsid w:val="3D5F338A"/>
    <w:rsid w:val="3E2B33DD"/>
    <w:rsid w:val="43131F13"/>
    <w:rsid w:val="43C35C3E"/>
    <w:rsid w:val="45166B3A"/>
    <w:rsid w:val="45435229"/>
    <w:rsid w:val="46D61E29"/>
    <w:rsid w:val="4A940EA9"/>
    <w:rsid w:val="4E2F180E"/>
    <w:rsid w:val="4FC334A8"/>
    <w:rsid w:val="50E34D16"/>
    <w:rsid w:val="515A348C"/>
    <w:rsid w:val="528F6B99"/>
    <w:rsid w:val="55C36AC2"/>
    <w:rsid w:val="564C72BA"/>
    <w:rsid w:val="5825432A"/>
    <w:rsid w:val="58310B0B"/>
    <w:rsid w:val="5AB4032D"/>
    <w:rsid w:val="5E7D384C"/>
    <w:rsid w:val="6077766D"/>
    <w:rsid w:val="635B2632"/>
    <w:rsid w:val="63C978BE"/>
    <w:rsid w:val="652731B8"/>
    <w:rsid w:val="65756AF5"/>
    <w:rsid w:val="679D73C7"/>
    <w:rsid w:val="67D95CA6"/>
    <w:rsid w:val="67DD5DBE"/>
    <w:rsid w:val="68C77134"/>
    <w:rsid w:val="696C28AF"/>
    <w:rsid w:val="6A8C3BB7"/>
    <w:rsid w:val="6AAE5830"/>
    <w:rsid w:val="6CAC668F"/>
    <w:rsid w:val="6D9D4930"/>
    <w:rsid w:val="6DA47EEE"/>
    <w:rsid w:val="6E0A3BD0"/>
    <w:rsid w:val="6FCD3E36"/>
    <w:rsid w:val="70940E8E"/>
    <w:rsid w:val="724A4A01"/>
    <w:rsid w:val="72F37DB5"/>
    <w:rsid w:val="750555D9"/>
    <w:rsid w:val="75F37398"/>
    <w:rsid w:val="78884390"/>
    <w:rsid w:val="7941023E"/>
    <w:rsid w:val="79910928"/>
    <w:rsid w:val="79A40A6E"/>
    <w:rsid w:val="79C417BA"/>
    <w:rsid w:val="7A1A412C"/>
    <w:rsid w:val="7A556F9C"/>
    <w:rsid w:val="7B1E5394"/>
    <w:rsid w:val="7B4E6DDA"/>
    <w:rsid w:val="7CA77E19"/>
    <w:rsid w:val="7E135BD4"/>
    <w:rsid w:val="7EBB41C0"/>
    <w:rsid w:val="7FD609E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Hyperlink"/>
    <w:basedOn w:val="8"/>
    <w:unhideWhenUsed/>
    <w:qFormat/>
    <w:uiPriority w:val="0"/>
    <w:rPr>
      <w:color w:val="0000FF"/>
      <w:u w:val="single"/>
    </w:rPr>
  </w:style>
  <w:style w:type="character" w:styleId="10">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普通(网站)1"/>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 w:type="paragraph" w:customStyle="1" w:styleId="15">
    <w:name w:val="普通(网站)11"/>
    <w:basedOn w:val="1"/>
    <w:qFormat/>
    <w:uiPriority w:val="0"/>
    <w:pPr>
      <w:jc w:val="left"/>
    </w:pPr>
    <w:rPr>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8</Pages>
  <Words>594</Words>
  <Characters>3391</Characters>
  <Lines>28</Lines>
  <Paragraphs>7</Paragraphs>
  <TotalTime>1</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2018-01-31T03:32:00Z</cp:lastPrinted>
  <dcterms:modified xsi:type="dcterms:W3CDTF">2019-04-29T09:55:34Z</dcterms:modified>
  <dc:title>年部门预算编制说明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