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盈江县昔马华侨中学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盈江县昔马华侨中学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盈江县昔马华侨中学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widowControl/>
        <w:ind w:firstLine="360" w:firstLineChars="100"/>
        <w:jc w:val="both"/>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盈江县昔马华侨中学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盈江县昔马华侨中学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15</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盈江县昔马华侨中学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盈江县昔马华侨中学设置8个处室：办公室、校长室、副校长室、教导处、电教室、教务处、财务室、总务处。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FF0000"/>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val="en-US" w:eastAsia="zh-CN"/>
        </w:rPr>
        <w:t>1、</w:t>
      </w:r>
      <w:r>
        <w:rPr>
          <w:rFonts w:hint="eastAsia" w:ascii="仿宋 GB2312" w:hAnsi="仿宋 GB2312" w:eastAsia="仿宋 GB2312" w:cs="仿宋 GB2312"/>
          <w:b w:val="0"/>
          <w:bCs/>
          <w:sz w:val="30"/>
          <w:szCs w:val="30"/>
        </w:rPr>
        <w:t>从</w:t>
      </w:r>
      <w:r>
        <w:rPr>
          <w:rFonts w:hint="eastAsia" w:ascii="仿宋 GB2312" w:hAnsi="仿宋 GB2312" w:eastAsia="仿宋 GB2312" w:cs="仿宋 GB2312"/>
          <w:b w:val="0"/>
          <w:bCs/>
          <w:sz w:val="30"/>
          <w:szCs w:val="30"/>
          <w:lang w:val="en-US" w:eastAsia="zh-CN"/>
        </w:rPr>
        <w:t>管理</w:t>
      </w:r>
      <w:r>
        <w:rPr>
          <w:rFonts w:hint="eastAsia" w:ascii="仿宋 GB2312" w:hAnsi="仿宋 GB2312" w:eastAsia="仿宋 GB2312" w:cs="仿宋 GB2312"/>
          <w:b w:val="0"/>
          <w:bCs/>
          <w:sz w:val="30"/>
          <w:szCs w:val="30"/>
        </w:rPr>
        <w:t xml:space="preserve">入手，不断增强学校的凝聚力、战斗力和创新力。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lang w:val="en-US" w:eastAsia="zh-CN"/>
        </w:rPr>
        <w:t>1）</w:t>
      </w:r>
      <w:r>
        <w:rPr>
          <w:rFonts w:hint="eastAsia" w:ascii="仿宋 GB2312" w:hAnsi="仿宋 GB2312" w:eastAsia="仿宋 GB2312" w:cs="仿宋 GB2312"/>
          <w:b w:val="0"/>
          <w:bCs/>
          <w:sz w:val="30"/>
          <w:szCs w:val="30"/>
        </w:rPr>
        <w:t>加强</w:t>
      </w:r>
      <w:r>
        <w:rPr>
          <w:rFonts w:hint="eastAsia" w:ascii="仿宋 GB2312" w:hAnsi="仿宋 GB2312" w:eastAsia="仿宋 GB2312" w:cs="仿宋 GB2312"/>
          <w:b w:val="0"/>
          <w:bCs/>
          <w:sz w:val="30"/>
          <w:szCs w:val="30"/>
          <w:lang w:val="en-US" w:eastAsia="zh-CN"/>
        </w:rPr>
        <w:t>政治</w:t>
      </w:r>
      <w:r>
        <w:rPr>
          <w:rFonts w:hint="eastAsia" w:ascii="仿宋 GB2312" w:hAnsi="仿宋 GB2312" w:eastAsia="仿宋 GB2312" w:cs="仿宋 GB2312"/>
          <w:b w:val="0"/>
          <w:bCs/>
          <w:sz w:val="30"/>
          <w:szCs w:val="30"/>
        </w:rPr>
        <w:t>理论学习，</w:t>
      </w:r>
      <w:r>
        <w:rPr>
          <w:rFonts w:hint="eastAsia" w:ascii="仿宋 GB2312" w:hAnsi="仿宋 GB2312" w:eastAsia="仿宋 GB2312" w:cs="仿宋 GB2312"/>
          <w:b w:val="0"/>
          <w:bCs/>
          <w:sz w:val="30"/>
          <w:szCs w:val="30"/>
          <w:lang w:val="en-US" w:eastAsia="zh-CN"/>
        </w:rPr>
        <w:t>认</w:t>
      </w:r>
      <w:r>
        <w:rPr>
          <w:rFonts w:hint="eastAsia" w:ascii="仿宋 GB2312" w:hAnsi="仿宋 GB2312" w:eastAsia="仿宋 GB2312" w:cs="仿宋 GB2312"/>
          <w:b w:val="0"/>
          <w:bCs/>
          <w:sz w:val="30"/>
          <w:szCs w:val="30"/>
        </w:rPr>
        <w:t>真落实“三严”、“三实”、“忠诚、干净、担当”这一思想。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2</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加强制度建设，狠抓落实。 对德育、教学、后勤、财务、安全、教职工评价等方面，在征询全校老师的意见后，规范、完善、细化了一系列规章制度，并通过学习、督查、考核的落实，提高了教职工履行岗位职责的自觉性，夯实了学校常规教育教学的基础。</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val="en-US" w:eastAsia="zh-CN"/>
        </w:rPr>
        <w:t>2、</w:t>
      </w:r>
      <w:r>
        <w:rPr>
          <w:rFonts w:hint="eastAsia" w:ascii="仿宋 GB2312" w:hAnsi="仿宋 GB2312" w:eastAsia="仿宋 GB2312" w:cs="仿宋 GB2312"/>
          <w:b w:val="0"/>
          <w:bCs/>
          <w:sz w:val="30"/>
          <w:szCs w:val="30"/>
        </w:rPr>
        <w:t>牢固树立“育人为本、德育为首”的观念。</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1</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坚持利用教师学习、班会、传统节日、年级会、校会、国旗下的讲话等时机对全校师生开展德育工作。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2</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通过开展“感恩班主任节”主题教育活动，强化学生感恩家长、感恩老师、感恩党和国家的情感，激发他们的上进心。我校把每年5月定为“感恩班主任节”活动月。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3</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培养学校德育工作队伍，办好家长学校，使学校教育与家庭教育有机结合起来。</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4</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组织党员认真开展“三严”、“三实”、“忠诚、干净、担当”主题活动。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5</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加强师德建设，认真学习并落实“综治维稳”文件精神，确保全校师生的思想稳定和人身安全。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val="en-US" w:eastAsia="zh-CN"/>
        </w:rPr>
        <w:t>3、</w:t>
      </w:r>
      <w:r>
        <w:rPr>
          <w:rFonts w:hint="eastAsia" w:ascii="仿宋 GB2312" w:hAnsi="仿宋 GB2312" w:eastAsia="仿宋 GB2312" w:cs="仿宋 GB2312"/>
          <w:b w:val="0"/>
          <w:bCs/>
          <w:sz w:val="30"/>
          <w:szCs w:val="30"/>
        </w:rPr>
        <w:t xml:space="preserve">坚持以教学为中心，推进课改。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1</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 xml:space="preserve">重抓教师教育理念的转变。主要从教学任务、教学观念、教学内容、教学要求、教学方法、教学评价上转变。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2</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 xml:space="preserve">强化课堂常规管理，向40分钟要质量。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在教学管理过程中进一步规范检查、落实、激励等制度，重视和发挥好教师对班级课堂学习情况的反馈以及学生对教师的课堂情况的反馈。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3</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 xml:space="preserve">全力抓好毕业班的中考备考工作。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统一思想、提高认识、找准方向</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因时因人、多层次、多角度开展教学及复习工作。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①制定教学及复习计划。</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②制定中考备考计划。</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③定期召开模拟测试成绩分析会。</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④处理好正常课与辅导课二者之间的关系。</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⑤处理好优生、中等生、后进生三者之间的关系。</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rPr>
        <w:t>⑥大力营造中考氛围、给学生提供一个宽松、舒适、适度的中考复习环境。</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val="en-US" w:eastAsia="zh-CN"/>
        </w:rPr>
        <w:t>4、</w:t>
      </w:r>
      <w:r>
        <w:rPr>
          <w:rFonts w:hint="eastAsia" w:ascii="仿宋 GB2312" w:hAnsi="仿宋 GB2312" w:eastAsia="仿宋 GB2312" w:cs="仿宋 GB2312"/>
          <w:b w:val="0"/>
          <w:bCs/>
          <w:sz w:val="30"/>
          <w:szCs w:val="30"/>
        </w:rPr>
        <w:t xml:space="preserve">以提高教学质量作为工作的核心，提高教师的教育教学和教育科研水平。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1</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积极组织教师外出学习、培训。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2</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扎实而有成效地开展全校教师上公开课活动。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3</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加快青年教师专业化成长的步伐，促进青年教师肯钻研、爱学习、能交流。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4</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继续开展新老教师的“师徒带教”工作，通过老教师的“传帮带”工作，使新教师尽快把好教育、教学常规关、课堂教学关、教学能力关。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5</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开展校本培训、教研年级活动250余次，这是我校“提质量、促发展”的重要举措。</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GB2312" w:hAnsi="仿宋 GB2312" w:eastAsia="仿宋 GB2312" w:cs="仿宋 GB2312"/>
          <w:b w:val="0"/>
          <w:bCs/>
          <w:sz w:val="30"/>
          <w:szCs w:val="30"/>
        </w:rPr>
      </w:pPr>
      <w:r>
        <w:rPr>
          <w:rFonts w:hint="eastAsia" w:ascii="仿宋 GB2312" w:hAnsi="仿宋 GB2312" w:eastAsia="仿宋 GB2312" w:cs="仿宋 GB2312"/>
          <w:b w:val="0"/>
          <w:bCs/>
          <w:sz w:val="30"/>
          <w:szCs w:val="30"/>
          <w:lang w:val="en-US" w:eastAsia="zh-CN"/>
        </w:rPr>
        <w:t>5、</w:t>
      </w:r>
      <w:r>
        <w:rPr>
          <w:rFonts w:hint="eastAsia" w:ascii="仿宋 GB2312" w:hAnsi="仿宋 GB2312" w:eastAsia="仿宋 GB2312" w:cs="仿宋 GB2312"/>
          <w:b w:val="0"/>
          <w:bCs/>
          <w:sz w:val="30"/>
          <w:szCs w:val="30"/>
        </w:rPr>
        <w:t xml:space="preserve">继续完善后勤管理，努力提高后勤业务水平和服务质量，不断完善校园设施，为提高学校教育教学质量保驾护航。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1</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 xml:space="preserve">严格执行财经管理制度。做到开支精打细算，做到花小钱办大事。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2</w:t>
      </w:r>
      <w:r>
        <w:rPr>
          <w:rFonts w:hint="eastAsia" w:ascii="仿宋 GB2312" w:hAnsi="仿宋 GB2312" w:eastAsia="仿宋 GB2312" w:cs="仿宋 GB2312"/>
          <w:b w:val="0"/>
          <w:bCs/>
          <w:sz w:val="30"/>
          <w:szCs w:val="30"/>
          <w:lang w:eastAsia="zh-CN"/>
        </w:rPr>
        <w:t>）</w:t>
      </w:r>
      <w:r>
        <w:rPr>
          <w:rFonts w:hint="eastAsia" w:ascii="仿宋 GB2312" w:hAnsi="仿宋 GB2312" w:eastAsia="仿宋 GB2312" w:cs="仿宋 GB2312"/>
          <w:b w:val="0"/>
          <w:bCs/>
          <w:sz w:val="30"/>
          <w:szCs w:val="30"/>
        </w:rPr>
        <w:t>继续完善后勤管理。重视后勤人员管理，规范上班制度，对食品采购、加工要定期监督检查，严防中毒事件发生。2016年9月至今食堂企业供餐模式受到局领导好评。</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w:t>
      </w:r>
      <w:r>
        <w:rPr>
          <w:rFonts w:hint="eastAsia" w:ascii="仿宋 GB2312" w:hAnsi="仿宋 GB2312" w:eastAsia="仿宋 GB2312" w:cs="仿宋 GB2312"/>
          <w:b w:val="0"/>
          <w:bCs/>
          <w:sz w:val="30"/>
          <w:szCs w:val="30"/>
          <w:lang w:val="en-US" w:eastAsia="zh-CN"/>
        </w:rPr>
        <w:t>6、</w:t>
      </w:r>
      <w:r>
        <w:rPr>
          <w:rFonts w:hint="eastAsia" w:ascii="仿宋 GB2312" w:hAnsi="仿宋 GB2312" w:eastAsia="仿宋 GB2312" w:cs="仿宋 GB2312"/>
          <w:b w:val="0"/>
          <w:bCs/>
          <w:sz w:val="30"/>
          <w:szCs w:val="30"/>
        </w:rPr>
        <w:t xml:space="preserve">认真做好学校体育、卫生工作，促进学生全面健康发展。 </w:t>
      </w:r>
      <w:r>
        <w:rPr>
          <w:rFonts w:hint="eastAsia" w:ascii="仿宋 GB2312" w:hAnsi="仿宋 GB2312" w:eastAsia="仿宋 GB2312" w:cs="仿宋 GB2312"/>
          <w:b w:val="0"/>
          <w:bCs/>
          <w:sz w:val="30"/>
          <w:szCs w:val="30"/>
        </w:rPr>
        <w:br w:type="textWrapping"/>
      </w:r>
      <w:r>
        <w:rPr>
          <w:rFonts w:hint="eastAsia" w:ascii="仿宋 GB2312" w:hAnsi="仿宋 GB2312" w:eastAsia="仿宋 GB2312" w:cs="仿宋 GB2312"/>
          <w:b w:val="0"/>
          <w:bCs/>
          <w:sz w:val="30"/>
          <w:szCs w:val="30"/>
        </w:rPr>
        <w:t>　　本着全面发展的教育目标，我校认真贯彻执行《国家体育锻炼标准》，着力推进素质教育，实施特长生培养计划，并取得了良好的效果。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仿宋 GB2312" w:hAnsi="仿宋 GB2312" w:eastAsia="仿宋 GB2312" w:cs="仿宋 GB2312"/>
          <w:b w:val="0"/>
          <w:bCs/>
          <w:sz w:val="30"/>
          <w:szCs w:val="30"/>
        </w:rPr>
        <w:t>卫生工作以预防常见病、多发病，提高师生的健康意识和卫生意识为重点，抓好了校园卫生、食品卫生、教学卫生和个人卫生的监督、检查工作，确保师生的身体健康。</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65</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65</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人，其中：财政全供养</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3</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3</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盈江县昔马华侨中学</w:t>
      </w:r>
      <w:r>
        <w:rPr>
          <w:rFonts w:eastAsia="仿宋_GB2312"/>
          <w:kern w:val="0"/>
          <w:sz w:val="30"/>
          <w:szCs w:val="30"/>
        </w:rPr>
        <w:t>财务总收入</w:t>
      </w:r>
      <w:r>
        <w:rPr>
          <w:rFonts w:hint="eastAsia" w:eastAsia="仿宋_GB2312"/>
          <w:kern w:val="0"/>
          <w:sz w:val="30"/>
          <w:szCs w:val="30"/>
          <w:lang w:val="en-US" w:eastAsia="zh-CN"/>
        </w:rPr>
        <w:t>621.63</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621.63</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621.63</w:t>
      </w:r>
      <w:r>
        <w:rPr>
          <w:rFonts w:eastAsia="仿宋_GB2312"/>
          <w:kern w:val="0"/>
          <w:sz w:val="30"/>
          <w:szCs w:val="30"/>
        </w:rPr>
        <w:t>万元，其中:本年收入</w:t>
      </w:r>
      <w:r>
        <w:rPr>
          <w:rFonts w:hint="eastAsia" w:eastAsia="仿宋_GB2312"/>
          <w:kern w:val="0"/>
          <w:sz w:val="30"/>
          <w:szCs w:val="30"/>
          <w:lang w:val="en-US" w:eastAsia="zh-CN"/>
        </w:rPr>
        <w:t>621.63</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621.63</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621.63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621.63</w:t>
      </w:r>
      <w:r>
        <w:rPr>
          <w:rFonts w:eastAsia="仿宋_GB2312"/>
          <w:kern w:val="0"/>
          <w:sz w:val="30"/>
          <w:szCs w:val="30"/>
        </w:rPr>
        <w:t>万元，其中，基本支出</w:t>
      </w:r>
      <w:r>
        <w:rPr>
          <w:rFonts w:hint="eastAsia" w:eastAsia="仿宋_GB2312"/>
          <w:kern w:val="0"/>
          <w:sz w:val="30"/>
          <w:szCs w:val="30"/>
          <w:lang w:val="en-US" w:eastAsia="zh-CN"/>
        </w:rPr>
        <w:t>621.63</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教育支出-普通教育-初中教育470.52万元，主要用于工资福利支出和日常学校运行运转。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“2080502”社会保障和就业支出-行政事业单位离退休-事业单位离退休0.18万元，主要用于离退休人员公用经费支出。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事业单位基本养老保险缴费支出89.68万元，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61.25</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2050203 初中教育470.52万元，其中：基本支出470.52万元，主要用于301工资福利支出467.14万元，302商品服务支出3.02万元，303对个人和家庭补助支出0.36万元；项目支出0万元。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kern w:val="0"/>
          <w:sz w:val="30"/>
          <w:szCs w:val="30"/>
          <w:lang w:val="en-US" w:eastAsia="zh-CN"/>
        </w:rPr>
        <w:t>2080502 事业单位离退休0.18万元，其中：基本支出0.18万元，主要用于302商品服务支出</w:t>
      </w:r>
      <w:r>
        <w:rPr>
          <w:rFonts w:hint="eastAsia" w:ascii="仿宋_GB2312" w:hAnsi="仿宋_GB2312" w:eastAsia="仿宋_GB2312" w:cs="仿宋_GB2312"/>
          <w:sz w:val="30"/>
          <w:szCs w:val="30"/>
          <w:lang w:val="en-US" w:eastAsia="zh-CN"/>
        </w:rPr>
        <w:t>0.18万元；项目支出0万元。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2080505 机关事业单位基本养老保险缴费支出89.68万元，其中：基本支出89.68万元，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工资福利支出89.68万元；项目支出0万元。</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sz w:val="30"/>
          <w:szCs w:val="30"/>
          <w:lang w:val="en-US" w:eastAsia="zh-CN"/>
        </w:rPr>
        <w:t>2210201 住房公积金61.25万元，其中：基本支出61.25万元，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工资福利支出61.25万元；项目支出0万元。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盈江县昔马华侨中学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0.80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0.80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元相比持平</w:t>
      </w:r>
      <w:r>
        <w:rPr>
          <w:rFonts w:hint="eastAsia" w:ascii="仿宋_GB2312" w:eastAsia="仿宋_GB2312"/>
          <w:kern w:val="0"/>
          <w:sz w:val="30"/>
          <w:szCs w:val="30"/>
          <w:lang w:eastAsia="zh-CN"/>
        </w:rPr>
        <w:t>，</w:t>
      </w:r>
      <w:r>
        <w:rPr>
          <w:rFonts w:hint="eastAsia" w:ascii="仿宋_GB2312" w:eastAsia="仿宋_GB2312"/>
          <w:kern w:val="0"/>
          <w:sz w:val="30"/>
          <w:szCs w:val="30"/>
        </w:rPr>
        <w:t>其中:因公出国（境）费用0万元与上年预算数0万元持平，公务接待费</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lang w:val="en-US" w:eastAsia="zh-CN"/>
        </w:rPr>
        <w:t>,</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621.63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587.81万元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加33.82万元，增加5.75%。增加原因：调增人员工资。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盈江县昔马华侨中学无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w:t>
      </w:r>
      <w:r>
        <w:rPr>
          <w:rFonts w:hint="eastAsia" w:ascii="仿宋_GB2312" w:eastAsia="仿宋_GB2312"/>
          <w:kern w:val="0"/>
          <w:sz w:val="30"/>
          <w:szCs w:val="30"/>
          <w:lang w:val="en-US" w:eastAsia="zh-CN"/>
        </w:rPr>
        <w:t>.</w:t>
      </w:r>
      <w:r>
        <w:rPr>
          <w:rFonts w:hint="eastAsia" w:ascii="仿宋_GB2312" w:eastAsia="仿宋_GB2312"/>
          <w:kern w:val="0"/>
          <w:sz w:val="30"/>
          <w:szCs w:val="30"/>
        </w:rPr>
        <w:t>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621.63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621.63</w:t>
      </w:r>
      <w:r>
        <w:rPr>
          <w:rFonts w:eastAsia="仿宋_GB2312"/>
          <w:kern w:val="0"/>
          <w:sz w:val="30"/>
          <w:szCs w:val="30"/>
        </w:rPr>
        <w:t>万元，其中，基本支出</w:t>
      </w:r>
      <w:r>
        <w:rPr>
          <w:rFonts w:hint="eastAsia" w:eastAsia="仿宋_GB2312"/>
          <w:kern w:val="0"/>
          <w:sz w:val="30"/>
          <w:szCs w:val="30"/>
          <w:lang w:val="en-US" w:eastAsia="zh-CN"/>
        </w:rPr>
        <w:t>621.63</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GB2312">
    <w:altName w:val="仿宋_GB2312"/>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2B917C8"/>
    <w:rsid w:val="039A3D50"/>
    <w:rsid w:val="03CD50E7"/>
    <w:rsid w:val="03F0214E"/>
    <w:rsid w:val="04CF1775"/>
    <w:rsid w:val="054A18F5"/>
    <w:rsid w:val="05616F12"/>
    <w:rsid w:val="061D49D6"/>
    <w:rsid w:val="06325B44"/>
    <w:rsid w:val="06E43398"/>
    <w:rsid w:val="07010C38"/>
    <w:rsid w:val="079F1950"/>
    <w:rsid w:val="07DA1F5C"/>
    <w:rsid w:val="084A3CB5"/>
    <w:rsid w:val="0AB77A2F"/>
    <w:rsid w:val="0C91713C"/>
    <w:rsid w:val="0F4952BC"/>
    <w:rsid w:val="105A3BDF"/>
    <w:rsid w:val="13F52A67"/>
    <w:rsid w:val="14594CAF"/>
    <w:rsid w:val="16C85A74"/>
    <w:rsid w:val="172728C8"/>
    <w:rsid w:val="174673F3"/>
    <w:rsid w:val="18194B15"/>
    <w:rsid w:val="18A27DFC"/>
    <w:rsid w:val="1A0B3DDD"/>
    <w:rsid w:val="1A685806"/>
    <w:rsid w:val="1C3219F9"/>
    <w:rsid w:val="1CE54A30"/>
    <w:rsid w:val="1ED92153"/>
    <w:rsid w:val="206C0510"/>
    <w:rsid w:val="207165AF"/>
    <w:rsid w:val="20FA5480"/>
    <w:rsid w:val="21307105"/>
    <w:rsid w:val="215D47F3"/>
    <w:rsid w:val="21B76D32"/>
    <w:rsid w:val="21B9610C"/>
    <w:rsid w:val="221F79BE"/>
    <w:rsid w:val="228F2F2D"/>
    <w:rsid w:val="22D2474A"/>
    <w:rsid w:val="23293A4E"/>
    <w:rsid w:val="23C6578F"/>
    <w:rsid w:val="242E2599"/>
    <w:rsid w:val="24D00D88"/>
    <w:rsid w:val="26BF2FF3"/>
    <w:rsid w:val="27E3128E"/>
    <w:rsid w:val="287B1E6A"/>
    <w:rsid w:val="28D26D48"/>
    <w:rsid w:val="290635A7"/>
    <w:rsid w:val="292C45BB"/>
    <w:rsid w:val="29A407A4"/>
    <w:rsid w:val="29F4749C"/>
    <w:rsid w:val="2B696D85"/>
    <w:rsid w:val="2C5B41A5"/>
    <w:rsid w:val="2D0B3F7C"/>
    <w:rsid w:val="2D353070"/>
    <w:rsid w:val="2D7B7E3A"/>
    <w:rsid w:val="2DA75286"/>
    <w:rsid w:val="2DB959A1"/>
    <w:rsid w:val="2FD25EA1"/>
    <w:rsid w:val="30D85C38"/>
    <w:rsid w:val="314C5C4C"/>
    <w:rsid w:val="33BA5B77"/>
    <w:rsid w:val="33E37726"/>
    <w:rsid w:val="34DF5514"/>
    <w:rsid w:val="369B6FF2"/>
    <w:rsid w:val="37916FE8"/>
    <w:rsid w:val="39466C4F"/>
    <w:rsid w:val="39BF048F"/>
    <w:rsid w:val="3A8C77EA"/>
    <w:rsid w:val="3B0C58A6"/>
    <w:rsid w:val="3B8E422C"/>
    <w:rsid w:val="3C29793F"/>
    <w:rsid w:val="3CC32D4E"/>
    <w:rsid w:val="3D531916"/>
    <w:rsid w:val="3F222A16"/>
    <w:rsid w:val="40727ADC"/>
    <w:rsid w:val="413B57D4"/>
    <w:rsid w:val="41986473"/>
    <w:rsid w:val="43131F13"/>
    <w:rsid w:val="43C35C3E"/>
    <w:rsid w:val="444E4D85"/>
    <w:rsid w:val="44A11F66"/>
    <w:rsid w:val="44F95DA4"/>
    <w:rsid w:val="45166B3A"/>
    <w:rsid w:val="452D3752"/>
    <w:rsid w:val="464716C2"/>
    <w:rsid w:val="46D61E29"/>
    <w:rsid w:val="48BA0E0E"/>
    <w:rsid w:val="49436859"/>
    <w:rsid w:val="4A940EA9"/>
    <w:rsid w:val="4AE94EFE"/>
    <w:rsid w:val="4C2B6994"/>
    <w:rsid w:val="4E1878C9"/>
    <w:rsid w:val="4F462F65"/>
    <w:rsid w:val="4FC334A8"/>
    <w:rsid w:val="50F26431"/>
    <w:rsid w:val="515A348C"/>
    <w:rsid w:val="526F3E11"/>
    <w:rsid w:val="53025EB1"/>
    <w:rsid w:val="53291E1A"/>
    <w:rsid w:val="53F146BC"/>
    <w:rsid w:val="5429092E"/>
    <w:rsid w:val="544F333B"/>
    <w:rsid w:val="54870A50"/>
    <w:rsid w:val="55A24206"/>
    <w:rsid w:val="55D71E06"/>
    <w:rsid w:val="564C72BA"/>
    <w:rsid w:val="56786018"/>
    <w:rsid w:val="5825432A"/>
    <w:rsid w:val="58310B0B"/>
    <w:rsid w:val="59370CCD"/>
    <w:rsid w:val="597D7B2E"/>
    <w:rsid w:val="59D53C66"/>
    <w:rsid w:val="5AB4032D"/>
    <w:rsid w:val="5B3F0B4F"/>
    <w:rsid w:val="5DDB63FE"/>
    <w:rsid w:val="5E7D384C"/>
    <w:rsid w:val="5F1D569A"/>
    <w:rsid w:val="5FB20E86"/>
    <w:rsid w:val="60745BA8"/>
    <w:rsid w:val="635B1DD0"/>
    <w:rsid w:val="65756AF5"/>
    <w:rsid w:val="65E20823"/>
    <w:rsid w:val="66447E71"/>
    <w:rsid w:val="67D95CA6"/>
    <w:rsid w:val="67DD5DBE"/>
    <w:rsid w:val="68083500"/>
    <w:rsid w:val="686B6A2B"/>
    <w:rsid w:val="68C77134"/>
    <w:rsid w:val="69FE0EA4"/>
    <w:rsid w:val="6A8C3BB7"/>
    <w:rsid w:val="6CAC668F"/>
    <w:rsid w:val="6DA47EEE"/>
    <w:rsid w:val="6F774578"/>
    <w:rsid w:val="6FCD3E36"/>
    <w:rsid w:val="71585CE5"/>
    <w:rsid w:val="724A4A01"/>
    <w:rsid w:val="72616363"/>
    <w:rsid w:val="72F37DB5"/>
    <w:rsid w:val="75F37398"/>
    <w:rsid w:val="76C22F3D"/>
    <w:rsid w:val="7779331C"/>
    <w:rsid w:val="77D46EE6"/>
    <w:rsid w:val="783D31F1"/>
    <w:rsid w:val="79910928"/>
    <w:rsid w:val="7A017677"/>
    <w:rsid w:val="7A922E2A"/>
    <w:rsid w:val="7B1E5394"/>
    <w:rsid w:val="7CC5101A"/>
    <w:rsid w:val="7E39766E"/>
    <w:rsid w:val="7E9E748B"/>
    <w:rsid w:val="7F661CB9"/>
    <w:rsid w:val="7F96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10</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2019-04-29T09:58:07Z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