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盈江县教育局教育科研中心2019年</w:t>
      </w:r>
    </w:p>
    <w:p>
      <w:pPr>
        <w:jc w:val="center"/>
        <w:rPr>
          <w:rFonts w:ascii="方正小标宋简体" w:eastAsia="方正小标宋简体"/>
          <w:sz w:val="36"/>
          <w:szCs w:val="36"/>
        </w:rPr>
      </w:pPr>
      <w:r>
        <w:rPr>
          <w:rFonts w:hint="eastAsia" w:ascii="方正小标宋简体" w:hAnsi="方正小标宋简体" w:eastAsia="方正小标宋简体" w:cs="方正小标宋简体"/>
          <w:sz w:val="36"/>
          <w:szCs w:val="36"/>
        </w:rPr>
        <w:t>预算公开</w:t>
      </w:r>
      <w:r>
        <w:rPr>
          <w:rFonts w:hint="eastAsia" w:ascii="方正小标宋简体" w:eastAsia="方正小标宋简体"/>
          <w:sz w:val="36"/>
          <w:szCs w:val="36"/>
        </w:rPr>
        <w:t>目录</w:t>
      </w:r>
    </w:p>
    <w:p>
      <w:pPr>
        <w:jc w:val="left"/>
        <w:rPr>
          <w:rFonts w:ascii="黑体" w:hAnsi="黑体" w:eastAsia="黑体"/>
          <w:sz w:val="30"/>
          <w:szCs w:val="30"/>
        </w:rPr>
      </w:pPr>
    </w:p>
    <w:p>
      <w:pPr>
        <w:jc w:val="left"/>
        <w:rPr>
          <w:rFonts w:ascii="黑体" w:hAnsi="黑体" w:eastAsia="黑体"/>
          <w:sz w:val="30"/>
          <w:szCs w:val="30"/>
        </w:rPr>
      </w:pPr>
      <w:r>
        <w:rPr>
          <w:rFonts w:hint="eastAsia" w:ascii="黑体" w:hAnsi="黑体" w:eastAsia="黑体"/>
          <w:sz w:val="30"/>
          <w:szCs w:val="30"/>
        </w:rPr>
        <w:t>第一部分盈江县教育局教育科研中心2019年部门预算编制说明</w:t>
      </w:r>
    </w:p>
    <w:p>
      <w:pPr>
        <w:jc w:val="left"/>
        <w:rPr>
          <w:rFonts w:ascii="黑体" w:hAnsi="黑体" w:eastAsia="黑体"/>
          <w:sz w:val="30"/>
          <w:szCs w:val="30"/>
        </w:rPr>
      </w:pPr>
      <w:r>
        <w:rPr>
          <w:rFonts w:hint="eastAsia" w:ascii="黑体" w:hAnsi="黑体" w:eastAsia="黑体"/>
          <w:sz w:val="30"/>
          <w:szCs w:val="30"/>
        </w:rPr>
        <w:t>第二部分盈江县教育局教育科研中心2019年部门预算表</w:t>
      </w:r>
    </w:p>
    <w:p>
      <w:pPr>
        <w:jc w:val="left"/>
        <w:rPr>
          <w:rFonts w:eastAsia="仿宋_GB2312"/>
          <w:sz w:val="30"/>
          <w:szCs w:val="30"/>
        </w:rPr>
      </w:pPr>
      <w:r>
        <w:rPr>
          <w:rFonts w:hint="eastAsia" w:eastAsia="仿宋_GB2312"/>
          <w:sz w:val="30"/>
          <w:szCs w:val="30"/>
        </w:rPr>
        <w:t>一、部门财务收支总体情况表</w:t>
      </w:r>
    </w:p>
    <w:p>
      <w:pPr>
        <w:jc w:val="left"/>
        <w:rPr>
          <w:rFonts w:eastAsia="仿宋_GB2312"/>
          <w:sz w:val="30"/>
          <w:szCs w:val="30"/>
        </w:rPr>
      </w:pPr>
      <w:r>
        <w:rPr>
          <w:rFonts w:hint="eastAsia" w:eastAsia="仿宋_GB2312"/>
          <w:sz w:val="30"/>
          <w:szCs w:val="30"/>
        </w:rPr>
        <w:t>二、部门收入总体情况表</w:t>
      </w:r>
    </w:p>
    <w:p>
      <w:pPr>
        <w:jc w:val="left"/>
        <w:rPr>
          <w:rFonts w:eastAsia="仿宋_GB2312"/>
          <w:sz w:val="30"/>
          <w:szCs w:val="30"/>
        </w:rPr>
      </w:pPr>
      <w:r>
        <w:rPr>
          <w:rFonts w:hint="eastAsia" w:eastAsia="仿宋_GB2312"/>
          <w:sz w:val="30"/>
          <w:szCs w:val="30"/>
        </w:rPr>
        <w:t>三、部门支出总体情况表</w:t>
      </w:r>
    </w:p>
    <w:p>
      <w:pPr>
        <w:jc w:val="left"/>
        <w:rPr>
          <w:rFonts w:eastAsia="仿宋_GB2312"/>
          <w:sz w:val="30"/>
          <w:szCs w:val="30"/>
        </w:rPr>
      </w:pPr>
      <w:r>
        <w:rPr>
          <w:rFonts w:hint="eastAsia" w:eastAsia="仿宋_GB2312"/>
          <w:sz w:val="30"/>
          <w:szCs w:val="30"/>
        </w:rPr>
        <w:t>四、部门财政拨款收支总体情况表</w:t>
      </w:r>
    </w:p>
    <w:p>
      <w:pPr>
        <w:jc w:val="left"/>
        <w:rPr>
          <w:rFonts w:eastAsia="仿宋_GB2312"/>
          <w:sz w:val="30"/>
          <w:szCs w:val="30"/>
        </w:rPr>
      </w:pPr>
      <w:r>
        <w:rPr>
          <w:rFonts w:hint="eastAsia" w:eastAsia="仿宋_GB2312"/>
          <w:sz w:val="30"/>
          <w:szCs w:val="30"/>
        </w:rPr>
        <w:t>五、部门一般公共预算本级财力安排支出情况表</w:t>
      </w:r>
    </w:p>
    <w:p>
      <w:pPr>
        <w:jc w:val="left"/>
        <w:rPr>
          <w:rFonts w:eastAsia="仿宋_GB2312"/>
          <w:sz w:val="30"/>
          <w:szCs w:val="30"/>
        </w:rPr>
      </w:pPr>
      <w:r>
        <w:rPr>
          <w:rFonts w:hint="eastAsia" w:eastAsia="仿宋_GB2312"/>
          <w:sz w:val="30"/>
          <w:szCs w:val="30"/>
        </w:rPr>
        <w:t>六、部门基本支出情况表</w:t>
      </w:r>
    </w:p>
    <w:p>
      <w:pPr>
        <w:jc w:val="left"/>
        <w:rPr>
          <w:rFonts w:eastAsia="仿宋_GB2312"/>
          <w:sz w:val="30"/>
          <w:szCs w:val="30"/>
        </w:rPr>
      </w:pPr>
      <w:r>
        <w:rPr>
          <w:rFonts w:hint="eastAsia" w:eastAsia="仿宋_GB2312"/>
          <w:sz w:val="30"/>
          <w:szCs w:val="30"/>
        </w:rPr>
        <w:t>七、部门政府性基金预算支出情况表</w:t>
      </w:r>
    </w:p>
    <w:p>
      <w:pPr>
        <w:jc w:val="left"/>
        <w:rPr>
          <w:rFonts w:eastAsia="仿宋_GB2312"/>
          <w:sz w:val="30"/>
          <w:szCs w:val="30"/>
        </w:rPr>
      </w:pPr>
      <w:r>
        <w:rPr>
          <w:rFonts w:hint="eastAsia" w:eastAsia="仿宋_GB2312"/>
          <w:sz w:val="30"/>
          <w:szCs w:val="30"/>
        </w:rPr>
        <w:t>八、财政拨款支出明细表（按经济科目分类）</w:t>
      </w:r>
    </w:p>
    <w:p>
      <w:pPr>
        <w:jc w:val="left"/>
        <w:rPr>
          <w:rFonts w:eastAsia="仿宋_GB2312"/>
          <w:sz w:val="30"/>
          <w:szCs w:val="30"/>
        </w:rPr>
      </w:pPr>
      <w:r>
        <w:rPr>
          <w:rFonts w:hint="eastAsia" w:eastAsia="仿宋_GB2312"/>
          <w:sz w:val="30"/>
          <w:szCs w:val="30"/>
        </w:rPr>
        <w:t>九、部门一般公共预算“三公”经费支出情况表</w:t>
      </w:r>
    </w:p>
    <w:p>
      <w:pPr>
        <w:jc w:val="left"/>
        <w:rPr>
          <w:rFonts w:eastAsia="仿宋_GB2312"/>
          <w:sz w:val="30"/>
          <w:szCs w:val="30"/>
        </w:rPr>
      </w:pPr>
      <w:r>
        <w:rPr>
          <w:rFonts w:hint="eastAsia" w:eastAsia="仿宋_GB2312"/>
          <w:sz w:val="30"/>
          <w:szCs w:val="30"/>
        </w:rPr>
        <w:t>十、县本级项目支出绩效目标表（本次下达）</w:t>
      </w:r>
    </w:p>
    <w:p>
      <w:pPr>
        <w:jc w:val="left"/>
        <w:rPr>
          <w:rFonts w:eastAsia="仿宋_GB2312"/>
          <w:sz w:val="30"/>
          <w:szCs w:val="30"/>
        </w:rPr>
      </w:pPr>
      <w:r>
        <w:rPr>
          <w:rFonts w:hint="eastAsia" w:eastAsia="仿宋_GB2312"/>
          <w:sz w:val="30"/>
          <w:szCs w:val="30"/>
        </w:rPr>
        <w:t>十一、县本级项目支出绩效目标表（另文下达）</w:t>
      </w:r>
    </w:p>
    <w:p>
      <w:pPr>
        <w:jc w:val="left"/>
        <w:rPr>
          <w:rFonts w:eastAsia="仿宋_GB2312"/>
          <w:sz w:val="30"/>
          <w:szCs w:val="30"/>
        </w:rPr>
      </w:pPr>
      <w:r>
        <w:rPr>
          <w:rFonts w:hint="eastAsia" w:eastAsia="仿宋_GB2312"/>
          <w:sz w:val="30"/>
          <w:szCs w:val="30"/>
        </w:rPr>
        <w:t>十二、县对下转移支付绩效目标表</w:t>
      </w:r>
    </w:p>
    <w:p>
      <w:pPr>
        <w:jc w:val="left"/>
        <w:rPr>
          <w:rFonts w:eastAsia="仿宋_GB2312"/>
          <w:sz w:val="30"/>
          <w:szCs w:val="30"/>
        </w:rPr>
      </w:pPr>
      <w:r>
        <w:rPr>
          <w:rFonts w:hint="eastAsia" w:eastAsia="仿宋_GB2312"/>
          <w:sz w:val="30"/>
          <w:szCs w:val="30"/>
        </w:rPr>
        <w:t>十三、部门政府采购情况表</w:t>
      </w:r>
    </w:p>
    <w:p>
      <w:pPr>
        <w:jc w:val="left"/>
        <w:rPr>
          <w:rFonts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rPr>
        <w:t>盈江县教育局教育科研中心2019年部门预算编制说明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江县财政局关于盈江县教育科研中心2019年部门预算的批复》（盈财预分指〔2019〕6号），按照预算管理的相关规定，盈江县教育局教育科研中心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德教发[2005]70号关于认真抓好县市“教育科学研究中心”内部建设的通知规定，主要职能是</w:t>
      </w:r>
      <w:bookmarkStart w:id="0" w:name="_GoBack"/>
      <w:bookmarkEnd w:id="0"/>
      <w:r>
        <w:rPr>
          <w:rFonts w:hint="eastAsia" w:ascii="仿宋_GB2312" w:hAnsi="仿宋_GB2312" w:eastAsia="仿宋_GB2312" w:cs="仿宋_GB2312"/>
          <w:sz w:val="30"/>
          <w:szCs w:val="30"/>
        </w:rPr>
        <w:t>：在教育局的管理下，承担着教育局赋予的管理、指导本区域内教师教育和所有学校教育教学业务以及教学设备装备的行政职能权利。具体承担以下主要工作职能：</w:t>
      </w:r>
    </w:p>
    <w:p>
      <w:pPr>
        <w:keepNext w:val="0"/>
        <w:keepLines w:val="0"/>
        <w:pageBreakBefore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color w:val="333333"/>
          <w:sz w:val="30"/>
          <w:szCs w:val="30"/>
        </w:rPr>
      </w:pPr>
      <w:r>
        <w:rPr>
          <w:rFonts w:hint="eastAsia" w:ascii="仿宋_GB2312" w:hAnsi="仿宋_GB2312" w:eastAsia="仿宋_GB2312" w:cs="仿宋_GB2312"/>
          <w:sz w:val="30"/>
          <w:szCs w:val="30"/>
        </w:rPr>
        <w:t>1、研究本县市各类教育的发展，侧重于研究义务教育阶段的教育理论和实践问题；</w:t>
      </w:r>
    </w:p>
    <w:p>
      <w:pPr>
        <w:pStyle w:val="13"/>
        <w:keepNext w:val="0"/>
        <w:keepLines w:val="0"/>
        <w:pageBreakBefore w:val="0"/>
        <w:widowControl/>
        <w:kinsoku/>
        <w:wordWrap/>
        <w:overflowPunct/>
        <w:topLinePunct w:val="0"/>
        <w:autoSpaceDE/>
        <w:autoSpaceDN/>
        <w:bidi w:val="0"/>
        <w:adjustRightInd/>
        <w:snapToGrid/>
        <w:spacing w:line="480" w:lineRule="auto"/>
        <w:ind w:firstLine="600" w:firstLineChars="200"/>
        <w:textAlignment w:val="auto"/>
        <w:rPr>
          <w:rFonts w:hint="eastAsia" w:ascii="仿宋_GB2312" w:hAnsi="仿宋_GB2312" w:eastAsia="仿宋_GB2312" w:cs="仿宋_GB2312"/>
          <w:color w:val="333333"/>
          <w:sz w:val="30"/>
          <w:szCs w:val="30"/>
        </w:rPr>
      </w:pPr>
      <w:r>
        <w:rPr>
          <w:rFonts w:hint="eastAsia" w:ascii="仿宋_GB2312" w:hAnsi="仿宋_GB2312" w:eastAsia="仿宋_GB2312" w:cs="仿宋_GB2312"/>
          <w:color w:val="333333"/>
          <w:sz w:val="30"/>
          <w:szCs w:val="30"/>
        </w:rPr>
        <w:t>2、组织指导、检查、评价本县市普通高中、职业学校、义务教育阶段、学前教育阶段的教育教学业务工作；</w:t>
      </w:r>
    </w:p>
    <w:p>
      <w:pPr>
        <w:pStyle w:val="13"/>
        <w:keepNext w:val="0"/>
        <w:keepLines w:val="0"/>
        <w:pageBreakBefore w:val="0"/>
        <w:widowControl/>
        <w:kinsoku/>
        <w:wordWrap/>
        <w:overflowPunct/>
        <w:topLinePunct w:val="0"/>
        <w:autoSpaceDE/>
        <w:autoSpaceDN/>
        <w:bidi w:val="0"/>
        <w:adjustRightInd/>
        <w:snapToGrid/>
        <w:spacing w:line="480" w:lineRule="auto"/>
        <w:ind w:firstLine="600" w:firstLineChars="200"/>
        <w:textAlignment w:val="auto"/>
        <w:rPr>
          <w:rFonts w:hint="eastAsia" w:ascii="仿宋_GB2312" w:hAnsi="仿宋_GB2312" w:eastAsia="仿宋_GB2312" w:cs="仿宋_GB2312"/>
          <w:color w:val="333333"/>
          <w:sz w:val="30"/>
          <w:szCs w:val="30"/>
        </w:rPr>
      </w:pPr>
      <w:r>
        <w:rPr>
          <w:rFonts w:hint="eastAsia" w:ascii="仿宋_GB2312" w:hAnsi="仿宋_GB2312" w:eastAsia="仿宋_GB2312" w:cs="仿宋_GB2312"/>
          <w:color w:val="333333"/>
          <w:sz w:val="30"/>
          <w:szCs w:val="30"/>
        </w:rPr>
        <w:t>3、研究教育教学理论、科研和教材教法，指导学校校本课程资源的开发；</w:t>
      </w:r>
    </w:p>
    <w:p>
      <w:pPr>
        <w:pStyle w:val="13"/>
        <w:keepNext w:val="0"/>
        <w:keepLines w:val="0"/>
        <w:pageBreakBefore w:val="0"/>
        <w:widowControl/>
        <w:kinsoku/>
        <w:wordWrap/>
        <w:overflowPunct/>
        <w:topLinePunct w:val="0"/>
        <w:autoSpaceDE/>
        <w:autoSpaceDN/>
        <w:bidi w:val="0"/>
        <w:adjustRightInd/>
        <w:snapToGrid/>
        <w:spacing w:line="480" w:lineRule="auto"/>
        <w:ind w:firstLine="600" w:firstLineChars="200"/>
        <w:textAlignment w:val="auto"/>
        <w:rPr>
          <w:rFonts w:hint="eastAsia" w:ascii="仿宋_GB2312" w:hAnsi="仿宋_GB2312" w:eastAsia="仿宋_GB2312" w:cs="仿宋_GB2312"/>
          <w:color w:val="333333"/>
          <w:sz w:val="30"/>
          <w:szCs w:val="30"/>
        </w:rPr>
      </w:pPr>
      <w:r>
        <w:rPr>
          <w:rFonts w:hint="eastAsia" w:ascii="仿宋_GB2312" w:hAnsi="仿宋_GB2312" w:eastAsia="仿宋_GB2312" w:cs="仿宋_GB2312"/>
          <w:color w:val="333333"/>
          <w:sz w:val="30"/>
          <w:szCs w:val="30"/>
        </w:rPr>
        <w:t>4、组织实施双语双文教学，开展相关民族教育理论、科研和实践的研究；</w:t>
      </w:r>
    </w:p>
    <w:p>
      <w:pPr>
        <w:pStyle w:val="13"/>
        <w:keepNext w:val="0"/>
        <w:keepLines w:val="0"/>
        <w:pageBreakBefore w:val="0"/>
        <w:widowControl/>
        <w:kinsoku/>
        <w:wordWrap/>
        <w:overflowPunct/>
        <w:topLinePunct w:val="0"/>
        <w:autoSpaceDE/>
        <w:autoSpaceDN/>
        <w:bidi w:val="0"/>
        <w:adjustRightInd/>
        <w:snapToGrid/>
        <w:spacing w:line="480" w:lineRule="auto"/>
        <w:ind w:firstLine="600" w:firstLineChars="200"/>
        <w:textAlignment w:val="auto"/>
        <w:rPr>
          <w:rFonts w:hint="eastAsia" w:ascii="仿宋_GB2312" w:hAnsi="仿宋_GB2312" w:eastAsia="仿宋_GB2312" w:cs="仿宋_GB2312"/>
          <w:color w:val="333333"/>
          <w:sz w:val="30"/>
          <w:szCs w:val="30"/>
        </w:rPr>
      </w:pPr>
      <w:r>
        <w:rPr>
          <w:rFonts w:hint="eastAsia" w:ascii="仿宋_GB2312" w:hAnsi="仿宋_GB2312" w:eastAsia="仿宋_GB2312" w:cs="仿宋_GB2312"/>
          <w:color w:val="333333"/>
          <w:sz w:val="30"/>
          <w:szCs w:val="30"/>
        </w:rPr>
        <w:t>5、组织教育教学改革实验，总结教育教学经验，推广教育科研成果；</w:t>
      </w:r>
    </w:p>
    <w:p>
      <w:pPr>
        <w:pStyle w:val="13"/>
        <w:keepNext w:val="0"/>
        <w:keepLines w:val="0"/>
        <w:pageBreakBefore w:val="0"/>
        <w:widowControl/>
        <w:kinsoku/>
        <w:wordWrap/>
        <w:overflowPunct/>
        <w:topLinePunct w:val="0"/>
        <w:autoSpaceDE/>
        <w:autoSpaceDN/>
        <w:bidi w:val="0"/>
        <w:adjustRightInd/>
        <w:snapToGrid/>
        <w:spacing w:line="480" w:lineRule="auto"/>
        <w:ind w:firstLine="600" w:firstLineChars="200"/>
        <w:textAlignment w:val="auto"/>
        <w:rPr>
          <w:rFonts w:hint="eastAsia" w:ascii="仿宋_GB2312" w:hAnsi="仿宋_GB2312" w:eastAsia="仿宋_GB2312" w:cs="仿宋_GB2312"/>
          <w:color w:val="333333"/>
          <w:sz w:val="30"/>
          <w:szCs w:val="30"/>
        </w:rPr>
      </w:pPr>
      <w:r>
        <w:rPr>
          <w:rFonts w:hint="eastAsia" w:ascii="仿宋_GB2312" w:hAnsi="仿宋_GB2312" w:eastAsia="仿宋_GB2312" w:cs="仿宋_GB2312"/>
          <w:color w:val="333333"/>
          <w:sz w:val="30"/>
          <w:szCs w:val="30"/>
        </w:rPr>
        <w:t>6、按省、州有关规定，管理本域内所有学校的教学用书工作；</w:t>
      </w:r>
    </w:p>
    <w:p>
      <w:pPr>
        <w:pStyle w:val="13"/>
        <w:keepNext w:val="0"/>
        <w:keepLines w:val="0"/>
        <w:pageBreakBefore w:val="0"/>
        <w:widowControl/>
        <w:kinsoku/>
        <w:wordWrap/>
        <w:overflowPunct/>
        <w:topLinePunct w:val="0"/>
        <w:autoSpaceDE/>
        <w:autoSpaceDN/>
        <w:bidi w:val="0"/>
        <w:adjustRightInd/>
        <w:snapToGrid/>
        <w:spacing w:line="480" w:lineRule="auto"/>
        <w:ind w:firstLine="600" w:firstLineChars="200"/>
        <w:textAlignment w:val="auto"/>
        <w:rPr>
          <w:rFonts w:hint="eastAsia" w:ascii="仿宋_GB2312" w:hAnsi="仿宋_GB2312" w:eastAsia="仿宋_GB2312" w:cs="仿宋_GB2312"/>
          <w:color w:val="333333"/>
          <w:sz w:val="30"/>
          <w:szCs w:val="30"/>
        </w:rPr>
      </w:pPr>
      <w:r>
        <w:rPr>
          <w:rFonts w:hint="eastAsia" w:ascii="仿宋_GB2312" w:hAnsi="仿宋_GB2312" w:eastAsia="仿宋_GB2312" w:cs="仿宋_GB2312"/>
          <w:color w:val="333333"/>
          <w:sz w:val="30"/>
          <w:szCs w:val="30"/>
        </w:rPr>
        <w:t>7、统筹规划和实施本县市教师教育工作，拟定中小学师资学历达标计划并指导实施；</w:t>
      </w:r>
    </w:p>
    <w:p>
      <w:pPr>
        <w:pStyle w:val="13"/>
        <w:keepNext w:val="0"/>
        <w:keepLines w:val="0"/>
        <w:pageBreakBefore w:val="0"/>
        <w:widowControl/>
        <w:kinsoku/>
        <w:wordWrap/>
        <w:overflowPunct/>
        <w:topLinePunct w:val="0"/>
        <w:autoSpaceDE/>
        <w:autoSpaceDN/>
        <w:bidi w:val="0"/>
        <w:adjustRightInd/>
        <w:snapToGrid/>
        <w:spacing w:line="480" w:lineRule="auto"/>
        <w:ind w:firstLine="600" w:firstLineChars="200"/>
        <w:textAlignment w:val="auto"/>
        <w:rPr>
          <w:rFonts w:hint="eastAsia" w:ascii="仿宋_GB2312" w:hAnsi="仿宋_GB2312" w:eastAsia="仿宋_GB2312" w:cs="仿宋_GB2312"/>
          <w:color w:val="333333"/>
          <w:sz w:val="30"/>
          <w:szCs w:val="30"/>
        </w:rPr>
      </w:pPr>
      <w:r>
        <w:rPr>
          <w:rFonts w:hint="eastAsia" w:ascii="仿宋_GB2312" w:hAnsi="仿宋_GB2312" w:eastAsia="仿宋_GB2312" w:cs="仿宋_GB2312"/>
          <w:color w:val="333333"/>
          <w:sz w:val="30"/>
          <w:szCs w:val="30"/>
        </w:rPr>
        <w:t>8、按有关要求组织本县市教师的各类继续教育培训活动和考核工作；</w:t>
      </w:r>
    </w:p>
    <w:p>
      <w:pPr>
        <w:pStyle w:val="13"/>
        <w:keepNext w:val="0"/>
        <w:keepLines w:val="0"/>
        <w:pageBreakBefore w:val="0"/>
        <w:widowControl/>
        <w:kinsoku/>
        <w:wordWrap/>
        <w:overflowPunct/>
        <w:topLinePunct w:val="0"/>
        <w:autoSpaceDE/>
        <w:autoSpaceDN/>
        <w:bidi w:val="0"/>
        <w:adjustRightInd/>
        <w:snapToGrid/>
        <w:spacing w:line="480" w:lineRule="auto"/>
        <w:ind w:firstLine="600" w:firstLineChars="200"/>
        <w:textAlignment w:val="auto"/>
        <w:rPr>
          <w:rFonts w:hint="eastAsia" w:ascii="仿宋_GB2312" w:hAnsi="仿宋_GB2312" w:eastAsia="仿宋_GB2312" w:cs="仿宋_GB2312"/>
          <w:color w:val="333333"/>
          <w:sz w:val="30"/>
          <w:szCs w:val="30"/>
        </w:rPr>
      </w:pPr>
      <w:r>
        <w:rPr>
          <w:rFonts w:hint="eastAsia" w:ascii="仿宋_GB2312" w:hAnsi="仿宋_GB2312" w:eastAsia="仿宋_GB2312" w:cs="仿宋_GB2312"/>
          <w:color w:val="333333"/>
          <w:sz w:val="30"/>
          <w:szCs w:val="30"/>
        </w:rPr>
        <w:t>9、指导本县市的学校建立校本教研制度和校本培训制度；</w:t>
      </w:r>
    </w:p>
    <w:p>
      <w:pPr>
        <w:pStyle w:val="13"/>
        <w:keepNext w:val="0"/>
        <w:keepLines w:val="0"/>
        <w:pageBreakBefore w:val="0"/>
        <w:widowControl/>
        <w:kinsoku/>
        <w:wordWrap/>
        <w:overflowPunct/>
        <w:topLinePunct w:val="0"/>
        <w:autoSpaceDE/>
        <w:autoSpaceDN/>
        <w:bidi w:val="0"/>
        <w:adjustRightInd/>
        <w:snapToGrid/>
        <w:spacing w:line="480" w:lineRule="auto"/>
        <w:ind w:firstLine="600" w:firstLineChars="200"/>
        <w:textAlignment w:val="auto"/>
        <w:rPr>
          <w:rFonts w:hint="eastAsia" w:ascii="仿宋_GB2312" w:hAnsi="仿宋_GB2312" w:eastAsia="仿宋_GB2312" w:cs="仿宋_GB2312"/>
          <w:color w:val="333333"/>
          <w:sz w:val="30"/>
          <w:szCs w:val="30"/>
        </w:rPr>
      </w:pPr>
      <w:r>
        <w:rPr>
          <w:rFonts w:hint="eastAsia" w:ascii="仿宋_GB2312" w:hAnsi="仿宋_GB2312" w:eastAsia="仿宋_GB2312" w:cs="仿宋_GB2312"/>
          <w:color w:val="333333"/>
          <w:sz w:val="30"/>
          <w:szCs w:val="30"/>
        </w:rPr>
        <w:t xml:space="preserve"> 10、拟定全县中小学实验室的建设规划，负责全县中小学实验室的建设与管理</w:t>
      </w:r>
      <w:r>
        <w:rPr>
          <w:rFonts w:hint="eastAsia" w:ascii="仿宋_GB2312" w:hAnsi="仿宋_GB2312" w:eastAsia="仿宋_GB2312" w:cs="仿宋_GB2312"/>
          <w:color w:val="333333"/>
          <w:sz w:val="30"/>
          <w:szCs w:val="30"/>
          <w:lang w:eastAsia="zh-CN"/>
        </w:rPr>
        <w:t>工作</w:t>
      </w:r>
      <w:r>
        <w:rPr>
          <w:rFonts w:hint="eastAsia" w:ascii="仿宋_GB2312" w:hAnsi="仿宋_GB2312" w:eastAsia="仿宋_GB2312" w:cs="仿宋_GB2312"/>
          <w:color w:val="333333"/>
          <w:sz w:val="30"/>
          <w:szCs w:val="30"/>
        </w:rPr>
        <w:t>；</w:t>
      </w:r>
    </w:p>
    <w:p>
      <w:pPr>
        <w:pStyle w:val="13"/>
        <w:keepNext w:val="0"/>
        <w:keepLines w:val="0"/>
        <w:pageBreakBefore w:val="0"/>
        <w:widowControl/>
        <w:kinsoku/>
        <w:wordWrap/>
        <w:overflowPunct/>
        <w:topLinePunct w:val="0"/>
        <w:autoSpaceDE/>
        <w:autoSpaceDN/>
        <w:bidi w:val="0"/>
        <w:adjustRightInd/>
        <w:snapToGrid/>
        <w:spacing w:line="480" w:lineRule="auto"/>
        <w:ind w:firstLine="600" w:firstLineChars="200"/>
        <w:textAlignment w:val="auto"/>
        <w:rPr>
          <w:rFonts w:hint="eastAsia" w:ascii="仿宋_GB2312" w:hAnsi="仿宋_GB2312" w:eastAsia="仿宋_GB2312" w:cs="仿宋_GB2312"/>
          <w:color w:val="333333"/>
          <w:sz w:val="30"/>
          <w:szCs w:val="30"/>
        </w:rPr>
      </w:pPr>
      <w:r>
        <w:rPr>
          <w:rFonts w:hint="eastAsia" w:ascii="仿宋_GB2312" w:hAnsi="仿宋_GB2312" w:eastAsia="仿宋_GB2312" w:cs="仿宋_GB2312"/>
          <w:color w:val="333333"/>
          <w:sz w:val="30"/>
          <w:szCs w:val="30"/>
        </w:rPr>
        <w:t xml:space="preserve">  11、拟定全县中小学图书（馆）室建设规划，负责全县中小学图书（馆）室的建设与管理工作；</w:t>
      </w:r>
    </w:p>
    <w:p>
      <w:pPr>
        <w:pStyle w:val="13"/>
        <w:keepNext w:val="0"/>
        <w:keepLines w:val="0"/>
        <w:pageBreakBefore w:val="0"/>
        <w:widowControl/>
        <w:kinsoku/>
        <w:wordWrap/>
        <w:overflowPunct/>
        <w:topLinePunct w:val="0"/>
        <w:autoSpaceDE/>
        <w:autoSpaceDN/>
        <w:bidi w:val="0"/>
        <w:adjustRightInd/>
        <w:snapToGrid/>
        <w:spacing w:line="480" w:lineRule="auto"/>
        <w:ind w:firstLine="600" w:firstLineChars="200"/>
        <w:textAlignment w:val="auto"/>
        <w:rPr>
          <w:rFonts w:hint="eastAsia" w:ascii="仿宋_GB2312" w:hAnsi="仿宋_GB2312" w:eastAsia="仿宋_GB2312" w:cs="仿宋_GB2312"/>
          <w:color w:val="333333"/>
          <w:sz w:val="30"/>
          <w:szCs w:val="30"/>
        </w:rPr>
      </w:pPr>
      <w:r>
        <w:rPr>
          <w:rFonts w:hint="eastAsia" w:ascii="仿宋_GB2312" w:hAnsi="仿宋_GB2312" w:eastAsia="仿宋_GB2312" w:cs="仿宋_GB2312"/>
          <w:color w:val="333333"/>
          <w:sz w:val="30"/>
          <w:szCs w:val="30"/>
        </w:rPr>
        <w:t xml:space="preserve">  12、拟定全县电化教育的发展规划，负责全县的电化教育（包括信息技术教育）工作；</w:t>
      </w:r>
    </w:p>
    <w:p>
      <w:pPr>
        <w:pStyle w:val="13"/>
        <w:keepNext w:val="0"/>
        <w:keepLines w:val="0"/>
        <w:pageBreakBefore w:val="0"/>
        <w:widowControl/>
        <w:kinsoku/>
        <w:wordWrap/>
        <w:overflowPunct/>
        <w:topLinePunct w:val="0"/>
        <w:autoSpaceDE/>
        <w:autoSpaceDN/>
        <w:bidi w:val="0"/>
        <w:adjustRightInd/>
        <w:snapToGrid/>
        <w:spacing w:line="480" w:lineRule="auto"/>
        <w:ind w:firstLine="600" w:firstLineChars="200"/>
        <w:textAlignment w:val="auto"/>
        <w:rPr>
          <w:rFonts w:hint="eastAsia" w:ascii="仿宋_GB2312" w:hAnsi="仿宋_GB2312" w:eastAsia="仿宋_GB2312" w:cs="仿宋_GB2312"/>
          <w:color w:val="333333"/>
          <w:sz w:val="30"/>
          <w:szCs w:val="30"/>
        </w:rPr>
      </w:pPr>
      <w:r>
        <w:rPr>
          <w:rFonts w:hint="eastAsia" w:ascii="仿宋_GB2312" w:hAnsi="仿宋_GB2312" w:eastAsia="仿宋_GB2312" w:cs="仿宋_GB2312"/>
          <w:color w:val="333333"/>
          <w:sz w:val="30"/>
          <w:szCs w:val="30"/>
        </w:rPr>
        <w:t xml:space="preserve">  13、完成本区域内教育系统的普通话测试任务和校园语言文字达标工作。</w:t>
      </w:r>
    </w:p>
    <w:p>
      <w:pPr>
        <w:pStyle w:val="13"/>
        <w:keepNext w:val="0"/>
        <w:keepLines w:val="0"/>
        <w:pageBreakBefore w:val="0"/>
        <w:widowControl/>
        <w:kinsoku/>
        <w:wordWrap/>
        <w:overflowPunct/>
        <w:topLinePunct w:val="0"/>
        <w:autoSpaceDE/>
        <w:autoSpaceDN/>
        <w:bidi w:val="0"/>
        <w:adjustRightInd/>
        <w:snapToGrid/>
        <w:spacing w:line="480" w:lineRule="auto"/>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（二）机构设置情况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盈江县教育局教育科研中心设置四个股室：师训办公室、电教室、教研室、办公室。</w:t>
      </w:r>
    </w:p>
    <w:p>
      <w:pPr>
        <w:keepNext w:val="0"/>
        <w:keepLines w:val="0"/>
        <w:pageBreakBefore w:val="0"/>
        <w:widowControl/>
        <w:kinsoku/>
        <w:wordWrap/>
        <w:overflowPunct/>
        <w:topLinePunct w:val="0"/>
        <w:autoSpaceDE/>
        <w:autoSpaceDN/>
        <w:bidi w:val="0"/>
        <w:adjustRightInd/>
        <w:snapToGrid/>
        <w:ind w:left="0" w:leftChars="0" w:firstLine="600" w:firstLineChars="200"/>
        <w:jc w:val="left"/>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（三）重点工作概述</w:t>
      </w:r>
    </w:p>
    <w:p>
      <w:pPr>
        <w:pStyle w:val="13"/>
        <w:keepNext w:val="0"/>
        <w:keepLines w:val="0"/>
        <w:pageBreakBefore w:val="0"/>
        <w:widowControl/>
        <w:kinsoku/>
        <w:wordWrap/>
        <w:overflowPunct/>
        <w:topLinePunct w:val="0"/>
        <w:autoSpaceDE/>
        <w:autoSpaceDN/>
        <w:bidi w:val="0"/>
        <w:adjustRightInd/>
        <w:snapToGrid/>
        <w:spacing w:line="480" w:lineRule="auto"/>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000000"/>
          <w:sz w:val="30"/>
          <w:szCs w:val="30"/>
        </w:rPr>
        <w:t>认真</w:t>
      </w:r>
      <w:r>
        <w:rPr>
          <w:rFonts w:hint="eastAsia" w:ascii="仿宋_GB2312" w:hAnsi="仿宋_GB2312" w:eastAsia="仿宋_GB2312" w:cs="仿宋_GB2312"/>
          <w:color w:val="000000"/>
          <w:sz w:val="30"/>
          <w:szCs w:val="30"/>
          <w:lang w:eastAsia="zh-CN"/>
        </w:rPr>
        <w:t>贯彻落实党的十九大精神</w:t>
      </w:r>
      <w:r>
        <w:rPr>
          <w:rFonts w:hint="eastAsia" w:ascii="仿宋_GB2312" w:hAnsi="仿宋_GB2312" w:eastAsia="仿宋_GB2312" w:cs="仿宋_GB2312"/>
          <w:color w:val="000000"/>
          <w:sz w:val="30"/>
          <w:szCs w:val="30"/>
        </w:rPr>
        <w:t>、全面深化教育领域改革，推动教育事业稳步发展。2019年我单位教育工作的总体要求是：以国家和省、州中长期教育改革和发展规划纲要的实施意见为指导，抓好课堂教学改革，强化队伍建设，以提高初中教学成绩为切入点，促进小学抓质量管理，推动初中抓“控辍保学”工作，全面强化校园管理和内涵发展，以初中质量的整体提升，拉动小学管理进步，全面带动我县教育水平再上新台阶；积极开展好各类培训，提高培训教师综合素质，做好国家通用语言文字普及攻坚工程，国家三类城市语言文字评估和普通话基本普及县域验收工作；按上级教育部门安排完成“全面改薄”项目配备计划，积极组织功能室管理人员培训，推进信息化工作进度。围绕总体要求，2019年重点抓好以下几个方面工作：</w:t>
      </w:r>
    </w:p>
    <w:p>
      <w:pPr>
        <w:keepNext w:val="0"/>
        <w:keepLines w:val="0"/>
        <w:pageBreakBefore w:val="0"/>
        <w:numPr>
          <w:ilvl w:val="0"/>
          <w:numId w:val="1"/>
        </w:numPr>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立足县情，结合实际，创新机制，积极配合协助省、州开展的各项培训活动；加强交流，继续开展并完善中小学教师履职晋级培训、校长及教师论坛培训等活动，拓展思维，开阔眼界，不断提高培训教师综合素质；开展启动申报省一级教师进修学校基础设施建设工作，巩固盈江县</w:t>
      </w:r>
      <w:r>
        <w:rPr>
          <w:rFonts w:hint="eastAsia" w:ascii="仿宋_GB2312" w:hAnsi="仿宋_GB2312" w:eastAsia="仿宋_GB2312" w:cs="仿宋_GB2312"/>
          <w:color w:val="000000"/>
          <w:sz w:val="30"/>
          <w:szCs w:val="30"/>
        </w:rPr>
        <w:t>国家通用语言文字普及攻坚工程，国家三类城市语言文字评估和普通话基本普及县域验收工作</w:t>
      </w:r>
      <w:r>
        <w:rPr>
          <w:rFonts w:hint="eastAsia" w:ascii="仿宋_GB2312" w:hAnsi="仿宋_GB2312" w:eastAsia="仿宋_GB2312" w:cs="仿宋_GB2312"/>
          <w:sz w:val="30"/>
          <w:szCs w:val="30"/>
        </w:rPr>
        <w:t>；</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2、进一步完善全县教学仪器设备的配备、使用、验收、培训工作，提高设备使用效率，加快推进教育信息化进程及教师信息技术应用能力提升；</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继续推进教育教学改革发展，完善全县教研运作机制，以活动为载体，为教师成长搭建平台，强化教研队伍的建设，继续开展课题研究及送课下乡、学科教学研讨及双语培训等活动，以赛促训，加强中小学复习指导工作及学校教学管理，建立和完善质量监测评价机制，认真总结和反思各项工作的开展情况，查缺补漏，为全县教育教学水平的提高做出应有的贡献。</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w:t>
      </w:r>
      <w:r>
        <w:rPr>
          <w:rFonts w:hint="eastAsia" w:ascii="仿宋_GB2312" w:hAnsi="仿宋_GB2312" w:eastAsia="仿宋_GB2312" w:cs="仿宋_GB2312"/>
          <w:kern w:val="0"/>
          <w:sz w:val="30"/>
          <w:szCs w:val="30"/>
          <w:lang w:eastAsia="zh-CN"/>
        </w:rPr>
        <w:t>中心</w:t>
      </w:r>
      <w:r>
        <w:rPr>
          <w:rFonts w:hint="eastAsia" w:ascii="仿宋_GB2312" w:hAnsi="仿宋_GB2312" w:eastAsia="仿宋_GB2312" w:cs="仿宋_GB2312"/>
          <w:kern w:val="0"/>
          <w:sz w:val="30"/>
          <w:szCs w:val="30"/>
        </w:rPr>
        <w:t>编制2019年部门预算单位共1个。其中：财政全供给单位1个；部分供给单位0个；特殊供给单位0个；自收自支单位0个。财政全供给单位中行政单位0个，事业单位1个，；参公管理事业单位0个；非参公管理事业单位0个。截止2018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在职人员编制38人，其中：行政编制 0人，事业编制38人。在职实有37人，其中： 财政全供养 37人，财政部分供养0人，非财政供养0人。</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离退休人员 24人，其中： 离休0 人，退休24人。</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车辆编制3辆，实有车辆3辆。</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hint="eastAsia" w:eastAsia="仿宋_GB2312"/>
          <w:kern w:val="0"/>
          <w:sz w:val="30"/>
          <w:szCs w:val="30"/>
        </w:rPr>
        <w:t>2019</w:t>
      </w:r>
      <w:r>
        <w:rPr>
          <w:rFonts w:eastAsia="仿宋_GB2312"/>
          <w:kern w:val="0"/>
          <w:sz w:val="30"/>
          <w:szCs w:val="30"/>
        </w:rPr>
        <w:t>年</w:t>
      </w:r>
      <w:r>
        <w:rPr>
          <w:rFonts w:hint="eastAsia" w:eastAsia="仿宋_GB2312"/>
          <w:kern w:val="0"/>
          <w:sz w:val="30"/>
          <w:szCs w:val="30"/>
        </w:rPr>
        <w:t>盈江县教育局教育科研中心</w:t>
      </w:r>
      <w:r>
        <w:rPr>
          <w:rFonts w:eastAsia="仿宋_GB2312"/>
          <w:kern w:val="0"/>
          <w:sz w:val="30"/>
          <w:szCs w:val="30"/>
        </w:rPr>
        <w:t>财务总收入</w:t>
      </w:r>
      <w:r>
        <w:rPr>
          <w:rFonts w:hint="eastAsia" w:eastAsia="仿宋_GB2312"/>
          <w:kern w:val="0"/>
          <w:sz w:val="30"/>
          <w:szCs w:val="30"/>
          <w:lang w:val="en-US" w:eastAsia="zh-CN"/>
        </w:rPr>
        <w:t>512.84</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512.84</w:t>
      </w:r>
      <w:r>
        <w:rPr>
          <w:rFonts w:eastAsia="仿宋_GB2312"/>
          <w:kern w:val="0"/>
          <w:sz w:val="30"/>
          <w:szCs w:val="30"/>
        </w:rPr>
        <w:t>万元，政府性基金</w:t>
      </w:r>
      <w:r>
        <w:rPr>
          <w:rFonts w:hint="eastAsia" w:eastAsia="仿宋_GB2312"/>
          <w:kern w:val="0"/>
          <w:sz w:val="30"/>
          <w:szCs w:val="30"/>
        </w:rPr>
        <w:t>预算财政拨款0</w:t>
      </w:r>
      <w:r>
        <w:rPr>
          <w:rFonts w:eastAsia="仿宋_GB2312"/>
          <w:kern w:val="0"/>
          <w:sz w:val="30"/>
          <w:szCs w:val="30"/>
        </w:rPr>
        <w:t>万元，国有资本经营</w:t>
      </w:r>
      <w:r>
        <w:rPr>
          <w:rFonts w:hint="eastAsia" w:eastAsia="仿宋_GB2312"/>
          <w:kern w:val="0"/>
          <w:sz w:val="30"/>
          <w:szCs w:val="30"/>
        </w:rPr>
        <w:t>预算财政拨款0</w:t>
      </w:r>
      <w:r>
        <w:rPr>
          <w:rFonts w:eastAsia="仿宋_GB2312"/>
          <w:kern w:val="0"/>
          <w:sz w:val="30"/>
          <w:szCs w:val="30"/>
        </w:rPr>
        <w:t>万元，事业收入</w:t>
      </w:r>
      <w:r>
        <w:rPr>
          <w:rFonts w:hint="eastAsia" w:eastAsia="仿宋_GB2312"/>
          <w:kern w:val="0"/>
          <w:sz w:val="30"/>
          <w:szCs w:val="30"/>
        </w:rPr>
        <w:t>0</w:t>
      </w:r>
      <w:r>
        <w:rPr>
          <w:rFonts w:eastAsia="仿宋_GB2312"/>
          <w:kern w:val="0"/>
          <w:sz w:val="30"/>
          <w:szCs w:val="30"/>
        </w:rPr>
        <w:t>万元，事业单位经营收入</w:t>
      </w:r>
      <w:r>
        <w:rPr>
          <w:rFonts w:hint="eastAsia" w:eastAsia="仿宋_GB2312"/>
          <w:kern w:val="0"/>
          <w:sz w:val="30"/>
          <w:szCs w:val="30"/>
        </w:rPr>
        <w:t>0</w:t>
      </w:r>
      <w:r>
        <w:rPr>
          <w:rFonts w:eastAsia="仿宋_GB2312"/>
          <w:kern w:val="0"/>
          <w:sz w:val="30"/>
          <w:szCs w:val="30"/>
        </w:rPr>
        <w:t>万元，其他收入</w:t>
      </w:r>
      <w:r>
        <w:rPr>
          <w:rFonts w:hint="eastAsia" w:eastAsia="仿宋_GB2312"/>
          <w:kern w:val="0"/>
          <w:sz w:val="30"/>
          <w:szCs w:val="30"/>
        </w:rPr>
        <w:t>0</w:t>
      </w:r>
      <w:r>
        <w:rPr>
          <w:rFonts w:eastAsia="仿宋_GB2312"/>
          <w:kern w:val="0"/>
          <w:sz w:val="30"/>
          <w:szCs w:val="30"/>
        </w:rPr>
        <w:t>万元</w:t>
      </w:r>
      <w:r>
        <w:rPr>
          <w:rFonts w:hint="eastAsia" w:eastAsia="仿宋_GB2312"/>
          <w:kern w:val="0"/>
          <w:sz w:val="30"/>
          <w:szCs w:val="30"/>
        </w:rPr>
        <w:t>，上年结转0万元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hint="eastAsia" w:eastAsia="仿宋_GB2312"/>
          <w:kern w:val="0"/>
          <w:sz w:val="30"/>
          <w:szCs w:val="30"/>
        </w:rPr>
        <w:t>2019</w:t>
      </w:r>
      <w:r>
        <w:rPr>
          <w:rFonts w:eastAsia="仿宋_GB2312"/>
          <w:kern w:val="0"/>
          <w:sz w:val="30"/>
          <w:szCs w:val="30"/>
        </w:rPr>
        <w:t xml:space="preserve">年部门财政拨款收入 </w:t>
      </w:r>
      <w:r>
        <w:rPr>
          <w:rFonts w:hint="eastAsia" w:eastAsia="仿宋_GB2312"/>
          <w:kern w:val="0"/>
          <w:sz w:val="30"/>
          <w:szCs w:val="30"/>
          <w:lang w:val="en-US" w:eastAsia="zh-CN"/>
        </w:rPr>
        <w:t>512.84</w:t>
      </w:r>
      <w:r>
        <w:rPr>
          <w:rFonts w:eastAsia="仿宋_GB2312"/>
          <w:kern w:val="0"/>
          <w:sz w:val="30"/>
          <w:szCs w:val="30"/>
        </w:rPr>
        <w:t>万元，其中:本年收入</w:t>
      </w:r>
      <w:r>
        <w:rPr>
          <w:rFonts w:hint="eastAsia" w:eastAsia="仿宋_GB2312"/>
          <w:kern w:val="0"/>
          <w:sz w:val="30"/>
          <w:szCs w:val="30"/>
          <w:lang w:val="en-US" w:eastAsia="zh-CN"/>
        </w:rPr>
        <w:t>512.84</w:t>
      </w:r>
      <w:r>
        <w:rPr>
          <w:rFonts w:eastAsia="仿宋_GB2312"/>
          <w:kern w:val="0"/>
          <w:sz w:val="30"/>
          <w:szCs w:val="30"/>
        </w:rPr>
        <w:t>万元，上年结转</w:t>
      </w:r>
      <w:r>
        <w:rPr>
          <w:rFonts w:hint="eastAsia" w:eastAsia="仿宋_GB2312"/>
          <w:kern w:val="0"/>
          <w:sz w:val="30"/>
          <w:szCs w:val="30"/>
        </w:rPr>
        <w:t>0</w:t>
      </w:r>
      <w:r>
        <w:rPr>
          <w:rFonts w:eastAsia="仿宋_GB2312"/>
          <w:kern w:val="0"/>
          <w:sz w:val="30"/>
          <w:szCs w:val="30"/>
        </w:rPr>
        <w:t>万元。本年收入中，一般公共预算财政拨款</w:t>
      </w:r>
      <w:r>
        <w:rPr>
          <w:rFonts w:hint="eastAsia" w:eastAsia="仿宋_GB2312"/>
          <w:kern w:val="0"/>
          <w:sz w:val="30"/>
          <w:szCs w:val="30"/>
          <w:lang w:val="en-US" w:eastAsia="zh-CN"/>
        </w:rPr>
        <w:t>512.84</w:t>
      </w:r>
      <w:r>
        <w:rPr>
          <w:rFonts w:eastAsia="仿宋_GB2312"/>
          <w:kern w:val="0"/>
          <w:sz w:val="30"/>
          <w:szCs w:val="30"/>
        </w:rPr>
        <w:t>万元（本级财力</w:t>
      </w:r>
      <w:r>
        <w:rPr>
          <w:rFonts w:hint="eastAsia" w:eastAsia="仿宋_GB2312"/>
          <w:kern w:val="0"/>
          <w:sz w:val="30"/>
          <w:szCs w:val="30"/>
          <w:lang w:val="en-US" w:eastAsia="zh-CN"/>
        </w:rPr>
        <w:t>512.84</w:t>
      </w:r>
      <w:r>
        <w:rPr>
          <w:rFonts w:eastAsia="仿宋_GB2312"/>
          <w:kern w:val="0"/>
          <w:sz w:val="30"/>
          <w:szCs w:val="30"/>
        </w:rPr>
        <w:t>万元，专项收入</w:t>
      </w:r>
      <w:r>
        <w:rPr>
          <w:rFonts w:hint="eastAsia" w:eastAsia="仿宋_GB2312"/>
          <w:kern w:val="0"/>
          <w:sz w:val="30"/>
          <w:szCs w:val="30"/>
        </w:rPr>
        <w:t>0</w:t>
      </w:r>
      <w:r>
        <w:rPr>
          <w:rFonts w:eastAsia="仿宋_GB2312"/>
          <w:kern w:val="0"/>
          <w:sz w:val="30"/>
          <w:szCs w:val="30"/>
        </w:rPr>
        <w:t>万元，执法办案补助</w:t>
      </w:r>
      <w:r>
        <w:rPr>
          <w:rFonts w:hint="eastAsia" w:eastAsia="仿宋_GB2312"/>
          <w:kern w:val="0"/>
          <w:sz w:val="30"/>
          <w:szCs w:val="30"/>
        </w:rPr>
        <w:t>0</w:t>
      </w:r>
      <w:r>
        <w:rPr>
          <w:rFonts w:eastAsia="仿宋_GB2312"/>
          <w:kern w:val="0"/>
          <w:sz w:val="30"/>
          <w:szCs w:val="30"/>
        </w:rPr>
        <w:t>万元，收费成本补偿</w:t>
      </w:r>
      <w:r>
        <w:rPr>
          <w:rFonts w:hint="eastAsia" w:eastAsia="仿宋_GB2312"/>
          <w:kern w:val="0"/>
          <w:sz w:val="30"/>
          <w:szCs w:val="30"/>
        </w:rPr>
        <w:t>0</w:t>
      </w:r>
      <w:r>
        <w:rPr>
          <w:rFonts w:eastAsia="仿宋_GB2312"/>
          <w:kern w:val="0"/>
          <w:sz w:val="30"/>
          <w:szCs w:val="30"/>
        </w:rPr>
        <w:t>万元，财政专户管理的收入</w:t>
      </w:r>
      <w:r>
        <w:rPr>
          <w:rFonts w:hint="eastAsia" w:eastAsia="仿宋_GB2312"/>
          <w:kern w:val="0"/>
          <w:sz w:val="30"/>
          <w:szCs w:val="30"/>
        </w:rPr>
        <w:t>0</w:t>
      </w:r>
      <w:r>
        <w:rPr>
          <w:rFonts w:eastAsia="仿宋_GB2312"/>
          <w:kern w:val="0"/>
          <w:sz w:val="30"/>
          <w:szCs w:val="30"/>
        </w:rPr>
        <w:t>万元，国有资源（资产）有偿使用</w:t>
      </w:r>
      <w:r>
        <w:rPr>
          <w:rFonts w:hint="eastAsia" w:eastAsia="仿宋_GB2312"/>
          <w:kern w:val="0"/>
          <w:sz w:val="30"/>
          <w:szCs w:val="30"/>
        </w:rPr>
        <w:t>成本补偿0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rPr>
        <w:t>0</w:t>
      </w:r>
      <w:r>
        <w:rPr>
          <w:rFonts w:eastAsia="仿宋_GB2312"/>
          <w:kern w:val="0"/>
          <w:sz w:val="30"/>
          <w:szCs w:val="30"/>
        </w:rPr>
        <w:t>万元。</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hint="eastAsia" w:eastAsia="仿宋_GB2312"/>
          <w:kern w:val="0"/>
          <w:sz w:val="30"/>
          <w:szCs w:val="30"/>
        </w:rPr>
        <w:t>2019</w:t>
      </w:r>
      <w:r>
        <w:rPr>
          <w:rFonts w:eastAsia="仿宋_GB2312"/>
          <w:kern w:val="0"/>
          <w:sz w:val="30"/>
          <w:szCs w:val="30"/>
        </w:rPr>
        <w:t xml:space="preserve">年部门预算总支出 </w:t>
      </w:r>
      <w:r>
        <w:rPr>
          <w:rFonts w:hint="eastAsia" w:eastAsia="仿宋_GB2312"/>
          <w:kern w:val="0"/>
          <w:sz w:val="30"/>
          <w:szCs w:val="30"/>
          <w:lang w:val="en-US" w:eastAsia="zh-CN"/>
        </w:rPr>
        <w:t>512.84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512.84</w:t>
      </w:r>
      <w:r>
        <w:rPr>
          <w:rFonts w:eastAsia="仿宋_GB2312"/>
          <w:kern w:val="0"/>
          <w:sz w:val="30"/>
          <w:szCs w:val="30"/>
        </w:rPr>
        <w:t>万元，其中，基本支出</w:t>
      </w:r>
      <w:r>
        <w:rPr>
          <w:rFonts w:hint="eastAsia" w:eastAsia="仿宋_GB2312"/>
          <w:kern w:val="0"/>
          <w:sz w:val="30"/>
          <w:szCs w:val="30"/>
          <w:lang w:val="en-US" w:eastAsia="zh-CN"/>
        </w:rPr>
        <w:t>512.84</w:t>
      </w:r>
      <w:r>
        <w:rPr>
          <w:rFonts w:eastAsia="仿宋_GB2312"/>
          <w:kern w:val="0"/>
          <w:sz w:val="30"/>
          <w:szCs w:val="30"/>
        </w:rPr>
        <w:t>万元，项目支出</w:t>
      </w:r>
      <w:r>
        <w:rPr>
          <w:rFonts w:hint="eastAsia" w:eastAsia="仿宋_GB2312"/>
          <w:kern w:val="0"/>
          <w:sz w:val="30"/>
          <w:szCs w:val="30"/>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kinsoku/>
        <w:wordWrap/>
        <w:overflowPunct/>
        <w:topLinePunct w:val="0"/>
        <w:autoSpaceDE/>
        <w:autoSpaceDN/>
        <w:bidi w:val="0"/>
        <w:adjustRightInd/>
        <w:snapToGrid/>
        <w:ind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功能科目分组，</w:t>
      </w:r>
    </w:p>
    <w:p>
      <w:pPr>
        <w:pStyle w:val="14"/>
        <w:keepNext w:val="0"/>
        <w:keepLines w:val="0"/>
        <w:pageBreakBefore w:val="0"/>
        <w:kinsoku/>
        <w:wordWrap/>
        <w:overflowPunct/>
        <w:topLinePunct w:val="0"/>
        <w:autoSpaceDE/>
        <w:autoSpaceDN/>
        <w:bidi w:val="0"/>
        <w:adjustRightInd/>
        <w:snapToGrid/>
        <w:ind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2050</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0</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lang w:eastAsia="zh-CN"/>
        </w:rPr>
        <w:t>教师进修</w:t>
      </w:r>
      <w:r>
        <w:rPr>
          <w:rFonts w:hint="eastAsia" w:ascii="仿宋_GB2312" w:hAnsi="仿宋_GB2312" w:eastAsia="仿宋_GB2312" w:cs="仿宋_GB2312"/>
          <w:sz w:val="30"/>
          <w:szCs w:val="30"/>
          <w:lang w:val="en-US" w:eastAsia="zh-CN"/>
        </w:rPr>
        <w:t>416.41</w:t>
      </w:r>
      <w:r>
        <w:rPr>
          <w:rFonts w:hint="eastAsia" w:ascii="仿宋_GB2312" w:hAnsi="仿宋_GB2312" w:eastAsia="仿宋_GB2312" w:cs="仿宋_GB2312"/>
          <w:sz w:val="30"/>
          <w:szCs w:val="30"/>
        </w:rPr>
        <w:t>万元，主要用于工资福利支出和日常学校运行运转。</w:t>
      </w:r>
    </w:p>
    <w:p>
      <w:pPr>
        <w:pStyle w:val="14"/>
        <w:keepNext w:val="0"/>
        <w:keepLines w:val="0"/>
        <w:pageBreakBefore w:val="0"/>
        <w:kinsoku/>
        <w:wordWrap/>
        <w:overflowPunct/>
        <w:topLinePunct w:val="0"/>
        <w:autoSpaceDE/>
        <w:autoSpaceDN/>
        <w:bidi w:val="0"/>
        <w:adjustRightInd/>
        <w:snapToGrid/>
        <w:ind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2080502事业单位离退休</w:t>
      </w:r>
      <w:r>
        <w:rPr>
          <w:rFonts w:hint="eastAsia" w:ascii="仿宋_GB2312" w:hAnsi="仿宋_GB2312" w:eastAsia="仿宋_GB2312" w:cs="仿宋_GB2312"/>
          <w:sz w:val="30"/>
          <w:szCs w:val="30"/>
          <w:lang w:val="en-US" w:eastAsia="zh-CN"/>
        </w:rPr>
        <w:t>1.44</w:t>
      </w:r>
      <w:r>
        <w:rPr>
          <w:rFonts w:hint="eastAsia" w:ascii="仿宋_GB2312" w:hAnsi="仿宋_GB2312" w:eastAsia="仿宋_GB2312" w:cs="仿宋_GB2312"/>
          <w:sz w:val="30"/>
          <w:szCs w:val="30"/>
        </w:rPr>
        <w:t>万元，主要用于离退休人员公用经费支出。</w:t>
      </w:r>
    </w:p>
    <w:p>
      <w:pPr>
        <w:pStyle w:val="6"/>
        <w:keepNext w:val="0"/>
        <w:keepLines w:val="0"/>
        <w:pageBreakBefore w:val="0"/>
        <w:widowControl/>
        <w:kinsoku/>
        <w:wordWrap/>
        <w:overflowPunct/>
        <w:topLinePunct w:val="0"/>
        <w:autoSpaceDE/>
        <w:autoSpaceDN/>
        <w:bidi w:val="0"/>
        <w:adjustRightInd/>
        <w:snapToGrid/>
        <w:spacing w:line="27" w:lineRule="atLeast"/>
        <w:ind w:firstLine="600" w:firstLineChars="200"/>
        <w:textAlignment w:val="auto"/>
        <w:rPr>
          <w:rFonts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2080505事业单位基本养老保险缴费支出</w:t>
      </w:r>
      <w:r>
        <w:rPr>
          <w:rFonts w:hint="eastAsia" w:ascii="仿宋_GB2312" w:hAnsi="仿宋_GB2312" w:eastAsia="仿宋_GB2312" w:cs="仿宋_GB2312"/>
          <w:sz w:val="30"/>
          <w:szCs w:val="30"/>
          <w:lang w:val="en-US" w:eastAsia="zh-CN"/>
        </w:rPr>
        <w:t>48.93</w:t>
      </w:r>
      <w:r>
        <w:rPr>
          <w:rFonts w:hint="eastAsia" w:ascii="仿宋_GB2312" w:hAnsi="仿宋_GB2312" w:eastAsia="仿宋_GB2312" w:cs="仿宋_GB2312"/>
          <w:sz w:val="30"/>
          <w:szCs w:val="30"/>
        </w:rPr>
        <w:t>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6"/>
        <w:keepNext w:val="0"/>
        <w:keepLines w:val="0"/>
        <w:pageBreakBefore w:val="0"/>
        <w:widowControl/>
        <w:kinsoku/>
        <w:wordWrap/>
        <w:overflowPunct/>
        <w:topLinePunct w:val="0"/>
        <w:autoSpaceDE/>
        <w:autoSpaceDN/>
        <w:bidi w:val="0"/>
        <w:adjustRightInd/>
        <w:snapToGrid/>
        <w:spacing w:line="27" w:lineRule="atLeast"/>
        <w:ind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2080506 机关事业单位职业年金缴费支出</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万元，</w:t>
      </w:r>
      <w:r>
        <w:rPr>
          <w:rFonts w:hint="eastAsia" w:ascii="仿宋_GB2312" w:hAnsi="仿宋_GB2312" w:eastAsia="仿宋_GB2312" w:cs="仿宋_GB2312"/>
          <w:color w:val="333333"/>
          <w:sz w:val="30"/>
          <w:szCs w:val="30"/>
          <w:shd w:val="clear" w:color="040000" w:fill="FFFFFF"/>
        </w:rPr>
        <w:t>主要反映单位缴交的职业年金支出。</w:t>
      </w:r>
    </w:p>
    <w:p>
      <w:pPr>
        <w:pStyle w:val="6"/>
        <w:keepNext w:val="0"/>
        <w:keepLines w:val="0"/>
        <w:pageBreakBefore w:val="0"/>
        <w:widowControl/>
        <w:kinsoku/>
        <w:wordWrap/>
        <w:overflowPunct/>
        <w:topLinePunct w:val="0"/>
        <w:autoSpaceDE/>
        <w:autoSpaceDN/>
        <w:bidi w:val="0"/>
        <w:adjustRightInd/>
        <w:snapToGrid/>
        <w:spacing w:line="27" w:lineRule="atLeast"/>
        <w:ind w:firstLine="600" w:firstLineChars="200"/>
        <w:jc w:val="lef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2210201</w:t>
      </w:r>
      <w:r>
        <w:rPr>
          <w:rFonts w:hint="eastAsia" w:ascii="仿宋_GB2312" w:hAnsi="仿宋_GB2312" w:eastAsia="仿宋_GB2312" w:cs="仿宋_GB2312"/>
          <w:color w:val="333333"/>
          <w:sz w:val="30"/>
          <w:szCs w:val="30"/>
          <w:shd w:val="clear" w:color="040000" w:fill="FFFFFF"/>
        </w:rPr>
        <w:t>住房公积金</w:t>
      </w:r>
      <w:r>
        <w:rPr>
          <w:rFonts w:hint="eastAsia" w:ascii="仿宋_GB2312" w:hAnsi="仿宋_GB2312" w:eastAsia="仿宋_GB2312" w:cs="仿宋_GB2312"/>
          <w:color w:val="333333"/>
          <w:sz w:val="30"/>
          <w:szCs w:val="30"/>
          <w:shd w:val="clear" w:color="040000" w:fill="FFFFFF"/>
          <w:lang w:val="en-US" w:eastAsia="zh-CN"/>
        </w:rPr>
        <w:t>46.06</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经济科目分组</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仿宋_GB2312" w:hAnsi="仿宋_GB2312" w:eastAsia="仿宋_GB2312" w:cs="仿宋_GB2312"/>
          <w:kern w:val="0"/>
          <w:sz w:val="30"/>
          <w:szCs w:val="30"/>
        </w:rPr>
      </w:pPr>
      <w:r>
        <w:rPr>
          <w:rFonts w:hint="eastAsia" w:ascii="仿宋_GB2312" w:eastAsia="仿宋_GB2312"/>
          <w:kern w:val="0"/>
          <w:sz w:val="30"/>
          <w:szCs w:val="30"/>
          <w:lang w:val="en-US" w:eastAsia="zh-CN"/>
        </w:rPr>
        <w:t>2050801教师进修416.41</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w:t>
      </w:r>
      <w:r>
        <w:rPr>
          <w:rFonts w:hint="eastAsia" w:ascii="仿宋_GB2312" w:hAnsi="仿宋_GB2312" w:eastAsia="仿宋_GB2312" w:cs="仿宋_GB2312"/>
          <w:kern w:val="0"/>
          <w:sz w:val="30"/>
          <w:szCs w:val="30"/>
          <w:lang w:val="en-US" w:eastAsia="zh-CN"/>
        </w:rPr>
        <w:t>416.41</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主要用于</w:t>
      </w:r>
      <w:r>
        <w:rPr>
          <w:rFonts w:hint="eastAsia" w:ascii="仿宋_GB2312" w:hAnsi="仿宋_GB2312" w:eastAsia="仿宋_GB2312" w:cs="仿宋_GB2312"/>
          <w:color w:val="333333"/>
          <w:sz w:val="30"/>
          <w:szCs w:val="30"/>
          <w:shd w:val="clear" w:color="040000" w:fill="FFFFFF"/>
        </w:rPr>
        <w:t>301工资福利支出</w:t>
      </w:r>
      <w:r>
        <w:rPr>
          <w:rFonts w:hint="eastAsia" w:ascii="仿宋_GB2312" w:hAnsi="仿宋_GB2312" w:eastAsia="仿宋_GB2312" w:cs="仿宋_GB2312"/>
          <w:color w:val="333333"/>
          <w:sz w:val="30"/>
          <w:szCs w:val="30"/>
          <w:shd w:val="clear" w:color="040000" w:fill="FFFFFF"/>
          <w:lang w:val="en-US" w:eastAsia="zh-CN"/>
        </w:rPr>
        <w:t>397.91</w:t>
      </w:r>
      <w:r>
        <w:rPr>
          <w:rFonts w:hint="eastAsia" w:ascii="仿宋_GB2312" w:hAnsi="仿宋_GB2312" w:eastAsia="仿宋_GB2312" w:cs="仿宋_GB2312"/>
          <w:color w:val="333333"/>
          <w:sz w:val="30"/>
          <w:szCs w:val="30"/>
          <w:shd w:val="clear" w:color="040000" w:fill="FFFFFF"/>
        </w:rPr>
        <w:t>万元</w:t>
      </w:r>
      <w:r>
        <w:rPr>
          <w:rFonts w:hint="eastAsia" w:ascii="仿宋_GB2312" w:hAnsi="仿宋_GB2312" w:eastAsia="仿宋_GB2312" w:cs="仿宋_GB2312"/>
          <w:color w:val="333333"/>
          <w:sz w:val="30"/>
          <w:szCs w:val="30"/>
          <w:shd w:val="clear" w:color="040000" w:fill="FFFFFF"/>
          <w:lang w:eastAsia="zh-CN"/>
        </w:rPr>
        <w:t>，</w:t>
      </w:r>
      <w:r>
        <w:rPr>
          <w:rFonts w:hint="eastAsia" w:ascii="仿宋_GB2312" w:hAnsi="仿宋_GB2312" w:eastAsia="仿宋_GB2312" w:cs="仿宋_GB2312"/>
          <w:kern w:val="0"/>
          <w:sz w:val="30"/>
          <w:szCs w:val="30"/>
        </w:rPr>
        <w:t>302商品和服务支出</w:t>
      </w:r>
      <w:r>
        <w:rPr>
          <w:rFonts w:hint="eastAsia" w:ascii="仿宋_GB2312" w:hAnsi="仿宋_GB2312" w:eastAsia="仿宋_GB2312" w:cs="仿宋_GB2312"/>
          <w:kern w:val="0"/>
          <w:sz w:val="30"/>
          <w:szCs w:val="30"/>
          <w:lang w:val="en-US" w:eastAsia="zh-CN"/>
        </w:rPr>
        <w:t>14.5</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val="en-US" w:eastAsia="zh-CN"/>
        </w:rPr>
        <w:t>,310资本性支出4万元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eastAsia="仿宋_GB2312"/>
          <w:kern w:val="0"/>
          <w:sz w:val="30"/>
          <w:szCs w:val="30"/>
          <w:lang w:val="en-US" w:eastAsia="zh-CN"/>
        </w:rPr>
      </w:pPr>
      <w:r>
        <w:rPr>
          <w:rFonts w:hint="eastAsia" w:ascii="仿宋_GB2312" w:eastAsia="仿宋_GB2312"/>
          <w:kern w:val="0"/>
          <w:sz w:val="30"/>
          <w:szCs w:val="30"/>
          <w:lang w:val="en-US" w:eastAsia="zh-CN"/>
        </w:rPr>
        <w:t>2080502事业单位离退休1.44万元其中：基本支出1.44万元主要用于302</w:t>
      </w:r>
      <w:r>
        <w:rPr>
          <w:rFonts w:hint="eastAsia" w:ascii="仿宋_GB2312" w:hAnsi="仿宋_GB2312" w:eastAsia="仿宋_GB2312" w:cs="仿宋_GB2312"/>
          <w:kern w:val="0"/>
          <w:sz w:val="30"/>
          <w:szCs w:val="30"/>
        </w:rPr>
        <w:t>商品和服务支出</w:t>
      </w:r>
      <w:r>
        <w:rPr>
          <w:rFonts w:hint="eastAsia" w:ascii="仿宋_GB2312" w:hAnsi="仿宋_GB2312" w:eastAsia="仿宋_GB2312" w:cs="仿宋_GB2312"/>
          <w:kern w:val="0"/>
          <w:sz w:val="30"/>
          <w:szCs w:val="30"/>
          <w:lang w:val="en-US" w:eastAsia="zh-CN"/>
        </w:rPr>
        <w:t>1.44</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val="en-US" w:eastAsia="zh-CN"/>
        </w:rPr>
        <w:t>;</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仿宋_GB2312" w:hAnsi="仿宋_GB2312" w:eastAsia="仿宋_GB2312" w:cs="仿宋_GB2312"/>
          <w:kern w:val="0"/>
          <w:sz w:val="30"/>
          <w:szCs w:val="30"/>
        </w:rPr>
      </w:pPr>
      <w:r>
        <w:rPr>
          <w:rFonts w:hint="eastAsia" w:ascii="仿宋_GB2312" w:eastAsia="仿宋_GB2312"/>
          <w:kern w:val="0"/>
          <w:sz w:val="30"/>
          <w:szCs w:val="30"/>
          <w:lang w:val="en-US" w:eastAsia="zh-CN"/>
        </w:rPr>
        <w:t>2080505机关事业基本养老保险缴费支出48.93</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w:t>
      </w:r>
      <w:r>
        <w:rPr>
          <w:rFonts w:hint="eastAsia" w:ascii="仿宋_GB2312" w:hAnsi="仿宋_GB2312" w:eastAsia="仿宋_GB2312" w:cs="仿宋_GB2312"/>
          <w:kern w:val="0"/>
          <w:sz w:val="30"/>
          <w:szCs w:val="30"/>
          <w:lang w:val="en-US" w:eastAsia="zh-CN"/>
        </w:rPr>
        <w:t>48.93</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color w:val="333333"/>
          <w:sz w:val="30"/>
          <w:szCs w:val="30"/>
          <w:shd w:val="clear" w:color="040000" w:fill="FFFFFF"/>
        </w:rPr>
        <w:t>主要用于</w:t>
      </w:r>
      <w:r>
        <w:rPr>
          <w:rFonts w:hint="eastAsia" w:ascii="仿宋_GB2312" w:hAnsi="仿宋_GB2312" w:eastAsia="仿宋_GB2312" w:cs="仿宋_GB2312"/>
          <w:color w:val="333333"/>
          <w:sz w:val="30"/>
          <w:szCs w:val="30"/>
          <w:shd w:val="clear" w:color="040000" w:fill="FFFFFF"/>
          <w:lang w:val="en-US" w:eastAsia="zh-CN"/>
        </w:rPr>
        <w:t>301</w:t>
      </w:r>
      <w:r>
        <w:rPr>
          <w:rFonts w:hint="eastAsia" w:ascii="仿宋_GB2312" w:hAnsi="仿宋_GB2312" w:eastAsia="仿宋_GB2312" w:cs="仿宋_GB2312"/>
          <w:color w:val="333333"/>
          <w:sz w:val="30"/>
          <w:szCs w:val="30"/>
          <w:shd w:val="clear" w:color="040000" w:fill="FFFFFF"/>
        </w:rPr>
        <w:t>工资福利</w:t>
      </w:r>
      <w:r>
        <w:rPr>
          <w:rFonts w:hint="eastAsia" w:ascii="仿宋_GB2312" w:hAnsi="仿宋_GB2312" w:eastAsia="仿宋_GB2312" w:cs="仿宋_GB2312"/>
          <w:kern w:val="0"/>
          <w:sz w:val="30"/>
          <w:szCs w:val="30"/>
        </w:rPr>
        <w:t>中的</w:t>
      </w:r>
      <w:r>
        <w:rPr>
          <w:rFonts w:hint="eastAsia" w:ascii="仿宋_GB2312" w:eastAsia="仿宋_GB2312"/>
          <w:kern w:val="0"/>
          <w:sz w:val="30"/>
          <w:szCs w:val="30"/>
        </w:rPr>
        <w:t>单位基本养老保险缴费</w:t>
      </w:r>
      <w:r>
        <w:rPr>
          <w:rFonts w:hint="eastAsia" w:ascii="仿宋_GB2312" w:hAnsi="仿宋_GB2312" w:eastAsia="仿宋_GB2312" w:cs="仿宋_GB2312"/>
          <w:color w:val="333333"/>
          <w:sz w:val="30"/>
          <w:szCs w:val="30"/>
          <w:shd w:val="clear" w:color="040000" w:fill="FFFFFF"/>
        </w:rPr>
        <w:t>支出</w:t>
      </w:r>
      <w:r>
        <w:rPr>
          <w:rFonts w:hint="eastAsia" w:ascii="仿宋_GB2312" w:hAnsi="仿宋_GB2312" w:eastAsia="仿宋_GB2312" w:cs="仿宋_GB2312"/>
          <w:color w:val="333333"/>
          <w:sz w:val="30"/>
          <w:szCs w:val="30"/>
          <w:shd w:val="clear" w:color="040000" w:fill="FFFFFF"/>
          <w:lang w:val="en-US" w:eastAsia="zh-CN"/>
        </w:rPr>
        <w:t>48.93万元；</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2210201住房公积金支出46.06万元其中：基本支出46.06万元，</w:t>
      </w:r>
      <w:r>
        <w:rPr>
          <w:rFonts w:hint="eastAsia" w:ascii="仿宋_GB2312" w:hAnsi="仿宋_GB2312" w:eastAsia="仿宋_GB2312" w:cs="仿宋_GB2312"/>
          <w:kern w:val="0"/>
          <w:sz w:val="30"/>
          <w:szCs w:val="30"/>
        </w:rPr>
        <w:t>主要用于301工资福利支出中的住房公积金</w:t>
      </w:r>
      <w:r>
        <w:rPr>
          <w:rFonts w:hint="eastAsia" w:ascii="仿宋_GB2312" w:hAnsi="仿宋_GB2312" w:eastAsia="仿宋_GB2312" w:cs="仿宋_GB2312"/>
          <w:kern w:val="0"/>
          <w:sz w:val="30"/>
          <w:szCs w:val="30"/>
          <w:lang w:val="en-US" w:eastAsia="zh-CN"/>
        </w:rPr>
        <w:t>46.06</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hAnsi="仿宋_GB2312" w:eastAsia="仿宋_GB2312" w:cs="仿宋_GB2312"/>
          <w:kern w:val="0"/>
          <w:sz w:val="30"/>
          <w:szCs w:val="30"/>
        </w:rPr>
        <w:t>项目支出0万元</w:t>
      </w:r>
      <w:r>
        <w:rPr>
          <w:rFonts w:hint="eastAsia" w:ascii="仿宋_GB2312" w:hAnsi="仿宋_GB2312" w:eastAsia="仿宋_GB2312" w:cs="仿宋_GB2312"/>
          <w:kern w:val="0"/>
          <w:sz w:val="30"/>
          <w:szCs w:val="30"/>
          <w:lang w:eastAsia="zh-CN"/>
        </w:rPr>
        <w:t>。</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hint="eastAsia" w:ascii="黑体" w:hAnsi="黑体" w:eastAsia="黑体"/>
          <w:kern w:val="0"/>
          <w:sz w:val="30"/>
          <w:szCs w:val="30"/>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本单位2019年无县对下专项转移支付</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hint="eastAsia" w:eastAsia="仿宋_GB2312"/>
          <w:kern w:val="0"/>
          <w:sz w:val="30"/>
          <w:szCs w:val="30"/>
        </w:rPr>
        <w:t>无</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6"/>
        <w:keepNext w:val="0"/>
        <w:keepLines w:val="0"/>
        <w:pageBreakBefore w:val="0"/>
        <w:widowControl/>
        <w:kinsoku/>
        <w:wordWrap/>
        <w:overflowPunct/>
        <w:topLinePunct w:val="0"/>
        <w:autoSpaceDE/>
        <w:autoSpaceDN/>
        <w:bidi w:val="0"/>
        <w:adjustRightInd/>
        <w:snapToGrid/>
        <w:spacing w:line="600" w:lineRule="atLeast"/>
        <w:ind w:firstLine="600" w:firstLineChars="200"/>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2019年盈江县教育科研中心“三公”经费预算数为</w:t>
      </w:r>
      <w:r>
        <w:rPr>
          <w:rFonts w:hint="eastAsia" w:ascii="仿宋_GB2312" w:eastAsia="仿宋_GB2312"/>
          <w:kern w:val="0"/>
          <w:sz w:val="30"/>
          <w:szCs w:val="30"/>
          <w:lang w:val="en-US" w:eastAsia="zh-CN"/>
        </w:rPr>
        <w:t>7.06</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2.06</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5</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7</w:t>
      </w:r>
      <w:r>
        <w:rPr>
          <w:rFonts w:hint="eastAsia" w:ascii="仿宋_GB2312" w:eastAsia="仿宋_GB2312"/>
          <w:kern w:val="0"/>
          <w:sz w:val="30"/>
          <w:szCs w:val="30"/>
        </w:rPr>
        <w:t>.</w:t>
      </w:r>
      <w:r>
        <w:rPr>
          <w:rFonts w:hint="eastAsia" w:ascii="仿宋_GB2312" w:eastAsia="仿宋_GB2312"/>
          <w:kern w:val="0"/>
          <w:sz w:val="30"/>
          <w:szCs w:val="30"/>
          <w:lang w:val="en-US" w:eastAsia="zh-CN"/>
        </w:rPr>
        <w:t>06</w:t>
      </w:r>
      <w:r>
        <w:rPr>
          <w:rFonts w:hint="eastAsia" w:ascii="仿宋_GB2312" w:eastAsia="仿宋_GB2312"/>
          <w:kern w:val="0"/>
          <w:sz w:val="30"/>
          <w:szCs w:val="30"/>
        </w:rPr>
        <w:t>万元相比</w:t>
      </w:r>
      <w:r>
        <w:rPr>
          <w:rFonts w:hint="eastAsia" w:ascii="仿宋_GB2312" w:eastAsia="仿宋_GB2312"/>
          <w:kern w:val="0"/>
          <w:sz w:val="30"/>
          <w:szCs w:val="30"/>
          <w:lang w:eastAsia="zh-CN"/>
        </w:rPr>
        <w:t>持平</w:t>
      </w:r>
      <w:r>
        <w:rPr>
          <w:rFonts w:hint="eastAsia" w:ascii="仿宋_GB2312" w:eastAsia="仿宋_GB2312"/>
          <w:kern w:val="0"/>
          <w:sz w:val="30"/>
          <w:szCs w:val="30"/>
        </w:rPr>
        <w:t>。</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right="0" w:firstLine="600" w:firstLineChars="200"/>
        <w:textAlignment w:val="auto"/>
        <w:rPr>
          <w:rFonts w:hint="eastAsia" w:ascii="仿宋_GB2312" w:eastAsia="仿宋_GB2312"/>
          <w:kern w:val="0"/>
          <w:sz w:val="30"/>
          <w:szCs w:val="30"/>
        </w:rPr>
      </w:pPr>
      <w:r>
        <w:rPr>
          <w:rFonts w:hint="eastAsia" w:ascii="楷体" w:hAnsi="楷体" w:eastAsia="楷体" w:cs="楷体"/>
          <w:kern w:val="0"/>
          <w:sz w:val="30"/>
          <w:szCs w:val="30"/>
        </w:rPr>
        <w:t>（二）</w:t>
      </w:r>
      <w:r>
        <w:rPr>
          <w:rFonts w:hint="eastAsia" w:ascii="楷体_GB2312" w:eastAsia="楷体_GB2312"/>
          <w:kern w:val="0"/>
          <w:sz w:val="30"/>
          <w:szCs w:val="30"/>
          <w:lang w:eastAsia="zh-CN"/>
        </w:rPr>
        <w:t>预算收支增减变化情况</w:t>
      </w:r>
    </w:p>
    <w:p>
      <w:pPr>
        <w:keepNext w:val="0"/>
        <w:keepLines w:val="0"/>
        <w:pageBreakBefore w:val="0"/>
        <w:kinsoku/>
        <w:wordWrap/>
        <w:overflowPunct/>
        <w:topLinePunct w:val="0"/>
        <w:autoSpaceDE/>
        <w:autoSpaceDN/>
        <w:bidi w:val="0"/>
        <w:adjustRightInd/>
        <w:snapToGrid/>
        <w:ind w:left="0" w:leftChars="0" w:firstLine="600" w:firstLineChars="200"/>
        <w:textAlignment w:val="auto"/>
        <w:rPr>
          <w:rFonts w:ascii="仿宋_GB2312" w:hAnsi="仿宋_GB2312" w:eastAsia="仿宋_GB2312" w:cs="仿宋_GB2312"/>
          <w:color w:val="FF0000"/>
          <w:sz w:val="30"/>
          <w:szCs w:val="30"/>
        </w:rPr>
      </w:pP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仿宋_GB2312" w:hAnsi="仿宋_GB2312" w:eastAsia="仿宋_GB2312" w:cs="仿宋_GB2312"/>
          <w:color w:val="FF0000"/>
          <w:sz w:val="30"/>
          <w:szCs w:val="30"/>
        </w:rPr>
      </w:pPr>
      <w:r>
        <w:rPr>
          <w:rFonts w:hint="eastAsia" w:ascii="仿宋_GB2312" w:hAnsi="仿宋_GB2312" w:eastAsia="仿宋_GB2312" w:cs="仿宋_GB2312"/>
          <w:kern w:val="0"/>
          <w:sz w:val="30"/>
          <w:szCs w:val="30"/>
        </w:rPr>
        <w:t>2019年部门预算收入</w:t>
      </w:r>
      <w:r>
        <w:rPr>
          <w:rFonts w:hint="eastAsia" w:ascii="仿宋_GB2312" w:hAnsi="仿宋_GB2312" w:eastAsia="仿宋_GB2312" w:cs="仿宋_GB2312"/>
          <w:kern w:val="0"/>
          <w:sz w:val="30"/>
          <w:szCs w:val="30"/>
          <w:lang w:val="en-US" w:eastAsia="zh-CN"/>
        </w:rPr>
        <w:t>512.84</w:t>
      </w:r>
      <w:r>
        <w:rPr>
          <w:rFonts w:hint="eastAsia" w:ascii="仿宋_GB2312" w:hAnsi="仿宋_GB2312" w:eastAsia="仿宋_GB2312" w:cs="仿宋_GB2312"/>
          <w:kern w:val="0"/>
          <w:sz w:val="30"/>
          <w:szCs w:val="30"/>
        </w:rPr>
        <w:t>万元，比上年预算数</w:t>
      </w:r>
      <w:r>
        <w:rPr>
          <w:rFonts w:hint="eastAsia" w:ascii="仿宋_GB2312" w:hAnsi="仿宋_GB2312" w:eastAsia="仿宋_GB2312" w:cs="仿宋_GB2312"/>
          <w:kern w:val="0"/>
          <w:sz w:val="30"/>
          <w:szCs w:val="30"/>
          <w:lang w:val="en-US" w:eastAsia="zh-CN"/>
        </w:rPr>
        <w:t>441.03</w:t>
      </w:r>
      <w:r>
        <w:rPr>
          <w:rFonts w:hint="eastAsia" w:ascii="仿宋_GB2312" w:hAnsi="仿宋_GB2312" w:eastAsia="仿宋_GB2312" w:cs="仿宋_GB2312"/>
          <w:kern w:val="0"/>
          <w:sz w:val="30"/>
          <w:szCs w:val="30"/>
        </w:rPr>
        <w:t>万元增</w:t>
      </w:r>
      <w:r>
        <w:rPr>
          <w:rFonts w:hint="eastAsia" w:ascii="仿宋_GB2312" w:hAnsi="仿宋_GB2312" w:eastAsia="仿宋_GB2312" w:cs="仿宋_GB2312"/>
          <w:kern w:val="0"/>
          <w:sz w:val="30"/>
          <w:szCs w:val="30"/>
          <w:lang w:val="en-US" w:eastAsia="zh-CN"/>
        </w:rPr>
        <w:t>71.81</w:t>
      </w:r>
      <w:r>
        <w:rPr>
          <w:rFonts w:hint="eastAsia" w:ascii="仿宋_GB2312" w:hAnsi="仿宋_GB2312" w:eastAsia="仿宋_GB2312" w:cs="仿宋_GB2312"/>
          <w:kern w:val="0"/>
          <w:sz w:val="30"/>
          <w:szCs w:val="30"/>
        </w:rPr>
        <w:t>万元，增</w:t>
      </w:r>
      <w:r>
        <w:rPr>
          <w:rFonts w:hint="eastAsia" w:ascii="仿宋_GB2312" w:hAnsi="仿宋_GB2312" w:eastAsia="仿宋_GB2312" w:cs="仿宋_GB2312"/>
          <w:kern w:val="0"/>
          <w:sz w:val="30"/>
          <w:szCs w:val="30"/>
          <w:lang w:eastAsia="zh-CN"/>
        </w:rPr>
        <w:t>加</w:t>
      </w:r>
      <w:r>
        <w:rPr>
          <w:rFonts w:hint="eastAsia" w:ascii="仿宋_GB2312" w:hAnsi="仿宋_GB2312" w:eastAsia="仿宋_GB2312" w:cs="仿宋_GB2312"/>
          <w:kern w:val="0"/>
          <w:sz w:val="30"/>
          <w:szCs w:val="30"/>
          <w:lang w:val="en-US" w:eastAsia="zh-CN"/>
        </w:rPr>
        <w:t>16.28</w:t>
      </w:r>
      <w:r>
        <w:rPr>
          <w:rFonts w:hint="eastAsia" w:ascii="仿宋_GB2312" w:hAnsi="仿宋_GB2312" w:eastAsia="仿宋_GB2312" w:cs="仿宋_GB2312"/>
          <w:kern w:val="0"/>
          <w:sz w:val="30"/>
          <w:szCs w:val="30"/>
        </w:rPr>
        <w:t>%。增加原因：调增人员工资。</w:t>
      </w:r>
    </w:p>
    <w:p>
      <w:pPr>
        <w:pStyle w:val="14"/>
        <w:keepNext w:val="0"/>
        <w:keepLines w:val="0"/>
        <w:pageBreakBefore w:val="0"/>
        <w:numPr>
          <w:ilvl w:val="0"/>
          <w:numId w:val="6"/>
        </w:numPr>
        <w:kinsoku/>
        <w:wordWrap/>
        <w:overflowPunct/>
        <w:topLinePunct w:val="0"/>
        <w:autoSpaceDE/>
        <w:autoSpaceDN/>
        <w:bidi w:val="0"/>
        <w:adjustRightInd/>
        <w:snapToGrid/>
        <w:ind w:left="0" w:leftChars="0" w:firstLine="600" w:firstLineChars="200"/>
        <w:textAlignment w:val="auto"/>
        <w:rPr>
          <w:rFonts w:hint="eastAsia" w:ascii="楷体_GB2312" w:eastAsia="楷体_GB2312"/>
          <w:kern w:val="0"/>
          <w:sz w:val="30"/>
          <w:szCs w:val="30"/>
        </w:rPr>
      </w:pPr>
      <w:r>
        <w:rPr>
          <w:rFonts w:hint="eastAsia" w:ascii="楷体_GB2312" w:eastAsia="楷体_GB2312"/>
          <w:kern w:val="0"/>
          <w:sz w:val="30"/>
          <w:szCs w:val="30"/>
        </w:rPr>
        <w:t>部门基本支出预算变动的主要原因，对本年与上年同口径数据比对情况分析</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楷体_GB2312" w:eastAsia="楷体_GB2312"/>
          <w:kern w:val="0"/>
          <w:sz w:val="30"/>
          <w:szCs w:val="30"/>
        </w:rPr>
      </w:pPr>
      <w:r>
        <w:rPr>
          <w:rFonts w:hint="eastAsia" w:ascii="仿宋_GB2312" w:eastAsia="仿宋_GB2312"/>
          <w:kern w:val="0"/>
          <w:sz w:val="30"/>
          <w:szCs w:val="30"/>
        </w:rPr>
        <w:t>2019 年盈江县</w:t>
      </w:r>
      <w:r>
        <w:rPr>
          <w:rFonts w:hint="eastAsia" w:ascii="仿宋_GB2312" w:eastAsia="仿宋_GB2312"/>
          <w:kern w:val="0"/>
          <w:sz w:val="30"/>
          <w:szCs w:val="30"/>
          <w:lang w:eastAsia="zh-CN"/>
        </w:rPr>
        <w:t>教育科研中心</w:t>
      </w:r>
      <w:r>
        <w:rPr>
          <w:rFonts w:hint="eastAsia" w:ascii="仿宋_GB2312" w:eastAsia="仿宋_GB2312"/>
          <w:kern w:val="0"/>
          <w:sz w:val="30"/>
          <w:szCs w:val="30"/>
        </w:rPr>
        <w:t>基本支出</w:t>
      </w:r>
      <w:r>
        <w:rPr>
          <w:rFonts w:hint="eastAsia" w:ascii="仿宋_GB2312" w:eastAsia="仿宋_GB2312"/>
          <w:kern w:val="0"/>
          <w:sz w:val="30"/>
          <w:szCs w:val="30"/>
          <w:lang w:val="en-US" w:eastAsia="zh-CN"/>
        </w:rPr>
        <w:t>512.84</w:t>
      </w:r>
      <w:r>
        <w:rPr>
          <w:rFonts w:hint="eastAsia" w:ascii="仿宋_GB2312" w:eastAsia="仿宋_GB2312"/>
          <w:kern w:val="0"/>
          <w:sz w:val="30"/>
          <w:szCs w:val="30"/>
        </w:rPr>
        <w:t>万元与上年同期数</w:t>
      </w:r>
      <w:r>
        <w:rPr>
          <w:rFonts w:hint="eastAsia" w:ascii="仿宋_GB2312" w:eastAsia="仿宋_GB2312"/>
          <w:kern w:val="0"/>
          <w:sz w:val="30"/>
          <w:szCs w:val="30"/>
          <w:lang w:val="en-US" w:eastAsia="zh-CN"/>
        </w:rPr>
        <w:t>441.03</w:t>
      </w:r>
      <w:r>
        <w:rPr>
          <w:rFonts w:hint="eastAsia" w:ascii="仿宋_GB2312" w:eastAsia="仿宋_GB2312"/>
          <w:kern w:val="0"/>
          <w:sz w:val="30"/>
          <w:szCs w:val="30"/>
        </w:rPr>
        <w:t>万元相比，增加</w:t>
      </w:r>
      <w:r>
        <w:rPr>
          <w:rFonts w:hint="eastAsia" w:ascii="仿宋_GB2312" w:eastAsia="仿宋_GB2312"/>
          <w:kern w:val="0"/>
          <w:sz w:val="30"/>
          <w:szCs w:val="30"/>
          <w:lang w:val="en-US" w:eastAsia="zh-CN"/>
        </w:rPr>
        <w:t>71.81</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eastAsia="仿宋_GB2312"/>
          <w:kern w:val="0"/>
          <w:sz w:val="30"/>
          <w:szCs w:val="30"/>
        </w:rPr>
        <w:t>增幅为</w:t>
      </w:r>
      <w:r>
        <w:rPr>
          <w:rFonts w:hint="eastAsia" w:ascii="仿宋_GB2312" w:eastAsia="仿宋_GB2312"/>
          <w:kern w:val="0"/>
          <w:sz w:val="30"/>
          <w:szCs w:val="30"/>
          <w:lang w:val="en-US" w:eastAsia="zh-CN"/>
        </w:rPr>
        <w:t>16.28</w:t>
      </w:r>
      <w:r>
        <w:rPr>
          <w:rFonts w:hint="eastAsia" w:ascii="仿宋_GB2312" w:eastAsia="仿宋_GB2312"/>
          <w:kern w:val="0"/>
          <w:sz w:val="30"/>
          <w:szCs w:val="30"/>
        </w:rPr>
        <w:t>%，主要是在职职工调</w:t>
      </w:r>
      <w:r>
        <w:rPr>
          <w:rFonts w:hint="eastAsia" w:ascii="仿宋_GB2312" w:eastAsia="仿宋_GB2312"/>
          <w:kern w:val="0"/>
          <w:sz w:val="30"/>
          <w:szCs w:val="30"/>
          <w:lang w:eastAsia="zh-CN"/>
        </w:rPr>
        <w:t>增</w:t>
      </w:r>
      <w:r>
        <w:rPr>
          <w:rFonts w:hint="eastAsia" w:ascii="仿宋_GB2312" w:eastAsia="仿宋_GB2312"/>
          <w:kern w:val="0"/>
          <w:sz w:val="30"/>
          <w:szCs w:val="30"/>
        </w:rPr>
        <w:t>基本工资标准和津贴补贴。</w:t>
      </w:r>
    </w:p>
    <w:p>
      <w:pPr>
        <w:keepNext w:val="0"/>
        <w:keepLines w:val="0"/>
        <w:pageBreakBefore w:val="0"/>
        <w:kinsoku/>
        <w:wordWrap/>
        <w:overflowPunct/>
        <w:topLinePunct w:val="0"/>
        <w:autoSpaceDE/>
        <w:autoSpaceDN/>
        <w:bidi w:val="0"/>
        <w:adjustRightInd/>
        <w:snapToGrid/>
        <w:ind w:left="0" w:leftChars="0"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项目支出情况</w:t>
      </w:r>
    </w:p>
    <w:p>
      <w:pPr>
        <w:pStyle w:val="14"/>
        <w:keepNext w:val="0"/>
        <w:keepLines w:val="0"/>
        <w:pageBreakBefore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2019年</w:t>
      </w:r>
      <w:r>
        <w:rPr>
          <w:rFonts w:hint="eastAsia" w:ascii="仿宋_GB2312" w:eastAsia="仿宋_GB2312"/>
          <w:sz w:val="30"/>
          <w:szCs w:val="30"/>
        </w:rPr>
        <w:t>盈江县教育科研中心</w:t>
      </w:r>
      <w:r>
        <w:rPr>
          <w:rFonts w:hint="eastAsia" w:ascii="仿宋_GB2312" w:hAnsi="仿宋_GB2312" w:eastAsia="仿宋_GB2312" w:cs="仿宋_GB2312"/>
          <w:sz w:val="30"/>
          <w:szCs w:val="30"/>
        </w:rPr>
        <w:t>无项目支出预算。</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rPr>
        <w:t>差</w:t>
      </w:r>
      <w:r>
        <w:rPr>
          <w:rFonts w:hint="eastAsia" w:ascii="仿宋_GB2312" w:hAnsi="仿宋_GB2312" w:eastAsia="仿宋_GB2312" w:cs="仿宋_GB2312"/>
          <w:color w:val="333333"/>
          <w:kern w:val="0"/>
          <w:sz w:val="30"/>
          <w:szCs w:val="30"/>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仿宋_GB2312" w:eastAsia="仿宋_GB2312"/>
          <w:kern w:val="0"/>
          <w:sz w:val="30"/>
          <w:szCs w:val="30"/>
        </w:rPr>
      </w:pPr>
      <w:r>
        <w:rPr>
          <w:rFonts w:hint="eastAsia" w:ascii="仿宋_GB2312" w:eastAsia="仿宋_GB2312"/>
          <w:kern w:val="0"/>
          <w:sz w:val="30"/>
          <w:szCs w:val="30"/>
          <w:lang w:eastAsia="zh-CN"/>
        </w:rPr>
        <w:t>无</w:t>
      </w:r>
    </w:p>
    <w:p>
      <w:pPr>
        <w:keepNext w:val="0"/>
        <w:keepLines w:val="0"/>
        <w:pageBreakBefore w:val="0"/>
        <w:widowControl/>
        <w:numPr>
          <w:ilvl w:val="0"/>
          <w:numId w:val="7"/>
        </w:numPr>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仿宋_GB2312" w:eastAsia="仿宋_GB2312"/>
          <w:kern w:val="0"/>
          <w:sz w:val="30"/>
          <w:szCs w:val="30"/>
        </w:rPr>
      </w:pPr>
      <w:r>
        <w:rPr>
          <w:rFonts w:hint="eastAsia" w:ascii="仿宋_GB2312" w:eastAsia="仿宋_GB2312"/>
          <w:kern w:val="0"/>
          <w:sz w:val="30"/>
          <w:szCs w:val="30"/>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pageBreakBefore w:val="0"/>
        <w:widowControl/>
        <w:numPr>
          <w:ilvl w:val="0"/>
          <w:numId w:val="7"/>
        </w:numPr>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hint="eastAsia" w:eastAsia="仿宋_GB2312"/>
          <w:kern w:val="0"/>
          <w:sz w:val="30"/>
          <w:szCs w:val="30"/>
        </w:rPr>
        <w:t>2019</w:t>
      </w:r>
      <w:r>
        <w:rPr>
          <w:rFonts w:eastAsia="仿宋_GB2312"/>
          <w:kern w:val="0"/>
          <w:sz w:val="30"/>
          <w:szCs w:val="30"/>
        </w:rPr>
        <w:t xml:space="preserve">年部门预算总支出 </w:t>
      </w:r>
      <w:r>
        <w:rPr>
          <w:rFonts w:hint="eastAsia" w:eastAsia="仿宋_GB2312"/>
          <w:kern w:val="0"/>
          <w:sz w:val="30"/>
          <w:szCs w:val="30"/>
          <w:lang w:val="en-US" w:eastAsia="zh-CN"/>
        </w:rPr>
        <w:t>512.84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512.84</w:t>
      </w:r>
      <w:r>
        <w:rPr>
          <w:rFonts w:eastAsia="仿宋_GB2312"/>
          <w:kern w:val="0"/>
          <w:sz w:val="30"/>
          <w:szCs w:val="30"/>
        </w:rPr>
        <w:t>万元，其中，基本支出</w:t>
      </w:r>
      <w:r>
        <w:rPr>
          <w:rFonts w:hint="eastAsia" w:eastAsia="仿宋_GB2312"/>
          <w:kern w:val="0"/>
          <w:sz w:val="30"/>
          <w:szCs w:val="30"/>
          <w:lang w:val="en-US" w:eastAsia="zh-CN"/>
        </w:rPr>
        <w:t>512.84</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rPr>
        <w:t>0</w:t>
      </w:r>
      <w:r>
        <w:rPr>
          <w:rFonts w:eastAsia="仿宋_GB2312"/>
          <w:kern w:val="0"/>
          <w:sz w:val="30"/>
          <w:szCs w:val="30"/>
        </w:rPr>
        <w:t>万元。</w:t>
      </w:r>
    </w:p>
    <w:p>
      <w:pPr>
        <w:widowControl/>
        <w:jc w:val="left"/>
        <w:rPr>
          <w:rFonts w:ascii="仿宋_GB2312" w:eastAsia="仿宋_GB2312"/>
          <w:kern w:val="0"/>
          <w:sz w:val="30"/>
          <w:szCs w:val="30"/>
        </w:rPr>
      </w:pP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abstractNum w:abstractNumId="5">
    <w:nsid w:val="5CBE95EF"/>
    <w:multiLevelType w:val="singleLevel"/>
    <w:tmpl w:val="5CBE95EF"/>
    <w:lvl w:ilvl="0" w:tentative="0">
      <w:start w:val="1"/>
      <w:numFmt w:val="decimal"/>
      <w:suff w:val="nothing"/>
      <w:lvlText w:val="%1、"/>
      <w:lvlJc w:val="left"/>
    </w:lvl>
  </w:abstractNum>
  <w:abstractNum w:abstractNumId="6">
    <w:nsid w:val="5CBEDA5E"/>
    <w:multiLevelType w:val="singleLevel"/>
    <w:tmpl w:val="5CBEDA5E"/>
    <w:lvl w:ilvl="0" w:tentative="0">
      <w:start w:val="3"/>
      <w:numFmt w:val="chineseCounting"/>
      <w:suff w:val="nothing"/>
      <w:lvlText w:val="（%1）"/>
      <w:lvlJc w:val="left"/>
    </w:lvl>
  </w:abstractNum>
  <w:num w:numId="1">
    <w:abstractNumId w:val="5"/>
  </w:num>
  <w:num w:numId="2">
    <w:abstractNumId w:val="2"/>
  </w:num>
  <w:num w:numId="3">
    <w:abstractNumId w:val="1"/>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5AD5"/>
    <w:rsid w:val="0000585F"/>
    <w:rsid w:val="0000790E"/>
    <w:rsid w:val="00010713"/>
    <w:rsid w:val="00011A60"/>
    <w:rsid w:val="00011F4A"/>
    <w:rsid w:val="00012FB3"/>
    <w:rsid w:val="00014D4F"/>
    <w:rsid w:val="000152A5"/>
    <w:rsid w:val="00016708"/>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573F7"/>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56C6"/>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5551"/>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2F0F"/>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0E7"/>
    <w:rsid w:val="00780AAD"/>
    <w:rsid w:val="0078371A"/>
    <w:rsid w:val="00783A4C"/>
    <w:rsid w:val="0079250C"/>
    <w:rsid w:val="00794375"/>
    <w:rsid w:val="007A05BD"/>
    <w:rsid w:val="007A7078"/>
    <w:rsid w:val="007A725D"/>
    <w:rsid w:val="007B4A0F"/>
    <w:rsid w:val="007B732C"/>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0E9D"/>
    <w:rsid w:val="00874702"/>
    <w:rsid w:val="008775B4"/>
    <w:rsid w:val="008808A6"/>
    <w:rsid w:val="00884461"/>
    <w:rsid w:val="00884E15"/>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3941"/>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87661"/>
    <w:rsid w:val="00C90645"/>
    <w:rsid w:val="00C92A41"/>
    <w:rsid w:val="00C95E0F"/>
    <w:rsid w:val="00CA3BAD"/>
    <w:rsid w:val="00CB1858"/>
    <w:rsid w:val="00CC0087"/>
    <w:rsid w:val="00CD0085"/>
    <w:rsid w:val="00CD3F12"/>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228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24885"/>
    <w:rsid w:val="00E30F62"/>
    <w:rsid w:val="00E36ECE"/>
    <w:rsid w:val="00E46B69"/>
    <w:rsid w:val="00E573AC"/>
    <w:rsid w:val="00E57B94"/>
    <w:rsid w:val="00E62839"/>
    <w:rsid w:val="00E62E85"/>
    <w:rsid w:val="00E64EE1"/>
    <w:rsid w:val="00E65C1E"/>
    <w:rsid w:val="00E75F13"/>
    <w:rsid w:val="00E76022"/>
    <w:rsid w:val="00E83456"/>
    <w:rsid w:val="00E87649"/>
    <w:rsid w:val="00E97D8E"/>
    <w:rsid w:val="00EA25E4"/>
    <w:rsid w:val="00EA265A"/>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0E87"/>
    <w:rsid w:val="00F238CE"/>
    <w:rsid w:val="00F24EE1"/>
    <w:rsid w:val="00F35CB9"/>
    <w:rsid w:val="00F36445"/>
    <w:rsid w:val="00F37D41"/>
    <w:rsid w:val="00F412D7"/>
    <w:rsid w:val="00F43996"/>
    <w:rsid w:val="00F45AD5"/>
    <w:rsid w:val="00F45F72"/>
    <w:rsid w:val="00F47184"/>
    <w:rsid w:val="00F47CE5"/>
    <w:rsid w:val="00F51398"/>
    <w:rsid w:val="00F521B6"/>
    <w:rsid w:val="00F53C1F"/>
    <w:rsid w:val="00F53D7D"/>
    <w:rsid w:val="00F54201"/>
    <w:rsid w:val="00F5464F"/>
    <w:rsid w:val="00F6446E"/>
    <w:rsid w:val="00F64A92"/>
    <w:rsid w:val="00F657F3"/>
    <w:rsid w:val="00F73727"/>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2700727"/>
    <w:rsid w:val="036D5410"/>
    <w:rsid w:val="03CD50E7"/>
    <w:rsid w:val="03D01697"/>
    <w:rsid w:val="03F0214E"/>
    <w:rsid w:val="04CF1775"/>
    <w:rsid w:val="05616F12"/>
    <w:rsid w:val="06007434"/>
    <w:rsid w:val="06325B44"/>
    <w:rsid w:val="066B0DDF"/>
    <w:rsid w:val="06E43398"/>
    <w:rsid w:val="084A3CB5"/>
    <w:rsid w:val="0A1C2396"/>
    <w:rsid w:val="0A3547D0"/>
    <w:rsid w:val="0AAC51BF"/>
    <w:rsid w:val="0AB77A2F"/>
    <w:rsid w:val="0B9C2880"/>
    <w:rsid w:val="0F694C28"/>
    <w:rsid w:val="10700374"/>
    <w:rsid w:val="13F52A67"/>
    <w:rsid w:val="14342321"/>
    <w:rsid w:val="14594CAF"/>
    <w:rsid w:val="15CA0158"/>
    <w:rsid w:val="16C85A74"/>
    <w:rsid w:val="18D62278"/>
    <w:rsid w:val="192A6AB9"/>
    <w:rsid w:val="1A0B3DDD"/>
    <w:rsid w:val="1A653D60"/>
    <w:rsid w:val="1A685806"/>
    <w:rsid w:val="207165AF"/>
    <w:rsid w:val="228218EB"/>
    <w:rsid w:val="23023C49"/>
    <w:rsid w:val="230A2299"/>
    <w:rsid w:val="23293A4E"/>
    <w:rsid w:val="23971ED8"/>
    <w:rsid w:val="23C6578F"/>
    <w:rsid w:val="242E2599"/>
    <w:rsid w:val="248C5D39"/>
    <w:rsid w:val="25644EFC"/>
    <w:rsid w:val="26BF2FF3"/>
    <w:rsid w:val="26E1604F"/>
    <w:rsid w:val="27E3128E"/>
    <w:rsid w:val="28D26D48"/>
    <w:rsid w:val="294D2DD0"/>
    <w:rsid w:val="29F4749C"/>
    <w:rsid w:val="2AEB64B7"/>
    <w:rsid w:val="2B696D85"/>
    <w:rsid w:val="2CE8017B"/>
    <w:rsid w:val="2D7B7E3A"/>
    <w:rsid w:val="2DA75286"/>
    <w:rsid w:val="2EFA16A1"/>
    <w:rsid w:val="2F0B3763"/>
    <w:rsid w:val="2FD25EA1"/>
    <w:rsid w:val="310120C0"/>
    <w:rsid w:val="3162175D"/>
    <w:rsid w:val="32C405EA"/>
    <w:rsid w:val="33E37726"/>
    <w:rsid w:val="33F65698"/>
    <w:rsid w:val="341112B0"/>
    <w:rsid w:val="352C420E"/>
    <w:rsid w:val="366D7358"/>
    <w:rsid w:val="369B6FF2"/>
    <w:rsid w:val="374F3D9E"/>
    <w:rsid w:val="38755A73"/>
    <w:rsid w:val="39466C4F"/>
    <w:rsid w:val="39BF048F"/>
    <w:rsid w:val="3C5F75E3"/>
    <w:rsid w:val="3CC32D4E"/>
    <w:rsid w:val="3DA80A74"/>
    <w:rsid w:val="3F3C4B64"/>
    <w:rsid w:val="40243032"/>
    <w:rsid w:val="413A795F"/>
    <w:rsid w:val="41F4495E"/>
    <w:rsid w:val="43131F13"/>
    <w:rsid w:val="43C35C3E"/>
    <w:rsid w:val="45166B3A"/>
    <w:rsid w:val="46D61E29"/>
    <w:rsid w:val="476B30B0"/>
    <w:rsid w:val="48BF587B"/>
    <w:rsid w:val="4A940EA9"/>
    <w:rsid w:val="4BAB0D3C"/>
    <w:rsid w:val="4DF91733"/>
    <w:rsid w:val="4E142BF2"/>
    <w:rsid w:val="4F100C57"/>
    <w:rsid w:val="4F422D45"/>
    <w:rsid w:val="4FC334A8"/>
    <w:rsid w:val="4FE90C1A"/>
    <w:rsid w:val="51546B9A"/>
    <w:rsid w:val="515A348C"/>
    <w:rsid w:val="51726961"/>
    <w:rsid w:val="53736910"/>
    <w:rsid w:val="564C72BA"/>
    <w:rsid w:val="5825432A"/>
    <w:rsid w:val="58310B0B"/>
    <w:rsid w:val="58CF0ED8"/>
    <w:rsid w:val="598F0682"/>
    <w:rsid w:val="5AB4032D"/>
    <w:rsid w:val="5CD46025"/>
    <w:rsid w:val="5E7D384C"/>
    <w:rsid w:val="5F2E43F4"/>
    <w:rsid w:val="604F2028"/>
    <w:rsid w:val="607E1D84"/>
    <w:rsid w:val="615F1016"/>
    <w:rsid w:val="63BE6772"/>
    <w:rsid w:val="65756AF5"/>
    <w:rsid w:val="66294746"/>
    <w:rsid w:val="6693006A"/>
    <w:rsid w:val="67D95CA6"/>
    <w:rsid w:val="67DD5DBE"/>
    <w:rsid w:val="68C77134"/>
    <w:rsid w:val="693937F1"/>
    <w:rsid w:val="694F6113"/>
    <w:rsid w:val="69F575DC"/>
    <w:rsid w:val="6A8C3BB7"/>
    <w:rsid w:val="6CAC668F"/>
    <w:rsid w:val="6D283253"/>
    <w:rsid w:val="6D2C6F36"/>
    <w:rsid w:val="6DA47EEE"/>
    <w:rsid w:val="6FCD3E36"/>
    <w:rsid w:val="711A0A6D"/>
    <w:rsid w:val="715136D9"/>
    <w:rsid w:val="724A4A01"/>
    <w:rsid w:val="7264217C"/>
    <w:rsid w:val="72F37DB5"/>
    <w:rsid w:val="73183BA0"/>
    <w:rsid w:val="75F37398"/>
    <w:rsid w:val="775117E7"/>
    <w:rsid w:val="79910928"/>
    <w:rsid w:val="799A0483"/>
    <w:rsid w:val="7B1E5394"/>
    <w:rsid w:val="7B9E1D6B"/>
    <w:rsid w:val="7E754ED9"/>
    <w:rsid w:val="7F170E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rPr>
      <w:sz w:val="24"/>
    </w:rPr>
  </w:style>
  <w:style w:type="paragraph" w:styleId="7">
    <w:name w:val="annotation subject"/>
    <w:basedOn w:val="2"/>
    <w:next w:val="2"/>
    <w:semiHidden/>
    <w:qFormat/>
    <w:uiPriority w:val="0"/>
    <w:rPr>
      <w:b/>
      <w:bCs/>
    </w:rPr>
  </w:style>
  <w:style w:type="character" w:styleId="10">
    <w:name w:val="Hyperlink"/>
    <w:basedOn w:val="9"/>
    <w:unhideWhenUsed/>
    <w:qFormat/>
    <w:uiPriority w:val="0"/>
    <w:rPr>
      <w:color w:val="0000FF"/>
      <w:u w:val="single"/>
    </w:rPr>
  </w:style>
  <w:style w:type="character" w:styleId="11">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普通(网站)1"/>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zhlx</Company>
  <Pages>10</Pages>
  <Words>4302</Words>
  <Characters>448</Characters>
  <Lines>3</Lines>
  <Paragraphs>9</Paragraphs>
  <TotalTime>56</TotalTime>
  <ScaleCrop>false</ScaleCrop>
  <LinksUpToDate>false</LinksUpToDate>
  <CharactersWithSpaces>4741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2024-06-19T09:13:06Z</dcterms:modified>
  <dc:title>年部门预算编制说明</dc:title>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2CDE85E0BFFE466C8CCCEC656DBE2A07</vt:lpwstr>
  </property>
</Properties>
</file>