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盈江县昔马镇中心学校2019年</w:t>
      </w:r>
    </w:p>
    <w:p>
      <w:pPr>
        <w:jc w:val="center"/>
        <w:rPr>
          <w:rFonts w:ascii="方正小标宋简体" w:eastAsia="方正小标宋简体"/>
          <w:sz w:val="36"/>
          <w:szCs w:val="36"/>
        </w:rPr>
      </w:pPr>
      <w:r>
        <w:rPr>
          <w:rFonts w:hint="eastAsia" w:ascii="方正小标宋简体" w:hAnsi="方正小标宋简体" w:eastAsia="方正小标宋简体" w:cs="方正小标宋简体"/>
          <w:sz w:val="36"/>
          <w:szCs w:val="36"/>
        </w:rPr>
        <w:t>预算公开</w:t>
      </w:r>
      <w:r>
        <w:rPr>
          <w:rFonts w:hint="eastAsia" w:ascii="方正小标宋简体" w:eastAsia="方正小标宋简体"/>
          <w:sz w:val="36"/>
          <w:szCs w:val="36"/>
        </w:rPr>
        <w:t>目录</w:t>
      </w:r>
    </w:p>
    <w:p>
      <w:pPr>
        <w:jc w:val="left"/>
        <w:rPr>
          <w:rFonts w:ascii="黑体" w:hAnsi="黑体" w:eastAsia="黑体"/>
          <w:sz w:val="30"/>
          <w:szCs w:val="30"/>
        </w:rPr>
      </w:pPr>
    </w:p>
    <w:p>
      <w:pPr>
        <w:jc w:val="left"/>
        <w:rPr>
          <w:rFonts w:ascii="黑体" w:hAnsi="黑体" w:eastAsia="黑体"/>
          <w:sz w:val="30"/>
          <w:szCs w:val="30"/>
        </w:rPr>
      </w:pPr>
      <w:r>
        <w:rPr>
          <w:rFonts w:hint="eastAsia" w:ascii="黑体" w:hAnsi="黑体" w:eastAsia="黑体"/>
          <w:sz w:val="30"/>
          <w:szCs w:val="30"/>
        </w:rPr>
        <w:t>第一部分 盈江县昔马镇中心学校2019年部门预算编制说明</w:t>
      </w:r>
    </w:p>
    <w:p>
      <w:pPr>
        <w:jc w:val="left"/>
        <w:rPr>
          <w:rFonts w:ascii="黑体" w:hAnsi="黑体" w:eastAsia="黑体"/>
          <w:sz w:val="30"/>
          <w:szCs w:val="30"/>
        </w:rPr>
      </w:pPr>
      <w:r>
        <w:rPr>
          <w:rFonts w:hint="eastAsia" w:ascii="黑体" w:hAnsi="黑体" w:eastAsia="黑体"/>
          <w:sz w:val="30"/>
          <w:szCs w:val="30"/>
        </w:rPr>
        <w:t>第二部分 盈江县昔马镇中心学校2019年部门预算表</w:t>
      </w:r>
    </w:p>
    <w:p>
      <w:pPr>
        <w:jc w:val="left"/>
        <w:rPr>
          <w:rFonts w:eastAsia="仿宋_GB2312"/>
          <w:sz w:val="30"/>
          <w:szCs w:val="30"/>
        </w:rPr>
      </w:pPr>
      <w:r>
        <w:rPr>
          <w:rFonts w:hint="eastAsia" w:eastAsia="仿宋_GB2312"/>
          <w:sz w:val="30"/>
          <w:szCs w:val="30"/>
        </w:rPr>
        <w:t>一、部门财务收支总体情况表</w:t>
      </w:r>
    </w:p>
    <w:p>
      <w:pPr>
        <w:jc w:val="left"/>
        <w:rPr>
          <w:rFonts w:eastAsia="仿宋_GB2312"/>
          <w:sz w:val="30"/>
          <w:szCs w:val="30"/>
        </w:rPr>
      </w:pPr>
      <w:r>
        <w:rPr>
          <w:rFonts w:hint="eastAsia" w:eastAsia="仿宋_GB2312"/>
          <w:sz w:val="30"/>
          <w:szCs w:val="30"/>
        </w:rPr>
        <w:t>二、部门收入总体情况表</w:t>
      </w:r>
    </w:p>
    <w:p>
      <w:pPr>
        <w:jc w:val="left"/>
        <w:rPr>
          <w:rFonts w:eastAsia="仿宋_GB2312"/>
          <w:sz w:val="30"/>
          <w:szCs w:val="30"/>
        </w:rPr>
      </w:pPr>
      <w:r>
        <w:rPr>
          <w:rFonts w:hint="eastAsia" w:eastAsia="仿宋_GB2312"/>
          <w:sz w:val="30"/>
          <w:szCs w:val="30"/>
        </w:rPr>
        <w:t>三、部门支出总体情况表</w:t>
      </w:r>
    </w:p>
    <w:p>
      <w:pPr>
        <w:jc w:val="left"/>
        <w:rPr>
          <w:rFonts w:eastAsia="仿宋_GB2312"/>
          <w:sz w:val="30"/>
          <w:szCs w:val="30"/>
        </w:rPr>
      </w:pPr>
      <w:r>
        <w:rPr>
          <w:rFonts w:hint="eastAsia" w:eastAsia="仿宋_GB2312"/>
          <w:sz w:val="30"/>
          <w:szCs w:val="30"/>
        </w:rPr>
        <w:t>四、部门财政拨款收支总体情况表</w:t>
      </w:r>
    </w:p>
    <w:p>
      <w:pPr>
        <w:jc w:val="left"/>
        <w:rPr>
          <w:rFonts w:eastAsia="仿宋_GB2312"/>
          <w:sz w:val="30"/>
          <w:szCs w:val="30"/>
        </w:rPr>
      </w:pPr>
      <w:r>
        <w:rPr>
          <w:rFonts w:hint="eastAsia" w:eastAsia="仿宋_GB2312"/>
          <w:sz w:val="30"/>
          <w:szCs w:val="30"/>
        </w:rPr>
        <w:t>五、部门一般公共预算本级财力安排支出情况表</w:t>
      </w:r>
    </w:p>
    <w:p>
      <w:pPr>
        <w:jc w:val="left"/>
        <w:rPr>
          <w:rFonts w:eastAsia="仿宋_GB2312"/>
          <w:sz w:val="30"/>
          <w:szCs w:val="30"/>
        </w:rPr>
      </w:pPr>
      <w:r>
        <w:rPr>
          <w:rFonts w:hint="eastAsia" w:eastAsia="仿宋_GB2312"/>
          <w:sz w:val="30"/>
          <w:szCs w:val="30"/>
        </w:rPr>
        <w:t>六、部门基本支出情况表</w:t>
      </w:r>
    </w:p>
    <w:p>
      <w:pPr>
        <w:jc w:val="left"/>
        <w:rPr>
          <w:rFonts w:eastAsia="仿宋_GB2312"/>
          <w:sz w:val="30"/>
          <w:szCs w:val="30"/>
        </w:rPr>
      </w:pPr>
      <w:r>
        <w:rPr>
          <w:rFonts w:hint="eastAsia" w:eastAsia="仿宋_GB2312"/>
          <w:sz w:val="30"/>
          <w:szCs w:val="30"/>
        </w:rPr>
        <w:t>七、部门政府性基金预算支出情况表</w:t>
      </w:r>
    </w:p>
    <w:p>
      <w:pPr>
        <w:jc w:val="left"/>
        <w:rPr>
          <w:rFonts w:eastAsia="仿宋_GB2312"/>
          <w:sz w:val="30"/>
          <w:szCs w:val="30"/>
        </w:rPr>
      </w:pPr>
      <w:r>
        <w:rPr>
          <w:rFonts w:hint="eastAsia" w:eastAsia="仿宋_GB2312"/>
          <w:sz w:val="30"/>
          <w:szCs w:val="30"/>
        </w:rPr>
        <w:t>八、财政拨款支出明细表（按经济科目分类）</w:t>
      </w:r>
    </w:p>
    <w:p>
      <w:pPr>
        <w:jc w:val="left"/>
        <w:rPr>
          <w:rFonts w:eastAsia="仿宋_GB2312"/>
          <w:sz w:val="30"/>
          <w:szCs w:val="30"/>
        </w:rPr>
      </w:pPr>
      <w:r>
        <w:rPr>
          <w:rFonts w:hint="eastAsia" w:eastAsia="仿宋_GB2312"/>
          <w:sz w:val="30"/>
          <w:szCs w:val="30"/>
        </w:rPr>
        <w:t>九、部门一般公共预算“三公”经费支出情况表</w:t>
      </w:r>
    </w:p>
    <w:p>
      <w:pPr>
        <w:jc w:val="left"/>
        <w:rPr>
          <w:rFonts w:eastAsia="仿宋_GB2312"/>
          <w:sz w:val="30"/>
          <w:szCs w:val="30"/>
        </w:rPr>
      </w:pPr>
      <w:r>
        <w:rPr>
          <w:rFonts w:hint="eastAsia" w:eastAsia="仿宋_GB2312"/>
          <w:sz w:val="30"/>
          <w:szCs w:val="30"/>
        </w:rPr>
        <w:t>十、县本级项目支出绩效目标表（本次下达）</w:t>
      </w:r>
    </w:p>
    <w:p>
      <w:pPr>
        <w:jc w:val="left"/>
        <w:rPr>
          <w:rFonts w:eastAsia="仿宋_GB2312"/>
          <w:sz w:val="30"/>
          <w:szCs w:val="30"/>
        </w:rPr>
      </w:pPr>
      <w:r>
        <w:rPr>
          <w:rFonts w:hint="eastAsia" w:eastAsia="仿宋_GB2312"/>
          <w:sz w:val="30"/>
          <w:szCs w:val="30"/>
        </w:rPr>
        <w:t>十一、县本级项目支出绩效目标表（另文下达）</w:t>
      </w:r>
    </w:p>
    <w:p>
      <w:pPr>
        <w:jc w:val="left"/>
        <w:rPr>
          <w:rFonts w:eastAsia="仿宋_GB2312"/>
          <w:sz w:val="30"/>
          <w:szCs w:val="30"/>
        </w:rPr>
      </w:pPr>
      <w:r>
        <w:rPr>
          <w:rFonts w:hint="eastAsia" w:eastAsia="仿宋_GB2312"/>
          <w:sz w:val="30"/>
          <w:szCs w:val="30"/>
        </w:rPr>
        <w:t>十二、县对下转移支付绩效目标表</w:t>
      </w:r>
    </w:p>
    <w:p>
      <w:pPr>
        <w:jc w:val="left"/>
        <w:rPr>
          <w:rFonts w:eastAsia="仿宋_GB2312"/>
          <w:sz w:val="30"/>
          <w:szCs w:val="30"/>
        </w:rPr>
      </w:pPr>
      <w:r>
        <w:rPr>
          <w:rFonts w:hint="eastAsia" w:eastAsia="仿宋_GB2312"/>
          <w:sz w:val="30"/>
          <w:szCs w:val="30"/>
        </w:rPr>
        <w:t>十三、部门政府采购情况表</w:t>
      </w:r>
    </w:p>
    <w:p>
      <w:pPr>
        <w:jc w:val="left"/>
        <w:rPr>
          <w:rFonts w:eastAsia="仿宋_GB2312"/>
          <w:sz w:val="30"/>
          <w:szCs w:val="30"/>
        </w:rPr>
      </w:pPr>
    </w:p>
    <w:p>
      <w:pPr>
        <w:jc w:val="left"/>
        <w:rPr>
          <w:rFonts w:eastAsia="仿宋_GB2312"/>
          <w:sz w:val="30"/>
          <w:szCs w:val="30"/>
        </w:rPr>
      </w:pPr>
    </w:p>
    <w:p>
      <w:pPr>
        <w:jc w:val="left"/>
        <w:rPr>
          <w:rFonts w:eastAsia="仿宋_GB2312"/>
          <w:sz w:val="30"/>
          <w:szCs w:val="30"/>
        </w:rPr>
      </w:pPr>
    </w:p>
    <w:p>
      <w:pPr>
        <w:jc w:val="left"/>
        <w:rPr>
          <w:rFonts w:eastAsia="仿宋_GB2312"/>
          <w:sz w:val="30"/>
          <w:szCs w:val="30"/>
        </w:rPr>
      </w:pPr>
    </w:p>
    <w:p>
      <w:pPr>
        <w:widowControl/>
        <w:ind w:firstLine="360" w:firstLineChars="100"/>
        <w:rPr>
          <w:rFonts w:ascii="方正小标宋简体" w:eastAsia="方正小标宋简体"/>
          <w:kern w:val="0"/>
          <w:sz w:val="36"/>
          <w:szCs w:val="36"/>
        </w:rPr>
      </w:pPr>
      <w:r>
        <w:rPr>
          <w:rFonts w:hint="eastAsia" w:ascii="方正小标宋简体" w:eastAsia="方正小标宋简体"/>
          <w:kern w:val="0"/>
          <w:sz w:val="36"/>
          <w:szCs w:val="36"/>
        </w:rPr>
        <w:t>盈江县昔马镇中心学校2019年部门预算编制说明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江县财政局关于盈江县昔马镇中心学校2019年部门预算的批复》（盈财预分指〔2019〕30号），按照预算管理的相关规定，盈江县昔马镇中心学校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2012）21号文件《贯彻国家和云南省中长期教育改革和发展规划纲要的实施意见》规定，主要职能是：全面推进素质教育，大力发展学前教育，巩固提高义务教育发展水平，稳步发展高中教育，加快发展职业教育和成人继续教育，推进</w:t>
      </w:r>
      <w:r>
        <w:rPr>
          <w:rFonts w:hint="eastAsia" w:ascii="仿宋_GB2312" w:hAnsi="仿宋_GB2312" w:eastAsia="仿宋_GB2312" w:cs="仿宋_GB2312"/>
          <w:kern w:val="0"/>
          <w:sz w:val="30"/>
          <w:szCs w:val="30"/>
          <w:lang w:eastAsia="zh-CN"/>
        </w:rPr>
        <w:t>特殊教育</w:t>
      </w:r>
      <w:r>
        <w:rPr>
          <w:rFonts w:hint="eastAsia" w:ascii="仿宋_GB2312" w:hAnsi="仿宋_GB2312" w:eastAsia="仿宋_GB2312" w:cs="仿宋_GB2312"/>
          <w:kern w:val="0"/>
          <w:sz w:val="30"/>
          <w:szCs w:val="30"/>
        </w:rPr>
        <w:t>发展，高度重视民族教育，规范发展民办教育，加强教育合作与交流。</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auto"/>
          <w:kern w:val="0"/>
          <w:sz w:val="30"/>
          <w:szCs w:val="30"/>
        </w:rPr>
      </w:pPr>
      <w:r>
        <w:rPr>
          <w:rFonts w:hint="eastAsia" w:ascii="楷体_GB2312" w:eastAsia="楷体_GB2312"/>
          <w:color w:val="auto"/>
          <w:kern w:val="0"/>
          <w:sz w:val="30"/>
          <w:szCs w:val="30"/>
        </w:rPr>
        <w:t>（二）机构设置情况</w:t>
      </w:r>
    </w:p>
    <w:p>
      <w:pPr>
        <w:keepNext w:val="0"/>
        <w:keepLines w:val="0"/>
        <w:pageBreakBefore w:val="0"/>
        <w:widowControl/>
        <w:kinsoku/>
        <w:wordWrap/>
        <w:overflowPunct/>
        <w:topLinePunct w:val="0"/>
        <w:autoSpaceDE/>
        <w:autoSpaceDN/>
        <w:bidi w:val="0"/>
        <w:adjustRightInd/>
        <w:snapToGrid/>
        <w:ind w:firstLine="560" w:firstLineChars="200"/>
        <w:jc w:val="both"/>
        <w:textAlignment w:val="auto"/>
        <w:outlineLvl w:val="9"/>
        <w:rPr>
          <w:rFonts w:ascii="仿宋_GB2312" w:hAnsi="仿宋_GB2312" w:eastAsia="仿宋_GB2312" w:cs="仿宋_GB2312"/>
          <w:kern w:val="0"/>
          <w:sz w:val="30"/>
          <w:szCs w:val="30"/>
        </w:rPr>
      </w:pPr>
      <w:r>
        <w:rPr>
          <w:rFonts w:hint="eastAsia" w:ascii="宋体" w:hAnsi="宋体" w:cs="宋体"/>
          <w:kern w:val="0"/>
          <w:sz w:val="28"/>
          <w:szCs w:val="28"/>
        </w:rPr>
        <w:t xml:space="preserve">  </w:t>
      </w:r>
      <w:r>
        <w:rPr>
          <w:rFonts w:hint="eastAsia" w:ascii="仿宋_GB2312" w:hAnsi="仿宋_GB2312" w:eastAsia="仿宋_GB2312" w:cs="仿宋_GB2312"/>
          <w:kern w:val="0"/>
          <w:sz w:val="28"/>
          <w:szCs w:val="28"/>
        </w:rPr>
        <w:t>盈江县昔马镇中心学校设置3个校点：中心小学、保边小学、黄伞坡小学。</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auto"/>
          <w:kern w:val="0"/>
          <w:sz w:val="30"/>
          <w:szCs w:val="30"/>
        </w:rPr>
      </w:pPr>
      <w:r>
        <w:rPr>
          <w:rFonts w:ascii="楷体_GB2312" w:eastAsia="楷体_GB2312"/>
          <w:color w:val="auto"/>
          <w:kern w:val="0"/>
          <w:sz w:val="30"/>
          <w:szCs w:val="30"/>
        </w:rPr>
        <w:t>（</w:t>
      </w:r>
      <w:r>
        <w:rPr>
          <w:rFonts w:hint="eastAsia" w:ascii="楷体_GB2312" w:eastAsia="楷体_GB2312"/>
          <w:color w:val="auto"/>
          <w:kern w:val="0"/>
          <w:sz w:val="30"/>
          <w:szCs w:val="30"/>
        </w:rPr>
        <w:t>三</w:t>
      </w:r>
      <w:r>
        <w:rPr>
          <w:rFonts w:ascii="楷体_GB2312" w:eastAsia="楷体_GB2312"/>
          <w:color w:val="auto"/>
          <w:kern w:val="0"/>
          <w:sz w:val="30"/>
          <w:szCs w:val="30"/>
        </w:rPr>
        <w:t>）重点工作概述</w:t>
      </w:r>
    </w:p>
    <w:p>
      <w:pPr>
        <w:keepNext w:val="0"/>
        <w:keepLines w:val="0"/>
        <w:pageBreakBefore w:val="0"/>
        <w:kinsoku/>
        <w:wordWrap/>
        <w:overflowPunct/>
        <w:topLinePunct w:val="0"/>
        <w:autoSpaceDE/>
        <w:autoSpaceDN/>
        <w:bidi w:val="0"/>
        <w:adjustRightInd/>
        <w:snapToGrid/>
        <w:spacing w:line="240" w:lineRule="atLeas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1、学校德育工作。</w:t>
      </w:r>
    </w:p>
    <w:p>
      <w:pPr>
        <w:keepNext w:val="0"/>
        <w:keepLines w:val="0"/>
        <w:pageBreakBefore w:val="0"/>
        <w:kinsoku/>
        <w:wordWrap/>
        <w:overflowPunct/>
        <w:topLinePunct w:val="0"/>
        <w:autoSpaceDE/>
        <w:autoSpaceDN/>
        <w:bidi w:val="0"/>
        <w:adjustRightInd/>
        <w:snapToGrid/>
        <w:spacing w:line="120" w:lineRule="auto"/>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1）深入学习贯彻《中共中央国务院关于进一步加强和改进未成年人思想道德建设的若干意见》、《云南省德育工作分年级实施意见》、《中小学德育纲要》；以《中小学生守则》和《中小学生日常行为规范》为主要内容抓好学生思想教育和良好行为习惯的养成教育工作，效果明显。</w:t>
      </w:r>
    </w:p>
    <w:p>
      <w:pPr>
        <w:keepNext w:val="0"/>
        <w:keepLines w:val="0"/>
        <w:pageBreakBefore w:val="0"/>
        <w:kinsoku/>
        <w:wordWrap/>
        <w:overflowPunct/>
        <w:topLinePunct w:val="0"/>
        <w:autoSpaceDE/>
        <w:autoSpaceDN/>
        <w:bidi w:val="0"/>
        <w:adjustRightInd/>
        <w:snapToGrid/>
        <w:spacing w:line="120" w:lineRule="auto"/>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（2）切实加强师德建设，强化德育实践环境。</w:t>
      </w:r>
    </w:p>
    <w:p>
      <w:pPr>
        <w:keepNext w:val="0"/>
        <w:keepLines w:val="0"/>
        <w:pageBreakBefore w:val="0"/>
        <w:kinsoku/>
        <w:wordWrap/>
        <w:overflowPunct/>
        <w:topLinePunct w:val="0"/>
        <w:autoSpaceDE/>
        <w:autoSpaceDN/>
        <w:bidi w:val="0"/>
        <w:adjustRightInd/>
        <w:snapToGrid/>
        <w:spacing w:line="120" w:lineRule="auto"/>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（3）积极开展普法工作，增强和提高依法治教、依法治校的意识和水平。争创依法治校、依法治教工作和社会治安综合治理工作，成效明显。</w:t>
      </w:r>
    </w:p>
    <w:p>
      <w:pPr>
        <w:keepNext w:val="0"/>
        <w:keepLines w:val="0"/>
        <w:pageBreakBefore w:val="0"/>
        <w:kinsoku/>
        <w:wordWrap/>
        <w:overflowPunct/>
        <w:topLinePunct w:val="0"/>
        <w:autoSpaceDE/>
        <w:autoSpaceDN/>
        <w:bidi w:val="0"/>
        <w:adjustRightInd/>
        <w:snapToGrid/>
        <w:spacing w:line="120" w:lineRule="auto"/>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（4）积极推进学生心理健康教育。</w:t>
      </w:r>
    </w:p>
    <w:p>
      <w:pPr>
        <w:keepNext w:val="0"/>
        <w:keepLines w:val="0"/>
        <w:pageBreakBefore w:val="0"/>
        <w:kinsoku/>
        <w:wordWrap/>
        <w:overflowPunct/>
        <w:topLinePunct w:val="0"/>
        <w:autoSpaceDE/>
        <w:autoSpaceDN/>
        <w:bidi w:val="0"/>
        <w:adjustRightInd/>
        <w:snapToGrid/>
        <w:spacing w:line="120" w:lineRule="auto"/>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5）健全团、队组织，保证团、队工作正常开展，积极发挥团、队在德育工作中的作用；进一步发挥校外德育基地的育人功能，认真开展了多种形式的社会实践活动，对学生进行爱我校园、爱我家乡、爱我祖国的德育教育。</w:t>
      </w:r>
    </w:p>
    <w:p>
      <w:pPr>
        <w:keepNext w:val="0"/>
        <w:keepLines w:val="0"/>
        <w:pageBreakBefore w:val="0"/>
        <w:kinsoku/>
        <w:wordWrap/>
        <w:overflowPunct/>
        <w:topLinePunct w:val="0"/>
        <w:autoSpaceDE/>
        <w:autoSpaceDN/>
        <w:bidi w:val="0"/>
        <w:adjustRightInd/>
        <w:snapToGrid/>
        <w:spacing w:line="120" w:lineRule="auto"/>
        <w:ind w:firstLine="600" w:firstLineChars="200"/>
        <w:jc w:val="both"/>
        <w:textAlignment w:val="auto"/>
        <w:outlineLvl w:val="9"/>
        <w:rPr>
          <w:rFonts w:ascii="仿宋_GB2312" w:hAnsi="仿宋_GB2312" w:eastAsia="仿宋_GB2312" w:cs="仿宋_GB2312"/>
          <w:b/>
          <w:sz w:val="30"/>
          <w:szCs w:val="30"/>
        </w:rPr>
      </w:pPr>
      <w:r>
        <w:rPr>
          <w:rFonts w:hint="eastAsia" w:ascii="仿宋_GB2312" w:hAnsi="仿宋_GB2312" w:eastAsia="仿宋_GB2312" w:cs="仿宋_GB2312"/>
          <w:bCs/>
          <w:sz w:val="30"/>
          <w:szCs w:val="30"/>
        </w:rPr>
        <w:t>2、狠抓落实教学常规管理，促进教育教学工作。</w:t>
      </w:r>
    </w:p>
    <w:p>
      <w:pPr>
        <w:keepNext w:val="0"/>
        <w:keepLines w:val="0"/>
        <w:pageBreakBefore w:val="0"/>
        <w:kinsoku/>
        <w:wordWrap/>
        <w:overflowPunct/>
        <w:topLinePunct w:val="0"/>
        <w:autoSpaceDE/>
        <w:autoSpaceDN/>
        <w:bidi w:val="0"/>
        <w:adjustRightInd/>
        <w:snapToGrid/>
        <w:spacing w:line="120" w:lineRule="auto"/>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教学常规管理工作在教育教学中很重要，是教育教学工作必不可少的部分，是提高教育教学质量的关键一环，因此，我们下大气力抓好教学常规管理工作。</w:t>
      </w:r>
    </w:p>
    <w:p>
      <w:pPr>
        <w:keepNext w:val="0"/>
        <w:keepLines w:val="0"/>
        <w:pageBreakBefore w:val="0"/>
        <w:kinsoku/>
        <w:wordWrap/>
        <w:overflowPunct/>
        <w:topLinePunct w:val="0"/>
        <w:autoSpaceDE/>
        <w:autoSpaceDN/>
        <w:bidi w:val="0"/>
        <w:adjustRightInd/>
        <w:snapToGrid/>
        <w:spacing w:line="120" w:lineRule="auto"/>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（1）加强师德、师风建设。</w:t>
      </w:r>
    </w:p>
    <w:p>
      <w:pPr>
        <w:keepNext w:val="0"/>
        <w:keepLines w:val="0"/>
        <w:pageBreakBefore w:val="0"/>
        <w:kinsoku/>
        <w:wordWrap/>
        <w:overflowPunct/>
        <w:topLinePunct w:val="0"/>
        <w:autoSpaceDE/>
        <w:autoSpaceDN/>
        <w:bidi w:val="0"/>
        <w:adjustRightInd/>
        <w:snapToGrid/>
        <w:spacing w:line="120" w:lineRule="auto"/>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（2）教研队伍网络建设。</w:t>
      </w:r>
    </w:p>
    <w:p>
      <w:pPr>
        <w:keepNext w:val="0"/>
        <w:keepLines w:val="0"/>
        <w:pageBreakBefore w:val="0"/>
        <w:kinsoku/>
        <w:wordWrap/>
        <w:overflowPunct/>
        <w:topLinePunct w:val="0"/>
        <w:autoSpaceDE/>
        <w:autoSpaceDN/>
        <w:bidi w:val="0"/>
        <w:adjustRightInd/>
        <w:snapToGrid/>
        <w:spacing w:line="120" w:lineRule="auto"/>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（3）抓好订书、发书及“两免一补”教育工作。</w:t>
      </w:r>
    </w:p>
    <w:p>
      <w:pPr>
        <w:keepNext w:val="0"/>
        <w:keepLines w:val="0"/>
        <w:pageBreakBefore w:val="0"/>
        <w:kinsoku/>
        <w:wordWrap/>
        <w:overflowPunct/>
        <w:topLinePunct w:val="0"/>
        <w:autoSpaceDE/>
        <w:autoSpaceDN/>
        <w:bidi w:val="0"/>
        <w:adjustRightInd/>
        <w:snapToGrid/>
        <w:spacing w:line="120" w:lineRule="auto"/>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（4）抓好校园及班级文化建设。</w:t>
      </w:r>
    </w:p>
    <w:p>
      <w:pPr>
        <w:keepNext w:val="0"/>
        <w:keepLines w:val="0"/>
        <w:pageBreakBefore w:val="0"/>
        <w:kinsoku/>
        <w:wordWrap/>
        <w:overflowPunct/>
        <w:topLinePunct w:val="0"/>
        <w:autoSpaceDE/>
        <w:autoSpaceDN/>
        <w:bidi w:val="0"/>
        <w:adjustRightInd/>
        <w:snapToGrid/>
        <w:spacing w:line="120" w:lineRule="auto"/>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（5）加强痕迹档案的建立、健全与保管工作。</w:t>
      </w:r>
    </w:p>
    <w:p>
      <w:pPr>
        <w:keepNext w:val="0"/>
        <w:keepLines w:val="0"/>
        <w:pageBreakBefore w:val="0"/>
        <w:kinsoku/>
        <w:wordWrap/>
        <w:overflowPunct/>
        <w:topLinePunct w:val="0"/>
        <w:autoSpaceDE/>
        <w:autoSpaceDN/>
        <w:bidi w:val="0"/>
        <w:adjustRightInd/>
        <w:snapToGrid/>
        <w:spacing w:line="120" w:lineRule="auto"/>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（6）抓教学常规及教师的教学基本功，促进教学工作。  </w:t>
      </w:r>
    </w:p>
    <w:p>
      <w:pPr>
        <w:keepNext w:val="0"/>
        <w:keepLines w:val="0"/>
        <w:pageBreakBefore w:val="0"/>
        <w:kinsoku/>
        <w:wordWrap/>
        <w:overflowPunct/>
        <w:topLinePunct w:val="0"/>
        <w:autoSpaceDE/>
        <w:autoSpaceDN/>
        <w:bidi w:val="0"/>
        <w:adjustRightInd/>
        <w:snapToGrid/>
        <w:spacing w:line="120" w:lineRule="auto"/>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（7）抓好教师过程管理及学校教学常规工作的考核。</w:t>
      </w:r>
    </w:p>
    <w:p>
      <w:pPr>
        <w:keepNext w:val="0"/>
        <w:keepLines w:val="0"/>
        <w:pageBreakBefore w:val="0"/>
        <w:kinsoku/>
        <w:wordWrap/>
        <w:overflowPunct/>
        <w:topLinePunct w:val="0"/>
        <w:autoSpaceDE/>
        <w:autoSpaceDN/>
        <w:bidi w:val="0"/>
        <w:adjustRightInd/>
        <w:snapToGrid/>
        <w:spacing w:line="120" w:lineRule="auto"/>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（8）重视发展学前班教育。</w:t>
      </w:r>
    </w:p>
    <w:p>
      <w:pPr>
        <w:keepNext w:val="0"/>
        <w:keepLines w:val="0"/>
        <w:pageBreakBefore w:val="0"/>
        <w:kinsoku/>
        <w:wordWrap/>
        <w:overflowPunct/>
        <w:topLinePunct w:val="0"/>
        <w:autoSpaceDE/>
        <w:autoSpaceDN/>
        <w:bidi w:val="0"/>
        <w:adjustRightInd/>
        <w:snapToGrid/>
        <w:spacing w:line="120" w:lineRule="auto"/>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（9）抓统测及统计工作。</w:t>
      </w:r>
      <w:r>
        <w:rPr>
          <w:rFonts w:hint="eastAsia" w:ascii="仿宋_GB2312" w:hAnsi="仿宋_GB2312" w:eastAsia="仿宋_GB2312" w:cs="仿宋_GB2312"/>
          <w:i/>
          <w:sz w:val="30"/>
          <w:szCs w:val="30"/>
        </w:rPr>
        <w:t xml:space="preserve">                                                  </w:t>
      </w:r>
    </w:p>
    <w:p>
      <w:pPr>
        <w:keepNext w:val="0"/>
        <w:keepLines w:val="0"/>
        <w:pageBreakBefore w:val="0"/>
        <w:kinsoku/>
        <w:wordWrap/>
        <w:overflowPunct/>
        <w:topLinePunct w:val="0"/>
        <w:autoSpaceDE/>
        <w:autoSpaceDN/>
        <w:bidi w:val="0"/>
        <w:adjustRightInd/>
        <w:snapToGrid/>
        <w:spacing w:line="120" w:lineRule="auto"/>
        <w:ind w:firstLine="600" w:firstLineChars="200"/>
        <w:jc w:val="both"/>
        <w:textAlignment w:val="auto"/>
        <w:outlineLvl w:val="9"/>
        <w:rPr>
          <w:rFonts w:ascii="仿宋_GB2312" w:hAnsi="仿宋_GB2312" w:eastAsia="仿宋_GB2312" w:cs="仿宋_GB2312"/>
          <w:bCs/>
          <w:sz w:val="30"/>
          <w:szCs w:val="30"/>
        </w:rPr>
      </w:pPr>
      <w:r>
        <w:rPr>
          <w:rFonts w:hint="eastAsia" w:ascii="仿宋_GB2312" w:hAnsi="仿宋_GB2312" w:eastAsia="仿宋_GB2312" w:cs="仿宋_GB2312"/>
          <w:bCs/>
          <w:sz w:val="30"/>
          <w:szCs w:val="30"/>
        </w:rPr>
        <w:t>3、学校教育科研工作。</w:t>
      </w:r>
    </w:p>
    <w:p>
      <w:pPr>
        <w:keepNext w:val="0"/>
        <w:keepLines w:val="0"/>
        <w:pageBreakBefore w:val="0"/>
        <w:kinsoku/>
        <w:wordWrap/>
        <w:overflowPunct/>
        <w:topLinePunct w:val="0"/>
        <w:autoSpaceDE/>
        <w:autoSpaceDN/>
        <w:bidi w:val="0"/>
        <w:adjustRightInd/>
        <w:snapToGrid/>
        <w:spacing w:line="120" w:lineRule="auto"/>
        <w:ind w:firstLine="600" w:firstLineChars="200"/>
        <w:jc w:val="both"/>
        <w:textAlignment w:val="auto"/>
        <w:outlineLvl w:val="9"/>
        <w:rPr>
          <w:rFonts w:ascii="仿宋_GB2312" w:hAnsi="仿宋_GB2312" w:eastAsia="仿宋_GB2312" w:cs="仿宋_GB2312"/>
          <w:bCs/>
          <w:sz w:val="30"/>
          <w:szCs w:val="30"/>
        </w:rPr>
      </w:pPr>
      <w:r>
        <w:rPr>
          <w:rFonts w:hint="eastAsia" w:ascii="仿宋_GB2312" w:hAnsi="仿宋_GB2312" w:eastAsia="仿宋_GB2312" w:cs="仿宋_GB2312"/>
          <w:sz w:val="30"/>
          <w:szCs w:val="30"/>
        </w:rPr>
        <w:t>教育科研工作是教育教学工作的重要组成部分，抓好教研教改工作和校本培训工作，确保教学质量的稳步提高，为新课程的实施奠定基础。</w:t>
      </w:r>
    </w:p>
    <w:p>
      <w:pPr>
        <w:keepNext w:val="0"/>
        <w:keepLines w:val="0"/>
        <w:pageBreakBefore w:val="0"/>
        <w:kinsoku/>
        <w:wordWrap/>
        <w:overflowPunct/>
        <w:topLinePunct w:val="0"/>
        <w:autoSpaceDE/>
        <w:autoSpaceDN/>
        <w:bidi w:val="0"/>
        <w:adjustRightInd/>
        <w:snapToGrid/>
        <w:spacing w:line="120" w:lineRule="auto"/>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(1)加强教职工队伍的管理，不断提高师资队伍的整体素质。 </w:t>
      </w:r>
    </w:p>
    <w:p>
      <w:pPr>
        <w:keepNext w:val="0"/>
        <w:keepLines w:val="0"/>
        <w:pageBreakBefore w:val="0"/>
        <w:kinsoku/>
        <w:wordWrap/>
        <w:overflowPunct/>
        <w:topLinePunct w:val="0"/>
        <w:autoSpaceDE/>
        <w:autoSpaceDN/>
        <w:bidi w:val="0"/>
        <w:adjustRightInd/>
        <w:snapToGrid/>
        <w:spacing w:line="120" w:lineRule="auto"/>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(2)教育教学是学校的中心工作，教学质量是学校发展的生命，教学研究是提高教学质量的有效途径，做到学年初制定了切实可行的教研计划，年末有教研工作总结。因此，我们大力加强教研工作，积极开展“走出去，请进来”的教研模式，积极开展校本培训，让广大教师有交流、学习、培训的机会，促使全体教职工进一步转变观念，改进教法，创新教育教学模式，在教学上、管理上都取得了一定的经验。 </w:t>
      </w:r>
    </w:p>
    <w:p>
      <w:pPr>
        <w:keepNext w:val="0"/>
        <w:keepLines w:val="0"/>
        <w:pageBreakBefore w:val="0"/>
        <w:kinsoku/>
        <w:wordWrap/>
        <w:overflowPunct/>
        <w:topLinePunct w:val="0"/>
        <w:autoSpaceDE/>
        <w:autoSpaceDN/>
        <w:bidi w:val="0"/>
        <w:adjustRightInd/>
        <w:snapToGrid/>
        <w:spacing w:line="120" w:lineRule="auto"/>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(3) 我校开展少先队建队日纪念庆祝活动、清明节为烈士扫墓纪念活动。</w:t>
      </w:r>
    </w:p>
    <w:p>
      <w:pPr>
        <w:keepNext w:val="0"/>
        <w:keepLines w:val="0"/>
        <w:pageBreakBefore w:val="0"/>
        <w:kinsoku/>
        <w:wordWrap/>
        <w:overflowPunct/>
        <w:topLinePunct w:val="0"/>
        <w:autoSpaceDE/>
        <w:autoSpaceDN/>
        <w:bidi w:val="0"/>
        <w:adjustRightInd/>
        <w:snapToGrid/>
        <w:spacing w:line="120" w:lineRule="auto"/>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(4)抓好一、六年级及弱势学科、班级的教师配置。 </w:t>
      </w:r>
    </w:p>
    <w:p>
      <w:pPr>
        <w:keepNext w:val="0"/>
        <w:keepLines w:val="0"/>
        <w:pageBreakBefore w:val="0"/>
        <w:kinsoku/>
        <w:wordWrap/>
        <w:overflowPunct/>
        <w:topLinePunct w:val="0"/>
        <w:autoSpaceDE/>
        <w:autoSpaceDN/>
        <w:bidi w:val="0"/>
        <w:adjustRightInd/>
        <w:snapToGrid/>
        <w:spacing w:line="120" w:lineRule="auto"/>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(5)教学质量是学校发展的根本保证，教育教学工作是学校工作的重中之重，注重“教育以育人为本，德育为先”，开展丰富多彩的活动，增加教研活动频率，是提高教育教学质量的有效手段。 </w:t>
      </w:r>
    </w:p>
    <w:p>
      <w:pPr>
        <w:keepNext w:val="0"/>
        <w:keepLines w:val="0"/>
        <w:pageBreakBefore w:val="0"/>
        <w:kinsoku/>
        <w:wordWrap/>
        <w:overflowPunct/>
        <w:topLinePunct w:val="0"/>
        <w:autoSpaceDE/>
        <w:autoSpaceDN/>
        <w:bidi w:val="0"/>
        <w:adjustRightInd/>
        <w:snapToGrid/>
        <w:spacing w:line="120" w:lineRule="auto"/>
        <w:ind w:firstLine="600" w:firstLineChars="200"/>
        <w:jc w:val="both"/>
        <w:textAlignment w:val="auto"/>
        <w:outlineLvl w:val="9"/>
        <w:rPr>
          <w:rFonts w:ascii="仿宋_GB2312" w:hAnsi="仿宋_GB2312" w:eastAsia="仿宋_GB2312" w:cs="仿宋_GB2312"/>
          <w:b/>
          <w:sz w:val="30"/>
          <w:szCs w:val="30"/>
        </w:rPr>
      </w:pPr>
      <w:r>
        <w:rPr>
          <w:rFonts w:hint="eastAsia" w:ascii="仿宋_GB2312" w:hAnsi="仿宋_GB2312" w:eastAsia="仿宋_GB2312" w:cs="仿宋_GB2312"/>
          <w:bCs/>
          <w:sz w:val="30"/>
          <w:szCs w:val="30"/>
        </w:rPr>
        <w:t>4、师训工作</w:t>
      </w:r>
    </w:p>
    <w:p>
      <w:pPr>
        <w:keepNext w:val="0"/>
        <w:keepLines w:val="0"/>
        <w:pageBreakBefore w:val="0"/>
        <w:kinsoku/>
        <w:wordWrap/>
        <w:overflowPunct/>
        <w:topLinePunct w:val="0"/>
        <w:autoSpaceDE/>
        <w:autoSpaceDN/>
        <w:bidi w:val="0"/>
        <w:adjustRightInd/>
        <w:snapToGrid/>
        <w:spacing w:line="120" w:lineRule="auto"/>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教师培训是提高教师业务能力的最直接而有效的途径之一，是提升教育教学质量的根本保障。我校非常重视师训工作，采取多种形式培训。</w:t>
      </w:r>
    </w:p>
    <w:p>
      <w:pPr>
        <w:keepNext w:val="0"/>
        <w:keepLines w:val="0"/>
        <w:pageBreakBefore w:val="0"/>
        <w:kinsoku/>
        <w:wordWrap/>
        <w:overflowPunct/>
        <w:topLinePunct w:val="0"/>
        <w:autoSpaceDE/>
        <w:autoSpaceDN/>
        <w:bidi w:val="0"/>
        <w:adjustRightInd/>
        <w:snapToGrid/>
        <w:spacing w:line="120" w:lineRule="auto"/>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(1)政治思想、职业道德常抓不懈。 </w:t>
      </w:r>
    </w:p>
    <w:p>
      <w:pPr>
        <w:keepNext w:val="0"/>
        <w:keepLines w:val="0"/>
        <w:pageBreakBefore w:val="0"/>
        <w:kinsoku/>
        <w:wordWrap/>
        <w:overflowPunct/>
        <w:topLinePunct w:val="0"/>
        <w:autoSpaceDE/>
        <w:autoSpaceDN/>
        <w:bidi w:val="0"/>
        <w:adjustRightInd/>
        <w:snapToGrid/>
        <w:spacing w:line="120" w:lineRule="auto"/>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(2)校本培训。 </w:t>
      </w:r>
    </w:p>
    <w:p>
      <w:pPr>
        <w:keepNext w:val="0"/>
        <w:keepLines w:val="0"/>
        <w:pageBreakBefore w:val="0"/>
        <w:kinsoku/>
        <w:wordWrap/>
        <w:overflowPunct/>
        <w:topLinePunct w:val="0"/>
        <w:autoSpaceDE/>
        <w:autoSpaceDN/>
        <w:bidi w:val="0"/>
        <w:adjustRightInd/>
        <w:snapToGrid/>
        <w:spacing w:line="120" w:lineRule="auto"/>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(3)以赛代训。        </w:t>
      </w:r>
    </w:p>
    <w:p>
      <w:pPr>
        <w:keepNext w:val="0"/>
        <w:keepLines w:val="0"/>
        <w:pageBreakBefore w:val="0"/>
        <w:kinsoku/>
        <w:wordWrap/>
        <w:overflowPunct/>
        <w:topLinePunct w:val="0"/>
        <w:autoSpaceDE/>
        <w:autoSpaceDN/>
        <w:bidi w:val="0"/>
        <w:adjustRightInd/>
        <w:snapToGrid/>
        <w:spacing w:line="120" w:lineRule="auto"/>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(4)骨干教师培训。  </w:t>
      </w:r>
    </w:p>
    <w:p>
      <w:pPr>
        <w:keepNext w:val="0"/>
        <w:keepLines w:val="0"/>
        <w:pageBreakBefore w:val="0"/>
        <w:kinsoku/>
        <w:wordWrap/>
        <w:overflowPunct/>
        <w:topLinePunct w:val="0"/>
        <w:autoSpaceDE/>
        <w:autoSpaceDN/>
        <w:bidi w:val="0"/>
        <w:adjustRightInd/>
        <w:snapToGrid/>
        <w:spacing w:line="120" w:lineRule="auto"/>
        <w:ind w:firstLine="600" w:firstLineChars="200"/>
        <w:jc w:val="both"/>
        <w:textAlignment w:val="auto"/>
        <w:outlineLvl w:val="9"/>
        <w:rPr>
          <w:rFonts w:ascii="仿宋_GB2312" w:hAnsi="仿宋_GB2312" w:eastAsia="仿宋_GB2312" w:cs="仿宋_GB2312"/>
          <w:bCs/>
          <w:sz w:val="30"/>
          <w:szCs w:val="30"/>
        </w:rPr>
      </w:pPr>
      <w:r>
        <w:rPr>
          <w:rFonts w:hint="eastAsia" w:ascii="仿宋_GB2312" w:hAnsi="仿宋_GB2312" w:eastAsia="仿宋_GB2312" w:cs="仿宋_GB2312"/>
          <w:bCs/>
          <w:sz w:val="30"/>
          <w:szCs w:val="30"/>
        </w:rPr>
        <w:t>5、两基工作。</w:t>
      </w:r>
    </w:p>
    <w:p>
      <w:pPr>
        <w:keepNext w:val="0"/>
        <w:keepLines w:val="0"/>
        <w:pageBreakBefore w:val="0"/>
        <w:kinsoku/>
        <w:wordWrap/>
        <w:overflowPunct/>
        <w:topLinePunct w:val="0"/>
        <w:autoSpaceDE/>
        <w:autoSpaceDN/>
        <w:bidi w:val="0"/>
        <w:adjustRightInd/>
        <w:snapToGrid/>
        <w:spacing w:line="240" w:lineRule="atLeast"/>
        <w:ind w:firstLine="600" w:firstLineChars="200"/>
        <w:jc w:val="both"/>
        <w:textAlignment w:val="auto"/>
        <w:outlineLvl w:val="9"/>
        <w:rPr>
          <w:rFonts w:ascii="仿宋_GB2312" w:hAnsi="仿宋_GB2312" w:eastAsia="仿宋_GB2312" w:cs="仿宋_GB2312"/>
          <w:bCs/>
          <w:sz w:val="30"/>
          <w:szCs w:val="30"/>
        </w:rPr>
      </w:pPr>
      <w:r>
        <w:rPr>
          <w:rFonts w:hint="eastAsia" w:ascii="仿宋_GB2312" w:hAnsi="仿宋_GB2312" w:eastAsia="仿宋_GB2312" w:cs="仿宋_GB2312"/>
          <w:bCs/>
          <w:sz w:val="30"/>
          <w:szCs w:val="30"/>
        </w:rPr>
        <w:t xml:space="preserve">“两基”工作是一项长期而艰巨的工作，积极采取有效措施控辍保学，巩固提高“两基”成果，不仅需要全体干部职工的不懈努力，更需要广大人民群众及社会各界的积极参与和大力支持。在镇政府的领导下，强化内部管理，加强对“两基”工作的领导。 </w:t>
      </w:r>
    </w:p>
    <w:p>
      <w:pPr>
        <w:keepNext w:val="0"/>
        <w:keepLines w:val="0"/>
        <w:pageBreakBefore w:val="0"/>
        <w:kinsoku/>
        <w:wordWrap/>
        <w:overflowPunct/>
        <w:topLinePunct w:val="0"/>
        <w:autoSpaceDE/>
        <w:autoSpaceDN/>
        <w:bidi w:val="0"/>
        <w:adjustRightInd/>
        <w:snapToGrid/>
        <w:spacing w:line="240" w:lineRule="atLeast"/>
        <w:ind w:firstLine="600" w:firstLineChars="200"/>
        <w:jc w:val="both"/>
        <w:textAlignment w:val="auto"/>
        <w:outlineLvl w:val="9"/>
        <w:rPr>
          <w:rFonts w:ascii="仿宋_GB2312" w:hAnsi="仿宋_GB2312" w:eastAsia="仿宋_GB2312" w:cs="仿宋_GB2312"/>
          <w:bCs/>
          <w:sz w:val="30"/>
          <w:szCs w:val="30"/>
        </w:rPr>
      </w:pPr>
      <w:r>
        <w:rPr>
          <w:rFonts w:hint="eastAsia" w:ascii="仿宋_GB2312" w:hAnsi="仿宋_GB2312" w:eastAsia="仿宋_GB2312" w:cs="仿宋_GB2312"/>
          <w:bCs/>
          <w:sz w:val="30"/>
          <w:szCs w:val="30"/>
        </w:rPr>
        <w:t>我镇加大义务教育法的宣传力度，始终坚持不懈地利用文娱演出、路墙标语、宣传专栏等形式广泛宣传《教育法》、《义务教育法》等教育法律法规，提高全民支持教育，重视教育的思想意识，使广大人民群众充分认识到依法送子女入学是每个家长或监护人应尽的法律责任，</w:t>
      </w:r>
      <w:r>
        <w:rPr>
          <w:rFonts w:hint="eastAsia" w:ascii="仿宋_GB2312" w:hAnsi="仿宋_GB2312" w:eastAsia="仿宋_GB2312" w:cs="仿宋_GB2312"/>
          <w:sz w:val="30"/>
          <w:szCs w:val="30"/>
        </w:rPr>
        <w:t>认真抓好了适龄儿童入学工作，适龄儿童入学率达到100％。</w:t>
      </w:r>
    </w:p>
    <w:p>
      <w:pPr>
        <w:keepNext w:val="0"/>
        <w:keepLines w:val="0"/>
        <w:pageBreakBefore w:val="0"/>
        <w:kinsoku/>
        <w:wordWrap/>
        <w:overflowPunct/>
        <w:topLinePunct w:val="0"/>
        <w:autoSpaceDE/>
        <w:autoSpaceDN/>
        <w:bidi w:val="0"/>
        <w:adjustRightInd/>
        <w:snapToGrid/>
        <w:spacing w:line="240" w:lineRule="atLeast"/>
        <w:ind w:firstLine="600" w:firstLineChars="200"/>
        <w:jc w:val="both"/>
        <w:textAlignment w:val="auto"/>
        <w:outlineLvl w:val="9"/>
        <w:rPr>
          <w:rFonts w:ascii="仿宋_GB2312" w:hAnsi="仿宋_GB2312" w:eastAsia="仿宋_GB2312" w:cs="仿宋_GB2312"/>
          <w:bCs/>
          <w:sz w:val="30"/>
          <w:szCs w:val="30"/>
        </w:rPr>
      </w:pPr>
      <w:r>
        <w:rPr>
          <w:rFonts w:hint="eastAsia" w:ascii="仿宋_GB2312" w:hAnsi="仿宋_GB2312" w:eastAsia="仿宋_GB2312" w:cs="仿宋_GB2312"/>
          <w:bCs/>
          <w:sz w:val="30"/>
          <w:szCs w:val="30"/>
        </w:rPr>
        <w:t>6、党、团、工会、少先队工作。</w:t>
      </w:r>
    </w:p>
    <w:p>
      <w:pPr>
        <w:keepNext w:val="0"/>
        <w:keepLines w:val="0"/>
        <w:pageBreakBefore w:val="0"/>
        <w:kinsoku/>
        <w:wordWrap/>
        <w:overflowPunct/>
        <w:topLinePunct w:val="0"/>
        <w:autoSpaceDE/>
        <w:autoSpaceDN/>
        <w:bidi w:val="0"/>
        <w:adjustRightInd/>
        <w:snapToGrid/>
        <w:spacing w:line="240" w:lineRule="atLeas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发挥党、团、工会、少先队组织优势。在各级党委的正确领导下，我校党支部积极宣传和贯彻党的路线、方针、政策，始终坚持以“三个代表”重要思想为指导，认真贯彻党的教育方针，充分发挥党的战斗堡垒和党员的先锋模范作用。  </w:t>
      </w:r>
    </w:p>
    <w:p>
      <w:pPr>
        <w:keepNext w:val="0"/>
        <w:keepLines w:val="0"/>
        <w:pageBreakBefore w:val="0"/>
        <w:kinsoku/>
        <w:wordWrap/>
        <w:overflowPunct/>
        <w:topLinePunct w:val="0"/>
        <w:autoSpaceDE/>
        <w:autoSpaceDN/>
        <w:bidi w:val="0"/>
        <w:adjustRightInd/>
        <w:snapToGrid/>
        <w:spacing w:line="240" w:lineRule="atLeast"/>
        <w:ind w:firstLine="600" w:firstLineChars="200"/>
        <w:jc w:val="both"/>
        <w:textAlignment w:val="auto"/>
        <w:outlineLvl w:val="9"/>
        <w:rPr>
          <w:rFonts w:ascii="仿宋_GB2312" w:hAnsi="仿宋_GB2312" w:eastAsia="仿宋_GB2312" w:cs="仿宋_GB2312"/>
          <w:bCs/>
          <w:sz w:val="30"/>
          <w:szCs w:val="30"/>
        </w:rPr>
      </w:pPr>
      <w:r>
        <w:rPr>
          <w:rFonts w:hint="eastAsia" w:ascii="仿宋_GB2312" w:hAnsi="仿宋_GB2312" w:eastAsia="仿宋_GB2312" w:cs="仿宋_GB2312"/>
          <w:bCs/>
          <w:sz w:val="30"/>
          <w:szCs w:val="30"/>
        </w:rPr>
        <w:t>7、后勤保障工作</w:t>
      </w:r>
    </w:p>
    <w:p>
      <w:pPr>
        <w:keepNext w:val="0"/>
        <w:keepLines w:val="0"/>
        <w:pageBreakBefore w:val="0"/>
        <w:kinsoku/>
        <w:wordWrap/>
        <w:overflowPunct/>
        <w:topLinePunct w:val="0"/>
        <w:autoSpaceDE/>
        <w:autoSpaceDN/>
        <w:bidi w:val="0"/>
        <w:adjustRightInd/>
        <w:snapToGrid/>
        <w:spacing w:line="240" w:lineRule="atLeas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（1）一年来，进一步提高认识，加强领导，强化安全意识。 </w:t>
      </w:r>
    </w:p>
    <w:p>
      <w:pPr>
        <w:keepNext w:val="0"/>
        <w:keepLines w:val="0"/>
        <w:pageBreakBefore w:val="0"/>
        <w:kinsoku/>
        <w:wordWrap/>
        <w:overflowPunct/>
        <w:topLinePunct w:val="0"/>
        <w:autoSpaceDE/>
        <w:autoSpaceDN/>
        <w:bidi w:val="0"/>
        <w:adjustRightInd/>
        <w:snapToGrid/>
        <w:spacing w:line="54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（2）各校加强对校内各种安全隐患的排查，加大校园治安管理和周边秩序整治的力度，严防恶性安全事件发生，把学生人身安全放在安全工作的首位。 </w:t>
      </w:r>
    </w:p>
    <w:p>
      <w:pPr>
        <w:keepNext w:val="0"/>
        <w:keepLines w:val="0"/>
        <w:pageBreakBefore w:val="0"/>
        <w:kinsoku/>
        <w:wordWrap/>
        <w:overflowPunct/>
        <w:topLinePunct w:val="0"/>
        <w:autoSpaceDE/>
        <w:autoSpaceDN/>
        <w:bidi w:val="0"/>
        <w:adjustRightInd/>
        <w:snapToGrid/>
        <w:spacing w:line="54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（3）各校加强对学生安全知识的宣传和教育，提高学生自我防范安全事故的能力和意识。 </w:t>
      </w:r>
    </w:p>
    <w:p>
      <w:pPr>
        <w:keepNext w:val="0"/>
        <w:keepLines w:val="0"/>
        <w:pageBreakBefore w:val="0"/>
        <w:kinsoku/>
        <w:wordWrap/>
        <w:overflowPunct/>
        <w:topLinePunct w:val="0"/>
        <w:autoSpaceDE/>
        <w:autoSpaceDN/>
        <w:bidi w:val="0"/>
        <w:adjustRightInd/>
        <w:snapToGrid/>
        <w:spacing w:line="54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（4）加大交通安全知识的宣传力度。 </w:t>
      </w:r>
    </w:p>
    <w:p>
      <w:pPr>
        <w:keepNext w:val="0"/>
        <w:keepLines w:val="0"/>
        <w:pageBreakBefore w:val="0"/>
        <w:kinsoku/>
        <w:wordWrap/>
        <w:overflowPunct/>
        <w:topLinePunct w:val="0"/>
        <w:autoSpaceDE/>
        <w:autoSpaceDN/>
        <w:bidi w:val="0"/>
        <w:adjustRightInd/>
        <w:snapToGrid/>
        <w:spacing w:line="54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（5）加强对各种流行疾病和传染病的预防。  </w:t>
      </w:r>
    </w:p>
    <w:p>
      <w:pPr>
        <w:keepNext w:val="0"/>
        <w:keepLines w:val="0"/>
        <w:pageBreakBefore w:val="0"/>
        <w:kinsoku/>
        <w:wordWrap/>
        <w:overflowPunct/>
        <w:topLinePunct w:val="0"/>
        <w:autoSpaceDE/>
        <w:autoSpaceDN/>
        <w:bidi w:val="0"/>
        <w:adjustRightInd/>
        <w:snapToGrid/>
        <w:spacing w:line="54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6）建立健全定期检查和日常防范相结合的安全管理制度，按照《昔马镇中心学校安全事故应急预案》的相关规定来要求教师，做到“谁主管、谁负责”的原则，严格实行学校安全工作领导责任和特大事故责任追究制，做好信息报送制度，保持信息畅通。</w:t>
      </w:r>
    </w:p>
    <w:p>
      <w:pPr>
        <w:keepNext w:val="0"/>
        <w:keepLines w:val="0"/>
        <w:pageBreakBefore w:val="0"/>
        <w:kinsoku/>
        <w:wordWrap/>
        <w:overflowPunct/>
        <w:topLinePunct w:val="0"/>
        <w:autoSpaceDE/>
        <w:autoSpaceDN/>
        <w:bidi w:val="0"/>
        <w:adjustRightInd/>
        <w:snapToGrid/>
        <w:spacing w:line="240" w:lineRule="atLeas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（7）师生生活区卫生、整洁，有定期检查记录，有专人管理。</w:t>
      </w:r>
    </w:p>
    <w:p>
      <w:pPr>
        <w:keepNext w:val="0"/>
        <w:keepLines w:val="0"/>
        <w:pageBreakBefore w:val="0"/>
        <w:kinsoku/>
        <w:wordWrap/>
        <w:overflowPunct/>
        <w:topLinePunct w:val="0"/>
        <w:autoSpaceDE/>
        <w:autoSpaceDN/>
        <w:bidi w:val="0"/>
        <w:adjustRightInd/>
        <w:snapToGrid/>
        <w:spacing w:line="240" w:lineRule="atLeas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（8）因地制宜开展校园净化、美化工作，校园环境明显改善。</w:t>
      </w:r>
    </w:p>
    <w:p>
      <w:pPr>
        <w:keepNext w:val="0"/>
        <w:keepLines w:val="0"/>
        <w:pageBreakBefore w:val="0"/>
        <w:kinsoku/>
        <w:wordWrap/>
        <w:overflowPunct/>
        <w:topLinePunct w:val="0"/>
        <w:autoSpaceDE/>
        <w:autoSpaceDN/>
        <w:bidi w:val="0"/>
        <w:adjustRightInd/>
        <w:snapToGrid/>
        <w:spacing w:line="240" w:lineRule="atLeas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（9）制定昔马镇中心学校农村义务教育阶段学生营养改善计划实施方案、实施细则，成立了以镇长为组长，中心校校长为副组长的营养改善计划领导小组，负责对全镇小学学生营养改善计划的实施。</w:t>
      </w:r>
    </w:p>
    <w:p>
      <w:pPr>
        <w:keepNext w:val="0"/>
        <w:keepLines w:val="0"/>
        <w:pageBreakBefore w:val="0"/>
        <w:kinsoku/>
        <w:wordWrap/>
        <w:overflowPunct/>
        <w:topLinePunct w:val="0"/>
        <w:autoSpaceDE/>
        <w:autoSpaceDN/>
        <w:bidi w:val="0"/>
        <w:adjustRightInd/>
        <w:snapToGrid/>
        <w:spacing w:line="240" w:lineRule="atLeas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（10）为了充分宣传做好党的惠民政策，各学校通过开展家长会和校会，通过板报、标语的形式走访家长，向学生家长和社会宣传学生营养改善计划工程。</w:t>
      </w:r>
    </w:p>
    <w:p>
      <w:pPr>
        <w:keepNext w:val="0"/>
        <w:keepLines w:val="0"/>
        <w:pageBreakBefore w:val="0"/>
        <w:kinsoku/>
        <w:wordWrap/>
        <w:overflowPunct/>
        <w:topLinePunct w:val="0"/>
        <w:autoSpaceDE/>
        <w:autoSpaceDN/>
        <w:bidi w:val="0"/>
        <w:adjustRightInd/>
        <w:snapToGrid/>
        <w:spacing w:line="240" w:lineRule="atLeas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11）认真按照食品安全事故应急的相关要求，结合我镇实际，制定了切实可行的《昔马镇中心学校农村义务教育阶段营养改善计划和食品安全事故应急预案》，各学校根据学校实际，制定了各校营养改善计划和食品安全事故应急处理预案，切实保障学校营养改善计划的顺利实施。做好了食品安全和营养健康知识宣传教育。各校利用板报、宣传栏、校园广播、周会、校会、结合教学实际对学生、家长进行“学生饮用牛奶小常识”、“蛋黄派识别小常识”及其他食品安全和营养健康知识宣传教育。</w:t>
      </w:r>
    </w:p>
    <w:p>
      <w:pPr>
        <w:keepNext w:val="0"/>
        <w:keepLines w:val="0"/>
        <w:pageBreakBefore w:val="0"/>
        <w:kinsoku/>
        <w:wordWrap/>
        <w:overflowPunct/>
        <w:topLinePunct w:val="0"/>
        <w:autoSpaceDE/>
        <w:autoSpaceDN/>
        <w:bidi w:val="0"/>
        <w:adjustRightInd/>
        <w:snapToGrid/>
        <w:spacing w:line="240" w:lineRule="atLeas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（12）规范学生营养改善计划食品接收管理工作。</w:t>
      </w:r>
    </w:p>
    <w:p>
      <w:pPr>
        <w:keepNext w:val="0"/>
        <w:keepLines w:val="0"/>
        <w:pageBreakBefore w:val="0"/>
        <w:kinsoku/>
        <w:wordWrap/>
        <w:overflowPunct/>
        <w:topLinePunct w:val="0"/>
        <w:autoSpaceDE/>
        <w:autoSpaceDN/>
        <w:bidi w:val="0"/>
        <w:adjustRightInd/>
        <w:snapToGrid/>
        <w:spacing w:line="240" w:lineRule="atLeas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（13）教育经费的管理使用</w:t>
      </w:r>
      <w:r>
        <w:rPr>
          <w:rFonts w:hint="eastAsia" w:ascii="仿宋_GB2312" w:hAnsi="仿宋_GB2312" w:eastAsia="仿宋_GB2312" w:cs="仿宋_GB2312"/>
          <w:b/>
          <w:sz w:val="30"/>
          <w:szCs w:val="30"/>
        </w:rPr>
        <w:t>。</w:t>
      </w:r>
      <w:r>
        <w:rPr>
          <w:rFonts w:hint="eastAsia" w:ascii="仿宋_GB2312" w:hAnsi="仿宋_GB2312" w:eastAsia="仿宋_GB2312" w:cs="仿宋_GB2312"/>
          <w:sz w:val="30"/>
          <w:szCs w:val="30"/>
        </w:rPr>
        <w:t>近年来，在党和国家的大力关心和支持下，我校教育经费和学生补助金大幅增长，为规范学校的义教经费预算，加强财务管理，提高义教经费资金使用效益，促进教育事业发展，根据《事业财务规则》和国家有关法规及县教育局经费管理中心的相关规定，我镇成立了公用经费管理领导小组，中心校校长担任组长，成员由各校负责人、中心校办公室人员、工会、妇委会、教师代表组成。 在经费使用中，严格遵照相关规定使用，在修缮方面，做到先向教育局校改办报批，局领导批复后实施，实施过程中严格把关，结算时材料齐备。在办公用品、设备采买时，依照相关规定进行申报再到采购指定点采买。在义教经费使用中做到合理化，合法化，不违规使用义教经费。在学生补助方面，将贫困学生生活补助、较少民族学生补助、及时、足额发放到学生手中，发放时面向社会公布，在校园内张贴发放表，接受社会监督。</w:t>
      </w:r>
    </w:p>
    <w:p>
      <w:pPr>
        <w:keepNext w:val="0"/>
        <w:keepLines w:val="0"/>
        <w:pageBreakBefore w:val="0"/>
        <w:kinsoku/>
        <w:wordWrap/>
        <w:overflowPunct/>
        <w:topLinePunct w:val="0"/>
        <w:autoSpaceDE/>
        <w:autoSpaceDN/>
        <w:bidi w:val="0"/>
        <w:adjustRightInd/>
        <w:snapToGrid/>
        <w:spacing w:line="240" w:lineRule="atLeast"/>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eastAsia="仿宋_GB2312"/>
          <w:kern w:val="0"/>
          <w:sz w:val="30"/>
          <w:szCs w:val="30"/>
        </w:rPr>
        <w:t>我部门编制</w:t>
      </w:r>
      <w:r>
        <w:rPr>
          <w:rFonts w:hint="eastAsia" w:eastAsia="仿宋_GB2312"/>
          <w:kern w:val="0"/>
          <w:sz w:val="30"/>
          <w:szCs w:val="30"/>
        </w:rPr>
        <w:t>2019</w:t>
      </w:r>
      <w:r>
        <w:rPr>
          <w:rFonts w:eastAsia="仿宋_GB2312"/>
          <w:kern w:val="0"/>
          <w:sz w:val="30"/>
          <w:szCs w:val="30"/>
        </w:rPr>
        <w:t>年部门预算单位共</w:t>
      </w:r>
      <w:r>
        <w:rPr>
          <w:rFonts w:hint="eastAsia" w:eastAsia="仿宋_GB2312"/>
          <w:kern w:val="0"/>
          <w:sz w:val="30"/>
          <w:szCs w:val="30"/>
        </w:rPr>
        <w:t>1</w:t>
      </w:r>
      <w:r>
        <w:rPr>
          <w:rFonts w:eastAsia="仿宋_GB2312"/>
          <w:kern w:val="0"/>
          <w:sz w:val="30"/>
          <w:szCs w:val="30"/>
        </w:rPr>
        <w:t>个。其中：财政全供给单位</w:t>
      </w:r>
      <w:r>
        <w:rPr>
          <w:rFonts w:hint="eastAsia" w:eastAsia="仿宋_GB2312"/>
          <w:kern w:val="0"/>
          <w:sz w:val="30"/>
          <w:szCs w:val="30"/>
        </w:rPr>
        <w:t>1</w:t>
      </w:r>
      <w:r>
        <w:rPr>
          <w:rFonts w:eastAsia="仿宋_GB2312"/>
          <w:kern w:val="0"/>
          <w:sz w:val="30"/>
          <w:szCs w:val="30"/>
        </w:rPr>
        <w:t>个；部分供给单位</w:t>
      </w:r>
      <w:r>
        <w:rPr>
          <w:rFonts w:hint="eastAsia" w:eastAsia="仿宋_GB2312"/>
          <w:kern w:val="0"/>
          <w:sz w:val="30"/>
          <w:szCs w:val="30"/>
        </w:rPr>
        <w:t>0</w:t>
      </w:r>
      <w:r>
        <w:rPr>
          <w:rFonts w:eastAsia="仿宋_GB2312"/>
          <w:kern w:val="0"/>
          <w:sz w:val="30"/>
          <w:szCs w:val="30"/>
        </w:rPr>
        <w:t>个；特殊供给单位</w:t>
      </w:r>
      <w:r>
        <w:rPr>
          <w:rFonts w:hint="eastAsia" w:eastAsia="仿宋_GB2312"/>
          <w:kern w:val="0"/>
          <w:sz w:val="30"/>
          <w:szCs w:val="30"/>
        </w:rPr>
        <w:t>0</w:t>
      </w:r>
      <w:r>
        <w:rPr>
          <w:rFonts w:eastAsia="仿宋_GB2312"/>
          <w:kern w:val="0"/>
          <w:sz w:val="30"/>
          <w:szCs w:val="30"/>
        </w:rPr>
        <w:t>个；自收自支单位</w:t>
      </w:r>
      <w:r>
        <w:rPr>
          <w:rFonts w:hint="eastAsia" w:eastAsia="仿宋_GB2312"/>
          <w:kern w:val="0"/>
          <w:sz w:val="30"/>
          <w:szCs w:val="30"/>
        </w:rPr>
        <w:t>0</w:t>
      </w:r>
      <w:r>
        <w:rPr>
          <w:rFonts w:eastAsia="仿宋_GB2312"/>
          <w:kern w:val="0"/>
          <w:sz w:val="30"/>
          <w:szCs w:val="30"/>
        </w:rPr>
        <w:t>个。财政全供给单位中行政单位</w:t>
      </w:r>
      <w:r>
        <w:rPr>
          <w:rFonts w:hint="eastAsia" w:eastAsia="仿宋_GB2312"/>
          <w:kern w:val="0"/>
          <w:sz w:val="30"/>
          <w:szCs w:val="30"/>
        </w:rPr>
        <w:t>0</w:t>
      </w:r>
      <w:r>
        <w:rPr>
          <w:rFonts w:eastAsia="仿宋_GB2312"/>
          <w:kern w:val="0"/>
          <w:sz w:val="30"/>
          <w:szCs w:val="30"/>
        </w:rPr>
        <w:t>个；参公管理事业单位</w:t>
      </w:r>
      <w:r>
        <w:rPr>
          <w:rFonts w:hint="eastAsia" w:eastAsia="仿宋_GB2312"/>
          <w:kern w:val="0"/>
          <w:sz w:val="30"/>
          <w:szCs w:val="30"/>
        </w:rPr>
        <w:t>0</w:t>
      </w:r>
      <w:r>
        <w:rPr>
          <w:rFonts w:eastAsia="仿宋_GB2312"/>
          <w:kern w:val="0"/>
          <w:sz w:val="30"/>
          <w:szCs w:val="30"/>
        </w:rPr>
        <w:t>个；非参公管理事业单位</w:t>
      </w:r>
      <w:r>
        <w:rPr>
          <w:rFonts w:hint="eastAsia" w:eastAsia="仿宋_GB2312"/>
          <w:kern w:val="0"/>
          <w:sz w:val="30"/>
          <w:szCs w:val="30"/>
        </w:rPr>
        <w:t>1</w:t>
      </w:r>
      <w:r>
        <w:rPr>
          <w:rFonts w:eastAsia="仿宋_GB2312"/>
          <w:kern w:val="0"/>
          <w:sz w:val="30"/>
          <w:szCs w:val="30"/>
        </w:rPr>
        <w:t>个。</w:t>
      </w:r>
      <w:r>
        <w:rPr>
          <w:rFonts w:hint="eastAsia" w:ascii="仿宋_GB2312" w:hAnsi="仿宋_GB2312" w:eastAsia="仿宋_GB2312" w:cs="仿宋_GB2312"/>
          <w:kern w:val="0"/>
          <w:sz w:val="30"/>
          <w:szCs w:val="30"/>
        </w:rPr>
        <w:t>截止2018年11月统计，部门基本情况如下：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在职人员编制80人，其中：行政编制 0人，事业编制80人。在职实有80人，其中：财政全供养80人，财政部分供养0人，非财政供养0人。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离退休人员 19人，其中： 离休0 人，退休 19人。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车辆编制0辆，实有车辆1辆。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rPr>
        <w:t>2019</w:t>
      </w:r>
      <w:r>
        <w:rPr>
          <w:rFonts w:eastAsia="仿宋_GB2312"/>
          <w:kern w:val="0"/>
          <w:sz w:val="30"/>
          <w:szCs w:val="30"/>
        </w:rPr>
        <w:t>年</w:t>
      </w:r>
      <w:r>
        <w:rPr>
          <w:rFonts w:hint="eastAsia" w:eastAsia="仿宋_GB2312"/>
          <w:kern w:val="0"/>
          <w:sz w:val="30"/>
          <w:szCs w:val="30"/>
        </w:rPr>
        <w:t>盈江县昔马镇中心学校</w:t>
      </w:r>
      <w:r>
        <w:rPr>
          <w:rFonts w:eastAsia="仿宋_GB2312"/>
          <w:kern w:val="0"/>
          <w:sz w:val="30"/>
          <w:szCs w:val="30"/>
        </w:rPr>
        <w:t>财务总收入</w:t>
      </w:r>
      <w:r>
        <w:rPr>
          <w:rFonts w:hint="eastAsia" w:eastAsia="仿宋_GB2312"/>
          <w:kern w:val="0"/>
          <w:sz w:val="30"/>
          <w:szCs w:val="30"/>
        </w:rPr>
        <w:t>893.95</w:t>
      </w:r>
      <w:r>
        <w:rPr>
          <w:rFonts w:eastAsia="仿宋_GB2312"/>
          <w:kern w:val="0"/>
          <w:sz w:val="30"/>
          <w:szCs w:val="30"/>
        </w:rPr>
        <w:t>万元，其中：一般公共预算</w:t>
      </w:r>
      <w:r>
        <w:rPr>
          <w:rFonts w:hint="eastAsia" w:eastAsia="仿宋_GB2312"/>
          <w:kern w:val="0"/>
          <w:sz w:val="30"/>
          <w:szCs w:val="30"/>
        </w:rPr>
        <w:t>财政拨款893.95</w:t>
      </w:r>
      <w:r>
        <w:rPr>
          <w:rFonts w:eastAsia="仿宋_GB2312"/>
          <w:kern w:val="0"/>
          <w:sz w:val="30"/>
          <w:szCs w:val="30"/>
        </w:rPr>
        <w:t>万元，政府性基金</w:t>
      </w:r>
      <w:r>
        <w:rPr>
          <w:rFonts w:hint="eastAsia" w:eastAsia="仿宋_GB2312"/>
          <w:kern w:val="0"/>
          <w:sz w:val="30"/>
          <w:szCs w:val="30"/>
        </w:rPr>
        <w:t>预算财政拨款0</w:t>
      </w:r>
      <w:r>
        <w:rPr>
          <w:rFonts w:eastAsia="仿宋_GB2312"/>
          <w:kern w:val="0"/>
          <w:sz w:val="30"/>
          <w:szCs w:val="30"/>
        </w:rPr>
        <w:t>万元，国有资本经营</w:t>
      </w:r>
      <w:r>
        <w:rPr>
          <w:rFonts w:hint="eastAsia" w:eastAsia="仿宋_GB2312"/>
          <w:kern w:val="0"/>
          <w:sz w:val="30"/>
          <w:szCs w:val="30"/>
        </w:rPr>
        <w:t>预算财政拨款0</w:t>
      </w:r>
      <w:r>
        <w:rPr>
          <w:rFonts w:eastAsia="仿宋_GB2312"/>
          <w:kern w:val="0"/>
          <w:sz w:val="30"/>
          <w:szCs w:val="30"/>
        </w:rPr>
        <w:t>万元，事业收入</w:t>
      </w:r>
      <w:r>
        <w:rPr>
          <w:rFonts w:hint="eastAsia" w:eastAsia="仿宋_GB2312"/>
          <w:kern w:val="0"/>
          <w:sz w:val="30"/>
          <w:szCs w:val="30"/>
        </w:rPr>
        <w:t>0</w:t>
      </w:r>
      <w:r>
        <w:rPr>
          <w:rFonts w:eastAsia="仿宋_GB2312"/>
          <w:kern w:val="0"/>
          <w:sz w:val="30"/>
          <w:szCs w:val="30"/>
        </w:rPr>
        <w:t>万元，事业单位经营收入</w:t>
      </w:r>
      <w:r>
        <w:rPr>
          <w:rFonts w:hint="eastAsia" w:eastAsia="仿宋_GB2312"/>
          <w:kern w:val="0"/>
          <w:sz w:val="30"/>
          <w:szCs w:val="30"/>
        </w:rPr>
        <w:t>0</w:t>
      </w:r>
      <w:r>
        <w:rPr>
          <w:rFonts w:eastAsia="仿宋_GB2312"/>
          <w:kern w:val="0"/>
          <w:sz w:val="30"/>
          <w:szCs w:val="30"/>
        </w:rPr>
        <w:t>万元，其他收入</w:t>
      </w:r>
      <w:r>
        <w:rPr>
          <w:rFonts w:hint="eastAsia" w:eastAsia="仿宋_GB2312"/>
          <w:kern w:val="0"/>
          <w:sz w:val="30"/>
          <w:szCs w:val="30"/>
        </w:rPr>
        <w:t>0</w:t>
      </w:r>
      <w:r>
        <w:rPr>
          <w:rFonts w:eastAsia="仿宋_GB2312"/>
          <w:kern w:val="0"/>
          <w:sz w:val="30"/>
          <w:szCs w:val="30"/>
        </w:rPr>
        <w:t>万元</w:t>
      </w:r>
      <w:r>
        <w:rPr>
          <w:rFonts w:hint="eastAsia" w:eastAsia="仿宋_GB2312"/>
          <w:kern w:val="0"/>
          <w:sz w:val="30"/>
          <w:szCs w:val="30"/>
        </w:rPr>
        <w:t>，上年结转0万元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rPr>
        <w:t>2019</w:t>
      </w:r>
      <w:r>
        <w:rPr>
          <w:rFonts w:eastAsia="仿宋_GB2312"/>
          <w:kern w:val="0"/>
          <w:sz w:val="30"/>
          <w:szCs w:val="30"/>
        </w:rPr>
        <w:t xml:space="preserve">年部门财政拨款收入 </w:t>
      </w:r>
      <w:r>
        <w:rPr>
          <w:rFonts w:hint="eastAsia" w:eastAsia="仿宋_GB2312"/>
          <w:kern w:val="0"/>
          <w:sz w:val="30"/>
          <w:szCs w:val="30"/>
        </w:rPr>
        <w:t>893.95</w:t>
      </w:r>
      <w:r>
        <w:rPr>
          <w:rFonts w:eastAsia="仿宋_GB2312"/>
          <w:kern w:val="0"/>
          <w:sz w:val="30"/>
          <w:szCs w:val="30"/>
        </w:rPr>
        <w:t>万元，其中:本年收入</w:t>
      </w:r>
      <w:r>
        <w:rPr>
          <w:rFonts w:hint="eastAsia" w:eastAsia="仿宋_GB2312"/>
          <w:kern w:val="0"/>
          <w:sz w:val="30"/>
          <w:szCs w:val="30"/>
        </w:rPr>
        <w:t>893.95</w:t>
      </w:r>
      <w:r>
        <w:rPr>
          <w:rFonts w:eastAsia="仿宋_GB2312"/>
          <w:kern w:val="0"/>
          <w:sz w:val="30"/>
          <w:szCs w:val="30"/>
        </w:rPr>
        <w:t>万元，上年结转</w:t>
      </w:r>
      <w:r>
        <w:rPr>
          <w:rFonts w:hint="eastAsia" w:eastAsia="仿宋_GB2312"/>
          <w:kern w:val="0"/>
          <w:sz w:val="30"/>
          <w:szCs w:val="30"/>
        </w:rPr>
        <w:t>0</w:t>
      </w:r>
      <w:r>
        <w:rPr>
          <w:rFonts w:eastAsia="仿宋_GB2312"/>
          <w:kern w:val="0"/>
          <w:sz w:val="30"/>
          <w:szCs w:val="30"/>
        </w:rPr>
        <w:t>万元。本年收入中，一般公共预算财政拨款</w:t>
      </w:r>
      <w:r>
        <w:rPr>
          <w:rFonts w:hint="eastAsia" w:eastAsia="仿宋_GB2312"/>
          <w:kern w:val="0"/>
          <w:sz w:val="30"/>
          <w:szCs w:val="30"/>
        </w:rPr>
        <w:t>893.95</w:t>
      </w:r>
      <w:r>
        <w:rPr>
          <w:rFonts w:eastAsia="仿宋_GB2312"/>
          <w:kern w:val="0"/>
          <w:sz w:val="30"/>
          <w:szCs w:val="30"/>
        </w:rPr>
        <w:t>万元（本级财力</w:t>
      </w:r>
      <w:r>
        <w:rPr>
          <w:rFonts w:hint="eastAsia" w:eastAsia="仿宋_GB2312"/>
          <w:kern w:val="0"/>
          <w:sz w:val="30"/>
          <w:szCs w:val="30"/>
        </w:rPr>
        <w:t>0</w:t>
      </w:r>
      <w:r>
        <w:rPr>
          <w:rFonts w:eastAsia="仿宋_GB2312"/>
          <w:kern w:val="0"/>
          <w:sz w:val="30"/>
          <w:szCs w:val="30"/>
        </w:rPr>
        <w:t>万元，专项收入</w:t>
      </w:r>
      <w:r>
        <w:rPr>
          <w:rFonts w:hint="eastAsia" w:eastAsia="仿宋_GB2312"/>
          <w:kern w:val="0"/>
          <w:sz w:val="30"/>
          <w:szCs w:val="30"/>
        </w:rPr>
        <w:t>0</w:t>
      </w:r>
      <w:r>
        <w:rPr>
          <w:rFonts w:eastAsia="仿宋_GB2312"/>
          <w:kern w:val="0"/>
          <w:sz w:val="30"/>
          <w:szCs w:val="30"/>
        </w:rPr>
        <w:t>万元，执法办案补助</w:t>
      </w:r>
      <w:r>
        <w:rPr>
          <w:rFonts w:hint="eastAsia" w:eastAsia="仿宋_GB2312"/>
          <w:kern w:val="0"/>
          <w:sz w:val="30"/>
          <w:szCs w:val="30"/>
        </w:rPr>
        <w:t>0</w:t>
      </w:r>
      <w:r>
        <w:rPr>
          <w:rFonts w:eastAsia="仿宋_GB2312"/>
          <w:kern w:val="0"/>
          <w:sz w:val="30"/>
          <w:szCs w:val="30"/>
        </w:rPr>
        <w:t>万元，收费成本补偿</w:t>
      </w:r>
      <w:r>
        <w:rPr>
          <w:rFonts w:hint="eastAsia" w:eastAsia="仿宋_GB2312"/>
          <w:kern w:val="0"/>
          <w:sz w:val="30"/>
          <w:szCs w:val="30"/>
        </w:rPr>
        <w:t>0</w:t>
      </w:r>
      <w:r>
        <w:rPr>
          <w:rFonts w:eastAsia="仿宋_GB2312"/>
          <w:kern w:val="0"/>
          <w:sz w:val="30"/>
          <w:szCs w:val="30"/>
        </w:rPr>
        <w:t>万元，财政专户管理的收入</w:t>
      </w:r>
      <w:r>
        <w:rPr>
          <w:rFonts w:hint="eastAsia" w:eastAsia="仿宋_GB2312"/>
          <w:kern w:val="0"/>
          <w:sz w:val="30"/>
          <w:szCs w:val="30"/>
        </w:rPr>
        <w:t>0</w:t>
      </w:r>
      <w:r>
        <w:rPr>
          <w:rFonts w:eastAsia="仿宋_GB2312"/>
          <w:kern w:val="0"/>
          <w:sz w:val="30"/>
          <w:szCs w:val="30"/>
        </w:rPr>
        <w:t>万元，国有资源（资产）有偿使用</w:t>
      </w:r>
      <w:r>
        <w:rPr>
          <w:rFonts w:hint="eastAsia" w:eastAsia="仿宋_GB2312"/>
          <w:kern w:val="0"/>
          <w:sz w:val="30"/>
          <w:szCs w:val="30"/>
        </w:rPr>
        <w:t>成本补偿0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rPr>
        <w:t>0</w:t>
      </w:r>
      <w:r>
        <w:rPr>
          <w:rFonts w:eastAsia="仿宋_GB2312"/>
          <w:kern w:val="0"/>
          <w:sz w:val="30"/>
          <w:szCs w:val="30"/>
        </w:rPr>
        <w:t>万元。</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rPr>
        <w:t>2019</w:t>
      </w:r>
      <w:r>
        <w:rPr>
          <w:rFonts w:eastAsia="仿宋_GB2312"/>
          <w:kern w:val="0"/>
          <w:sz w:val="30"/>
          <w:szCs w:val="30"/>
        </w:rPr>
        <w:t>年部门预算总支出</w:t>
      </w:r>
      <w:r>
        <w:rPr>
          <w:rFonts w:hint="eastAsia" w:eastAsia="仿宋_GB2312"/>
          <w:kern w:val="0"/>
          <w:sz w:val="30"/>
          <w:szCs w:val="30"/>
        </w:rPr>
        <w:t>893.95</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rPr>
        <w:t>893.95</w:t>
      </w:r>
      <w:r>
        <w:rPr>
          <w:rFonts w:eastAsia="仿宋_GB2312"/>
          <w:kern w:val="0"/>
          <w:sz w:val="30"/>
          <w:szCs w:val="30"/>
        </w:rPr>
        <w:t>万元，其中，基本支出</w:t>
      </w:r>
      <w:r>
        <w:rPr>
          <w:rFonts w:hint="eastAsia" w:eastAsia="仿宋_GB2312"/>
          <w:kern w:val="0"/>
          <w:sz w:val="30"/>
          <w:szCs w:val="30"/>
        </w:rPr>
        <w:t>893.95</w:t>
      </w:r>
      <w:r>
        <w:rPr>
          <w:rFonts w:eastAsia="仿宋_GB2312"/>
          <w:kern w:val="0"/>
          <w:sz w:val="30"/>
          <w:szCs w:val="30"/>
        </w:rPr>
        <w:t>万元，项目支出</w:t>
      </w:r>
      <w:r>
        <w:rPr>
          <w:rFonts w:hint="eastAsia" w:eastAsia="仿宋_GB2312"/>
          <w:kern w:val="0"/>
          <w:sz w:val="30"/>
          <w:szCs w:val="30"/>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4"/>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功能科目分组，</w:t>
      </w:r>
    </w:p>
    <w:p>
      <w:pPr>
        <w:pStyle w:val="14"/>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“2050202” 教育支出-普通教育-小学教育676.44万元，主要用于工资福利支出和日常学校运行运转。</w:t>
      </w:r>
    </w:p>
    <w:p>
      <w:pPr>
        <w:pStyle w:val="14"/>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“2080502”社会保障和就业支出-行政事业单位离退休-事业单位离退休1.14万元，主要用于离退休人员公用经费支出。</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rPr>
        <w:t>“2080505”社会保障和就业支出-行政事业单位离退休- 事业单位基本养老保险缴费支出125.81万元，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rPr>
        <w:t>“2080506”社会保障和就业支出-行政事业单位职业年金支出- 事业单位职业年金支出3.22万元，</w:t>
      </w:r>
      <w:r>
        <w:rPr>
          <w:rFonts w:hint="eastAsia" w:ascii="仿宋_GB2312" w:hAnsi="仿宋_GB2312" w:eastAsia="仿宋_GB2312" w:cs="仿宋_GB2312"/>
          <w:color w:val="333333"/>
          <w:sz w:val="30"/>
          <w:szCs w:val="30"/>
          <w:shd w:val="clear" w:color="040000" w:fill="FFFFFF"/>
        </w:rPr>
        <w:t>主要反映单位缴交的职业年金支出。</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“2210201”</w:t>
      </w:r>
      <w:r>
        <w:rPr>
          <w:rFonts w:hint="eastAsia" w:ascii="仿宋_GB2312" w:hAnsi="仿宋_GB2312" w:eastAsia="仿宋_GB2312" w:cs="仿宋_GB2312"/>
          <w:color w:val="333333"/>
          <w:sz w:val="30"/>
          <w:szCs w:val="30"/>
          <w:shd w:val="clear" w:color="040000" w:fill="FFFFFF"/>
        </w:rPr>
        <w:t>住房保障支出-住房改革支出-住房公积金87.34万元，主要用于单位住房公积金支出。</w:t>
      </w:r>
    </w:p>
    <w:p>
      <w:pPr>
        <w:keepNext w:val="0"/>
        <w:keepLines w:val="0"/>
        <w:pageBreakBefore w:val="0"/>
        <w:widowControl/>
        <w:numPr>
          <w:ilvl w:val="0"/>
          <w:numId w:val="2"/>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2050202 小学教育676.44万元，其中：基本支出676.44万元，主要用于301工资福利支出671.47万元，302商品服务支出4.61万元，303对个人和家庭补助支出0.36万元；项目支出0万元。</w:t>
      </w:r>
    </w:p>
    <w:p>
      <w:pPr>
        <w:pStyle w:val="14"/>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2080502 事业单位离退休1.14万元，其中：基本支出1.14万元，主要用于30</w:t>
      </w:r>
      <w:r>
        <w:rPr>
          <w:rFonts w:hint="eastAsia" w:ascii="仿宋_GB2312" w:hAnsi="仿宋_GB2312" w:eastAsia="仿宋_GB2312" w:cs="仿宋_GB2312"/>
          <w:sz w:val="30"/>
          <w:szCs w:val="30"/>
          <w:lang w:val="en-US" w:eastAsia="zh-CN"/>
        </w:rPr>
        <w:t>2商品服务</w:t>
      </w:r>
      <w:r>
        <w:rPr>
          <w:rFonts w:hint="eastAsia" w:ascii="仿宋_GB2312" w:hAnsi="仿宋_GB2312" w:eastAsia="仿宋_GB2312" w:cs="仿宋_GB2312"/>
          <w:sz w:val="30"/>
          <w:szCs w:val="30"/>
        </w:rPr>
        <w:t>支出1.14万元；项目支出0万元。</w:t>
      </w:r>
    </w:p>
    <w:p>
      <w:pPr>
        <w:pStyle w:val="14"/>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2080505 机关事业单位基本养老保险缴费支出125.81万元，其中：基本支出125.81万元，主要用于301工资福利支出125.81万元；项目支出0万元。</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rPr>
        <w:t>2080506 机关事业单位职业年金缴费支出3.22万元，其中：基本支出3.22万元，</w:t>
      </w:r>
      <w:r>
        <w:rPr>
          <w:rFonts w:hint="eastAsia" w:ascii="仿宋_GB2312" w:hAnsi="仿宋_GB2312" w:eastAsia="仿宋_GB2312" w:cs="仿宋_GB2312"/>
          <w:kern w:val="0"/>
          <w:sz w:val="30"/>
          <w:szCs w:val="30"/>
        </w:rPr>
        <w:t>主要用于301</w:t>
      </w:r>
      <w:r>
        <w:rPr>
          <w:rFonts w:hint="eastAsia" w:ascii="仿宋_GB2312" w:hAnsi="仿宋_GB2312" w:eastAsia="仿宋_GB2312" w:cs="仿宋_GB2312"/>
          <w:sz w:val="30"/>
          <w:szCs w:val="30"/>
        </w:rPr>
        <w:t>工资福利支出3.22万元；项目支出0万元。</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sz w:val="30"/>
          <w:szCs w:val="30"/>
        </w:rPr>
        <w:t>2210201 住房公积金87.34万元，其中：基本支出87.34万元，</w:t>
      </w:r>
      <w:r>
        <w:rPr>
          <w:rFonts w:hint="eastAsia" w:ascii="仿宋_GB2312" w:hAnsi="仿宋_GB2312" w:eastAsia="仿宋_GB2312" w:cs="仿宋_GB2312"/>
          <w:kern w:val="0"/>
          <w:sz w:val="30"/>
          <w:szCs w:val="30"/>
        </w:rPr>
        <w:t>主要用于301</w:t>
      </w:r>
      <w:r>
        <w:rPr>
          <w:rFonts w:hint="eastAsia" w:ascii="仿宋_GB2312" w:hAnsi="仿宋_GB2312" w:eastAsia="仿宋_GB2312" w:cs="仿宋_GB2312"/>
          <w:sz w:val="30"/>
          <w:szCs w:val="30"/>
        </w:rPr>
        <w:t>工资福利支出87.34万元；项目支出0万元。</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本单位2019年无</w:t>
      </w:r>
      <w:r>
        <w:rPr>
          <w:rFonts w:hint="eastAsia" w:ascii="仿宋_GB2312" w:hAnsi="仿宋_GB2312" w:eastAsia="仿宋_GB2312" w:cs="仿宋_GB2312"/>
          <w:kern w:val="0"/>
          <w:sz w:val="30"/>
          <w:szCs w:val="30"/>
          <w:lang w:eastAsia="zh-CN"/>
        </w:rPr>
        <w:t>县</w:t>
      </w:r>
      <w:r>
        <w:rPr>
          <w:rFonts w:hint="eastAsia" w:ascii="仿宋_GB2312" w:hAnsi="仿宋_GB2312" w:eastAsia="仿宋_GB2312" w:cs="仿宋_GB2312"/>
          <w:kern w:val="0"/>
          <w:sz w:val="30"/>
          <w:szCs w:val="30"/>
        </w:rPr>
        <w:t>对下专项转移支付</w:t>
      </w:r>
      <w:r>
        <w:rPr>
          <w:rFonts w:hint="eastAsia" w:ascii="仿宋_GB2312" w:hAnsi="仿宋_GB2312" w:eastAsia="仿宋_GB2312" w:cs="仿宋_GB2312"/>
          <w:kern w:val="0"/>
          <w:sz w:val="30"/>
          <w:szCs w:val="30"/>
          <w:lang w:eastAsia="zh-CN"/>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rPr>
        <w:t>无</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7"/>
        <w:keepNext w:val="0"/>
        <w:keepLines w:val="0"/>
        <w:pageBreakBefore w:val="0"/>
        <w:widowControl/>
        <w:kinsoku/>
        <w:wordWrap/>
        <w:overflowPunct/>
        <w:topLinePunct w:val="0"/>
        <w:autoSpaceDE/>
        <w:autoSpaceDN/>
        <w:bidi w:val="0"/>
        <w:adjustRightInd/>
        <w:snapToGrid/>
        <w:spacing w:line="600" w:lineRule="atLeast"/>
        <w:ind w:firstLine="600" w:firstLineChars="200"/>
        <w:jc w:val="both"/>
        <w:textAlignment w:val="auto"/>
        <w:outlineLvl w:val="9"/>
        <w:rPr>
          <w:rFonts w:ascii="仿宋_GB2312" w:eastAsia="仿宋_GB2312"/>
          <w:kern w:val="0"/>
          <w:sz w:val="30"/>
          <w:szCs w:val="30"/>
        </w:rPr>
      </w:pPr>
      <w:r>
        <w:rPr>
          <w:rFonts w:hint="eastAsia" w:ascii="仿宋_GB2312" w:eastAsia="仿宋_GB2312"/>
          <w:kern w:val="0"/>
          <w:sz w:val="30"/>
          <w:szCs w:val="30"/>
        </w:rPr>
        <w:t>2019年盈江县昔马镇中心学校“三公”经费预算数为2.70万元，其中：因公出国（境）费用0万元、公务接待费1.0万元、公务用车购置及运行费1.70万元,其中:公务用车购置费0万元、公务用车运行费1.70万元。与上年三公”经费预算数2.70万元相比持平。其中:因公出国（境）费用0万元与上年预算数0万元持平，公务接待费1.0万元与上年预算数1.0万元持平；公务用车购置及运行费1.70万元;其中:公务用车购置费0万元、公务用车运行费1.70万元与上年预算数1.70万元持平。</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color w:val="FF0000"/>
          <w:sz w:val="30"/>
          <w:szCs w:val="30"/>
        </w:rPr>
      </w:pPr>
      <w:r>
        <w:rPr>
          <w:rFonts w:hint="eastAsia" w:ascii="楷体" w:hAnsi="楷体" w:eastAsia="楷体" w:cs="楷体"/>
          <w:kern w:val="0"/>
          <w:sz w:val="30"/>
          <w:szCs w:val="30"/>
        </w:rPr>
        <w:t>（二）</w:t>
      </w:r>
      <w:r>
        <w:rPr>
          <w:rFonts w:hint="eastAsia" w:ascii="仿宋_GB2312" w:hAnsi="仿宋_GB2312" w:eastAsia="仿宋_GB2312" w:cs="仿宋_GB2312"/>
          <w:sz w:val="30"/>
          <w:szCs w:val="30"/>
        </w:rPr>
        <w:t>基本支出情况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color w:val="FF0000"/>
          <w:sz w:val="30"/>
          <w:szCs w:val="30"/>
        </w:rPr>
      </w:pPr>
      <w:r>
        <w:rPr>
          <w:rFonts w:hint="eastAsia" w:ascii="仿宋_GB2312" w:hAnsi="仿宋_GB2312" w:eastAsia="仿宋_GB2312" w:cs="仿宋_GB2312"/>
          <w:kern w:val="0"/>
          <w:sz w:val="30"/>
          <w:szCs w:val="30"/>
        </w:rPr>
        <w:t>2019年部门预算收入</w:t>
      </w:r>
      <w:r>
        <w:rPr>
          <w:rFonts w:hint="eastAsia" w:eastAsia="仿宋_GB2312"/>
          <w:kern w:val="0"/>
          <w:sz w:val="30"/>
          <w:szCs w:val="30"/>
        </w:rPr>
        <w:t>893.95</w:t>
      </w:r>
      <w:r>
        <w:rPr>
          <w:rFonts w:hint="eastAsia" w:ascii="仿宋_GB2312" w:hAnsi="仿宋_GB2312" w:eastAsia="仿宋_GB2312" w:cs="仿宋_GB2312"/>
          <w:kern w:val="0"/>
          <w:sz w:val="30"/>
          <w:szCs w:val="30"/>
        </w:rPr>
        <w:t>万元，比上年预算数828.74万元增65.21万元，增7.87%。增加原因：调增人员工资。</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sz w:val="30"/>
          <w:szCs w:val="30"/>
        </w:rPr>
      </w:pPr>
      <w:r>
        <w:rPr>
          <w:rFonts w:hint="eastAsia" w:ascii="楷体" w:hAnsi="楷体" w:eastAsia="楷体" w:cs="楷体"/>
          <w:kern w:val="0"/>
          <w:sz w:val="30"/>
          <w:szCs w:val="30"/>
        </w:rPr>
        <w:t>（三）</w:t>
      </w:r>
      <w:r>
        <w:rPr>
          <w:rFonts w:hint="eastAsia" w:ascii="仿宋_GB2312" w:hAnsi="仿宋_GB2312" w:eastAsia="仿宋_GB2312" w:cs="仿宋_GB2312"/>
          <w:sz w:val="30"/>
          <w:szCs w:val="30"/>
        </w:rPr>
        <w:t>项目支出情况</w:t>
      </w:r>
    </w:p>
    <w:p>
      <w:pPr>
        <w:pStyle w:val="14"/>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2019年盈江县昔马镇中心学校无项目支出预算。</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1.财政拨款（补助）收入指财政部门当年拨付的资金。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8.“三公”经费包括因公出国（境）费、公务用车购置及运行费、公务接待费。其中：因公出国（境）费，指单位工作人员公务出国（境）的住宿费、</w:t>
      </w:r>
      <w:r>
        <w:rPr>
          <w:rFonts w:hint="eastAsia" w:ascii="仿宋_GB2312" w:hAnsi="仿宋_GB2312" w:eastAsia="仿宋_GB2312" w:cs="仿宋_GB2312"/>
          <w:color w:val="333333"/>
          <w:kern w:val="0"/>
          <w:sz w:val="30"/>
          <w:szCs w:val="30"/>
          <w:lang w:eastAsia="zh-CN" w:bidi="ar"/>
        </w:rPr>
        <w:t>差</w:t>
      </w:r>
      <w:r>
        <w:rPr>
          <w:rFonts w:hint="eastAsia" w:ascii="仿宋_GB2312" w:hAnsi="仿宋_GB2312" w:eastAsia="仿宋_GB2312" w:cs="仿宋_GB2312"/>
          <w:color w:val="333333"/>
          <w:kern w:val="0"/>
          <w:sz w:val="30"/>
          <w:szCs w:val="30"/>
          <w:lang w:bidi="ar"/>
        </w:rPr>
        <w:t xml:space="preserve">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9.一般公共预算是对以税收为主体的财政收入，安排用于保障和改善民生、推动经济社会发展、维护国家安全、维护国家机构正常运转等方面的收支预算。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13.对个人和家庭的补助反映政府用于对个人和家庭的补助支出。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lang w:bidi="ar"/>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rPr>
        <w:t>机关</w:t>
      </w:r>
      <w:r>
        <w:rPr>
          <w:rFonts w:ascii="楷体_GB2312" w:eastAsia="楷体_GB2312"/>
          <w:kern w:val="0"/>
          <w:sz w:val="30"/>
          <w:szCs w:val="30"/>
        </w:rPr>
        <w:t>运行经费安排</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eastAsia="仿宋_GB2312"/>
          <w:kern w:val="0"/>
          <w:sz w:val="30"/>
          <w:szCs w:val="30"/>
        </w:rPr>
      </w:pPr>
      <w:r>
        <w:rPr>
          <w:rFonts w:hint="eastAsia" w:ascii="仿宋_GB2312" w:eastAsia="仿宋_GB2312"/>
          <w:kern w:val="0"/>
          <w:sz w:val="30"/>
          <w:szCs w:val="30"/>
          <w:lang w:val="en-US" w:eastAsia="zh-CN"/>
        </w:rPr>
        <w:t>无</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eastAsia="仿宋_GB2312"/>
          <w:kern w:val="0"/>
          <w:sz w:val="30"/>
          <w:szCs w:val="30"/>
        </w:rPr>
      </w:pPr>
      <w:r>
        <w:rPr>
          <w:rFonts w:hint="eastAsia" w:ascii="楷体_GB2312" w:eastAsia="楷体_GB2312"/>
          <w:kern w:val="0"/>
          <w:sz w:val="30"/>
          <w:szCs w:val="30"/>
        </w:rPr>
        <w:t xml:space="preserve"> </w:t>
      </w:r>
      <w:r>
        <w:rPr>
          <w:rFonts w:hint="eastAsia" w:ascii="仿宋_GB2312" w:eastAsia="仿宋_GB2312"/>
          <w:kern w:val="0"/>
          <w:sz w:val="30"/>
          <w:szCs w:val="30"/>
        </w:rPr>
        <w:t>鉴于截至2019年12月31日的国有资产占有使用情况需在完成2019年决算编制后才能统计汇总相关数据，因此，将在公开2019年度部门决算时一并公开部门截至2019年12月31日的国有资产占有使用情况。</w:t>
      </w:r>
      <w:bookmarkStart w:id="0" w:name="_GoBack"/>
      <w:bookmarkEnd w:id="0"/>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rPr>
        <w:t>2019</w:t>
      </w:r>
      <w:r>
        <w:rPr>
          <w:rFonts w:eastAsia="仿宋_GB2312"/>
          <w:kern w:val="0"/>
          <w:sz w:val="30"/>
          <w:szCs w:val="30"/>
        </w:rPr>
        <w:t xml:space="preserve">年部门预算总支出 </w:t>
      </w:r>
      <w:r>
        <w:rPr>
          <w:rFonts w:hint="eastAsia" w:eastAsia="仿宋_GB2312"/>
          <w:kern w:val="0"/>
          <w:sz w:val="30"/>
          <w:szCs w:val="30"/>
        </w:rPr>
        <w:t>893.95</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rPr>
        <w:t>893.95</w:t>
      </w:r>
      <w:r>
        <w:rPr>
          <w:rFonts w:eastAsia="仿宋_GB2312"/>
          <w:kern w:val="0"/>
          <w:sz w:val="30"/>
          <w:szCs w:val="30"/>
        </w:rPr>
        <w:t>万元，其中，基本支出</w:t>
      </w:r>
      <w:r>
        <w:rPr>
          <w:rFonts w:hint="eastAsia" w:eastAsia="仿宋_GB2312"/>
          <w:kern w:val="0"/>
          <w:sz w:val="30"/>
          <w:szCs w:val="30"/>
        </w:rPr>
        <w:t>893.95</w:t>
      </w:r>
      <w:r>
        <w:rPr>
          <w:rFonts w:eastAsia="仿宋_GB2312"/>
          <w:kern w:val="0"/>
          <w:sz w:val="30"/>
          <w:szCs w:val="30"/>
        </w:rPr>
        <w:t>万元，</w:t>
      </w:r>
      <w:r>
        <w:rPr>
          <w:rFonts w:hint="eastAsia" w:ascii="仿宋_GB2312" w:eastAsia="仿宋_GB2312"/>
          <w:kern w:val="0"/>
          <w:sz w:val="30"/>
          <w:szCs w:val="30"/>
        </w:rPr>
        <w:t>主要用于发放职工工资，</w:t>
      </w:r>
      <w:r>
        <w:rPr>
          <w:rFonts w:hint="eastAsia" w:ascii="仿宋_GB2312" w:hAnsi="仿宋_GB2312" w:eastAsia="仿宋_GB2312" w:cs="仿宋_GB2312"/>
          <w:kern w:val="0"/>
          <w:sz w:val="30"/>
          <w:szCs w:val="30"/>
        </w:rPr>
        <w:t>归口管理的事业单位离退休、</w:t>
      </w:r>
      <w:r>
        <w:rPr>
          <w:rFonts w:hint="eastAsia" w:ascii="仿宋_GB2312" w:eastAsia="仿宋_GB2312"/>
          <w:kern w:val="0"/>
          <w:sz w:val="30"/>
          <w:szCs w:val="30"/>
        </w:rPr>
        <w:t>基本养老保险缴费，住房公积金，支付公用经费确保机构正常运转</w:t>
      </w:r>
      <w:r>
        <w:rPr>
          <w:rFonts w:hint="eastAsia" w:ascii="仿宋_GB2312" w:eastAsia="仿宋_GB2312"/>
          <w:kern w:val="0"/>
          <w:sz w:val="30"/>
          <w:szCs w:val="30"/>
          <w:lang w:eastAsia="zh-CN"/>
        </w:rPr>
        <w:t>；</w:t>
      </w:r>
      <w:r>
        <w:rPr>
          <w:rFonts w:eastAsia="仿宋_GB2312"/>
          <w:kern w:val="0"/>
          <w:sz w:val="30"/>
          <w:szCs w:val="30"/>
        </w:rPr>
        <w:t>项目支出</w:t>
      </w:r>
      <w:r>
        <w:rPr>
          <w:rFonts w:hint="eastAsia" w:eastAsia="仿宋_GB2312"/>
          <w:kern w:val="0"/>
          <w:sz w:val="30"/>
          <w:szCs w:val="30"/>
        </w:rPr>
        <w:t>0</w:t>
      </w:r>
      <w:r>
        <w:rPr>
          <w:rFonts w:eastAsia="仿宋_GB2312"/>
          <w:kern w:val="0"/>
          <w:sz w:val="30"/>
          <w:szCs w:val="30"/>
        </w:rPr>
        <w:t>万元。</w:t>
      </w:r>
    </w:p>
    <w:p>
      <w:pPr>
        <w:widowControl/>
        <w:jc w:val="left"/>
        <w:rPr>
          <w:rFonts w:ascii="仿宋_GB2312" w:eastAsia="仿宋_GB2312"/>
          <w:kern w:val="0"/>
          <w:sz w:val="30"/>
          <w:szCs w:val="30"/>
        </w:rPr>
      </w:pPr>
    </w:p>
    <w:p>
      <w:pPr>
        <w:widowControl/>
        <w:jc w:val="left"/>
        <w:rPr>
          <w:rFonts w:ascii="楷体_GB2312" w:eastAsia="楷体_GB2312"/>
          <w:kern w:val="0"/>
          <w:sz w:val="30"/>
          <w:szCs w:val="30"/>
        </w:rPr>
      </w:pP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B6EB83"/>
    <w:multiLevelType w:val="singleLevel"/>
    <w:tmpl w:val="5CB6EB83"/>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bordersDoNotSurroundHeader w:val="1"/>
  <w:bordersDoNotSurroundFooter w:val="1"/>
  <w:doNotTrackMove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DD7"/>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336"/>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3157"/>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66F5F"/>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4D18"/>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C69B7"/>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73B"/>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1799"/>
    <w:rsid w:val="00EA25E4"/>
    <w:rsid w:val="00EA3E87"/>
    <w:rsid w:val="00EA7A22"/>
    <w:rsid w:val="00EA7DE2"/>
    <w:rsid w:val="00EB004F"/>
    <w:rsid w:val="00EB6AC3"/>
    <w:rsid w:val="00EC2B94"/>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17874B7"/>
    <w:rsid w:val="02450888"/>
    <w:rsid w:val="025737A0"/>
    <w:rsid w:val="02B917C8"/>
    <w:rsid w:val="03CD50E7"/>
    <w:rsid w:val="03F0214E"/>
    <w:rsid w:val="04CF1775"/>
    <w:rsid w:val="054A18F5"/>
    <w:rsid w:val="05616F12"/>
    <w:rsid w:val="061D49D6"/>
    <w:rsid w:val="06325B44"/>
    <w:rsid w:val="06E43398"/>
    <w:rsid w:val="079F1950"/>
    <w:rsid w:val="084A3CB5"/>
    <w:rsid w:val="0AB77A2F"/>
    <w:rsid w:val="0F4168E1"/>
    <w:rsid w:val="0F4952BC"/>
    <w:rsid w:val="105A3BDF"/>
    <w:rsid w:val="13F52A67"/>
    <w:rsid w:val="14594CAF"/>
    <w:rsid w:val="14F30004"/>
    <w:rsid w:val="16C85A74"/>
    <w:rsid w:val="172728C8"/>
    <w:rsid w:val="18194B15"/>
    <w:rsid w:val="18A27DFC"/>
    <w:rsid w:val="1A0B3DDD"/>
    <w:rsid w:val="1A685806"/>
    <w:rsid w:val="1A884B54"/>
    <w:rsid w:val="1C3219F9"/>
    <w:rsid w:val="1CE54A30"/>
    <w:rsid w:val="206C0510"/>
    <w:rsid w:val="207165AF"/>
    <w:rsid w:val="215D47F3"/>
    <w:rsid w:val="21B76D32"/>
    <w:rsid w:val="228F2F2D"/>
    <w:rsid w:val="23293A4E"/>
    <w:rsid w:val="23C6578F"/>
    <w:rsid w:val="242E2599"/>
    <w:rsid w:val="24D00D88"/>
    <w:rsid w:val="263A0261"/>
    <w:rsid w:val="26BF2FF3"/>
    <w:rsid w:val="27423E77"/>
    <w:rsid w:val="27816715"/>
    <w:rsid w:val="27E3128E"/>
    <w:rsid w:val="28D26D48"/>
    <w:rsid w:val="29F4749C"/>
    <w:rsid w:val="2B696D85"/>
    <w:rsid w:val="2C5B41A5"/>
    <w:rsid w:val="2C6F7DBE"/>
    <w:rsid w:val="2CBF242E"/>
    <w:rsid w:val="2D7B7E3A"/>
    <w:rsid w:val="2DA75286"/>
    <w:rsid w:val="2FD25EA1"/>
    <w:rsid w:val="30D85C38"/>
    <w:rsid w:val="31EE235E"/>
    <w:rsid w:val="339431BE"/>
    <w:rsid w:val="33BA5B77"/>
    <w:rsid w:val="33E37726"/>
    <w:rsid w:val="33FF4AA6"/>
    <w:rsid w:val="369B6FF2"/>
    <w:rsid w:val="369F52AA"/>
    <w:rsid w:val="39466C4F"/>
    <w:rsid w:val="39BF048F"/>
    <w:rsid w:val="3A8C77EA"/>
    <w:rsid w:val="3B0C58A6"/>
    <w:rsid w:val="3B8E422C"/>
    <w:rsid w:val="3BD6125E"/>
    <w:rsid w:val="3C29793F"/>
    <w:rsid w:val="3C375E65"/>
    <w:rsid w:val="3CC32D4E"/>
    <w:rsid w:val="3D292A46"/>
    <w:rsid w:val="3D531916"/>
    <w:rsid w:val="3DDE4967"/>
    <w:rsid w:val="3EB21E61"/>
    <w:rsid w:val="40727ADC"/>
    <w:rsid w:val="41986473"/>
    <w:rsid w:val="43131F13"/>
    <w:rsid w:val="43C35C3E"/>
    <w:rsid w:val="44A11F66"/>
    <w:rsid w:val="44F95DA4"/>
    <w:rsid w:val="45166B3A"/>
    <w:rsid w:val="464716C2"/>
    <w:rsid w:val="46D61E29"/>
    <w:rsid w:val="48056FFD"/>
    <w:rsid w:val="48BA0E0E"/>
    <w:rsid w:val="4A940EA9"/>
    <w:rsid w:val="4B1303C0"/>
    <w:rsid w:val="4B310DA7"/>
    <w:rsid w:val="4C2B6994"/>
    <w:rsid w:val="4C9504D8"/>
    <w:rsid w:val="4E1878C9"/>
    <w:rsid w:val="4F462F65"/>
    <w:rsid w:val="4FC334A8"/>
    <w:rsid w:val="4FD45123"/>
    <w:rsid w:val="50F26431"/>
    <w:rsid w:val="515A348C"/>
    <w:rsid w:val="526F3E11"/>
    <w:rsid w:val="53025EB1"/>
    <w:rsid w:val="53291E1A"/>
    <w:rsid w:val="53F146BC"/>
    <w:rsid w:val="544F333B"/>
    <w:rsid w:val="547F44AA"/>
    <w:rsid w:val="54870A50"/>
    <w:rsid w:val="55D71E06"/>
    <w:rsid w:val="564C72BA"/>
    <w:rsid w:val="5825432A"/>
    <w:rsid w:val="58310B0B"/>
    <w:rsid w:val="597D7B2E"/>
    <w:rsid w:val="59D53C66"/>
    <w:rsid w:val="5AB4032D"/>
    <w:rsid w:val="5DDB63FE"/>
    <w:rsid w:val="5E7D384C"/>
    <w:rsid w:val="5F1D569A"/>
    <w:rsid w:val="5FB20E86"/>
    <w:rsid w:val="60745BA8"/>
    <w:rsid w:val="65756AF5"/>
    <w:rsid w:val="65E20823"/>
    <w:rsid w:val="66447E71"/>
    <w:rsid w:val="67D95CA6"/>
    <w:rsid w:val="67DD5DBE"/>
    <w:rsid w:val="68083500"/>
    <w:rsid w:val="68AC4CC2"/>
    <w:rsid w:val="68C77134"/>
    <w:rsid w:val="6A8C3BB7"/>
    <w:rsid w:val="6C2D29D7"/>
    <w:rsid w:val="6C8C59EC"/>
    <w:rsid w:val="6CAC668F"/>
    <w:rsid w:val="6DA47EEE"/>
    <w:rsid w:val="6F20305E"/>
    <w:rsid w:val="6F774578"/>
    <w:rsid w:val="6FCD3E36"/>
    <w:rsid w:val="714D3C8D"/>
    <w:rsid w:val="71585CE5"/>
    <w:rsid w:val="724A4A01"/>
    <w:rsid w:val="72616363"/>
    <w:rsid w:val="72F37DB5"/>
    <w:rsid w:val="75F37398"/>
    <w:rsid w:val="76C22F3D"/>
    <w:rsid w:val="76FA3A83"/>
    <w:rsid w:val="7779331C"/>
    <w:rsid w:val="77D46EE6"/>
    <w:rsid w:val="783D31F1"/>
    <w:rsid w:val="79910928"/>
    <w:rsid w:val="7A017677"/>
    <w:rsid w:val="7A922E2A"/>
    <w:rsid w:val="7B1E5394"/>
    <w:rsid w:val="7CC5101A"/>
    <w:rsid w:val="7E39766E"/>
    <w:rsid w:val="7E9E748B"/>
    <w:rsid w:val="7F661CB9"/>
    <w:rsid w:val="7F962E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11">
    <w:name w:val="Normal Table"/>
    <w:semiHidden/>
    <w:unhideWhenUsed/>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rPr>
      <w:sz w:val="24"/>
    </w:rPr>
  </w:style>
  <w:style w:type="character" w:styleId="9">
    <w:name w:val="Hyperlink"/>
    <w:unhideWhenUsed/>
    <w:qFormat/>
    <w:uiPriority w:val="0"/>
    <w:rPr>
      <w:color w:val="0000FF"/>
      <w:u w:val="single"/>
    </w:rPr>
  </w:style>
  <w:style w:type="character" w:styleId="10">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3">
    <w:name w:val="普通(网站)1"/>
    <w:basedOn w:val="1"/>
    <w:qFormat/>
    <w:uiPriority w:val="0"/>
    <w:pPr>
      <w:jc w:val="left"/>
    </w:pPr>
    <w:rPr>
      <w:kern w:val="0"/>
      <w:sz w:val="24"/>
    </w:rPr>
  </w:style>
  <w:style w:type="paragraph" w:customStyle="1" w:styleId="14">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13</Pages>
  <Words>986</Words>
  <Characters>5622</Characters>
  <Lines>46</Lines>
  <Paragraphs>13</Paragraphs>
  <TotalTime>6</TotalTime>
  <ScaleCrop>false</ScaleCrop>
  <LinksUpToDate>false</LinksUpToDate>
  <CharactersWithSpaces>6595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Bruce S</cp:lastModifiedBy>
  <cp:lastPrinted>2018-01-31T03:32:00Z</cp:lastPrinted>
  <dcterms:modified xsi:type="dcterms:W3CDTF">2019-04-29T09:58:58Z</dcterms:modified>
  <dc:title>年部门预算编制说明</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