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盈江县新城乡中心学校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盈江县新城乡中心学校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盈江县新城乡中心学校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新城乡中心学校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盈江县新城乡中心学校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34</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盈江县新城乡中心学校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宋体" w:hAnsi="宋体" w:eastAsia="宋体" w:cs="宋体"/>
          <w:color w:val="auto"/>
          <w:kern w:val="0"/>
          <w:sz w:val="28"/>
          <w:szCs w:val="28"/>
          <w:lang w:val="en-US" w:eastAsia="zh-CN" w:bidi="ar-SA"/>
        </w:rPr>
        <w:t xml:space="preserve">  </w:t>
      </w:r>
      <w:r>
        <w:rPr>
          <w:rFonts w:hint="eastAsia" w:ascii="仿宋_GB2312" w:hAnsi="仿宋_GB2312" w:eastAsia="仿宋_GB2312" w:cs="仿宋_GB2312"/>
          <w:color w:val="auto"/>
          <w:kern w:val="0"/>
          <w:sz w:val="28"/>
          <w:szCs w:val="28"/>
          <w:lang w:val="en-US" w:eastAsia="zh-CN" w:bidi="ar-SA"/>
        </w:rPr>
        <w:t>盈江县新城乡中心学校</w:t>
      </w:r>
      <w:r>
        <w:rPr>
          <w:rFonts w:hint="eastAsia" w:ascii="宋体" w:hAnsi="宋体" w:eastAsia="宋体" w:cs="宋体"/>
          <w:color w:val="auto"/>
          <w:sz w:val="28"/>
          <w:szCs w:val="28"/>
          <w:lang w:val="en-US" w:eastAsia="zh-CN"/>
        </w:rPr>
        <w:t>设置6个校点：中心小学、芒胆小学、芒丙小学、芒弄小学、杞木寨小学、马鹿塘小学。</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重点工作概述</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rPr>
        <w:t>本年度重点工作如下</w:t>
      </w:r>
    </w:p>
    <w:p>
      <w:pPr>
        <w:keepNext w:val="0"/>
        <w:keepLines w:val="0"/>
        <w:pageBreakBefore w:val="0"/>
        <w:kinsoku/>
        <w:wordWrap/>
        <w:overflowPunct/>
        <w:topLinePunct w:val="0"/>
        <w:autoSpaceDE/>
        <w:autoSpaceDN/>
        <w:bidi w:val="0"/>
        <w:adjustRightInd/>
        <w:snapToGrid/>
        <w:ind w:firstLine="602" w:firstLineChars="200"/>
        <w:jc w:val="both"/>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1</w:t>
      </w:r>
      <w:r>
        <w:rPr>
          <w:rFonts w:hint="eastAsia" w:ascii="仿宋_GB2312" w:hAnsi="仿宋_GB2312" w:eastAsia="仿宋_GB2312" w:cs="仿宋_GB2312"/>
          <w:b/>
          <w:sz w:val="30"/>
          <w:szCs w:val="30"/>
        </w:rPr>
        <w:t>、以理念引领学校发展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一是为</w:t>
      </w:r>
      <w:r>
        <w:rPr>
          <w:rFonts w:hint="eastAsia" w:ascii="仿宋_GB2312" w:hAnsi="仿宋_GB2312" w:eastAsia="仿宋_GB2312" w:cs="仿宋_GB2312"/>
          <w:color w:val="000000"/>
          <w:sz w:val="30"/>
          <w:szCs w:val="30"/>
        </w:rPr>
        <w:t>全面贯彻党和国家的教育方针，把社会主义核心价值体系融入学校教育全过程，</w:t>
      </w:r>
      <w:r>
        <w:rPr>
          <w:rFonts w:hint="eastAsia" w:ascii="仿宋_GB2312" w:hAnsi="仿宋_GB2312" w:eastAsia="仿宋_GB2312" w:cs="仿宋_GB2312"/>
          <w:sz w:val="30"/>
          <w:szCs w:val="30"/>
        </w:rPr>
        <w:t>全面落实国家、省中长期教育改革和发展规划纲要，我校制定的《新城乡中心学校管理制度汇编》、《新城乡中心学校“十三五”发展规划》，有明确的办学理念及办学目标；二是以素质教育为突破口，促进教育质量均衡化发展，秉承“传承民族文化 学做德才之人”的办学理念，坚持“培养有孝心、有爱心、有善心、乐学、好学、勤学的德才之人。”的办学思想；以“态度决定命运 细节铸就成功”为校训，努力提升办学品质。 </w:t>
      </w:r>
    </w:p>
    <w:p>
      <w:pPr>
        <w:pStyle w:val="15"/>
        <w:keepNext w:val="0"/>
        <w:keepLines w:val="0"/>
        <w:pageBreakBefore w:val="0"/>
        <w:kinsoku/>
        <w:wordWrap/>
        <w:overflowPunct/>
        <w:topLinePunct w:val="0"/>
        <w:autoSpaceDE/>
        <w:autoSpaceDN/>
        <w:bidi w:val="0"/>
        <w:adjustRightInd/>
        <w:snapToGrid/>
        <w:ind w:firstLine="602" w:firstLineChars="200"/>
        <w:jc w:val="both"/>
        <w:textAlignment w:val="auto"/>
        <w:outlineLvl w:val="9"/>
        <w:rPr>
          <w:rFonts w:hint="eastAsia" w:ascii="仿宋_GB2312" w:hAnsi="仿宋_GB2312" w:eastAsia="仿宋_GB2312" w:cs="仿宋_GB2312"/>
          <w:b/>
          <w:bCs/>
          <w:kern w:val="0"/>
          <w:sz w:val="30"/>
          <w:szCs w:val="30"/>
          <w:lang w:bidi="ar"/>
        </w:rPr>
      </w:pPr>
      <w:r>
        <w:rPr>
          <w:rFonts w:hint="eastAsia" w:ascii="仿宋_GB2312" w:hAnsi="仿宋_GB2312" w:eastAsia="仿宋_GB2312" w:cs="仿宋_GB2312"/>
          <w:b/>
          <w:bCs/>
          <w:sz w:val="30"/>
          <w:szCs w:val="30"/>
          <w:lang w:val="en-US" w:eastAsia="zh-CN"/>
        </w:rPr>
        <w:t>2</w:t>
      </w:r>
      <w:r>
        <w:rPr>
          <w:rFonts w:hint="eastAsia" w:ascii="仿宋_GB2312" w:hAnsi="仿宋_GB2312" w:eastAsia="仿宋_GB2312" w:cs="仿宋_GB2312"/>
          <w:b/>
          <w:bCs/>
          <w:sz w:val="30"/>
          <w:szCs w:val="30"/>
        </w:rPr>
        <w:t>、以</w:t>
      </w:r>
      <w:r>
        <w:rPr>
          <w:rFonts w:hint="eastAsia" w:ascii="仿宋_GB2312" w:hAnsi="仿宋_GB2312" w:eastAsia="仿宋_GB2312" w:cs="仿宋_GB2312"/>
          <w:b/>
          <w:bCs/>
          <w:kern w:val="0"/>
          <w:sz w:val="30"/>
          <w:szCs w:val="30"/>
          <w:lang w:bidi="ar"/>
        </w:rPr>
        <w:t>党建引领教学</w:t>
      </w:r>
    </w:p>
    <w:p>
      <w:pPr>
        <w:pStyle w:val="15"/>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lang w:bidi="ar"/>
        </w:rPr>
      </w:pPr>
      <w:r>
        <w:rPr>
          <w:rFonts w:hint="eastAsia" w:ascii="仿宋_GB2312" w:hAnsi="仿宋_GB2312" w:eastAsia="仿宋_GB2312" w:cs="仿宋_GB2312"/>
          <w:kern w:val="0"/>
          <w:sz w:val="30"/>
          <w:szCs w:val="30"/>
          <w:lang w:bidi="ar"/>
        </w:rPr>
        <w:t>党支部坚持正确的社会主义办学方向，坚持贯彻落实党和国家的教育方针政策。扎实开展“两学一做”、“党章党规进课堂”、“云岭红烛，育人先锋”、“大手牵小手”等学习教育活动，着力把优秀的教师发展成党员，把党员教师培养成教学骨干，把全乡年级科目教学成绩第一的党员教师定为优秀党员示范工作岗</w:t>
      </w:r>
      <w:r>
        <w:rPr>
          <w:rFonts w:hint="eastAsia" w:ascii="仿宋_GB2312" w:hAnsi="仿宋_GB2312" w:eastAsia="仿宋_GB2312" w:cs="仿宋_GB2312"/>
          <w:kern w:val="0"/>
          <w:sz w:val="30"/>
          <w:szCs w:val="30"/>
          <w:lang w:eastAsia="zh-CN" w:bidi="ar"/>
        </w:rPr>
        <w:t>，</w:t>
      </w:r>
      <w:r>
        <w:rPr>
          <w:rFonts w:hint="eastAsia" w:ascii="仿宋_GB2312" w:hAnsi="仿宋_GB2312" w:eastAsia="仿宋_GB2312" w:cs="仿宋_GB2312"/>
          <w:kern w:val="0"/>
          <w:sz w:val="30"/>
          <w:szCs w:val="30"/>
          <w:lang w:bidi="ar"/>
        </w:rPr>
        <w:t>树立标杆、树立典型，引领广大教师努力工作、健康成长。</w:t>
      </w:r>
    </w:p>
    <w:p>
      <w:pPr>
        <w:pStyle w:val="15"/>
        <w:keepNext w:val="0"/>
        <w:keepLines w:val="0"/>
        <w:pageBreakBefore w:val="0"/>
        <w:kinsoku/>
        <w:wordWrap/>
        <w:overflowPunct/>
        <w:topLinePunct w:val="0"/>
        <w:autoSpaceDE/>
        <w:autoSpaceDN/>
        <w:bidi w:val="0"/>
        <w:adjustRightInd/>
        <w:snapToGrid/>
        <w:ind w:firstLine="602" w:firstLineChars="200"/>
        <w:jc w:val="both"/>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、以德育引领学生健康成长</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德育工作是学校教育的灵魂，对青少年学生的健康成长和学校工作起着导向动力和保障作用。一年来，我校以人为本，不断开拓德育新思路，发挥德育途径整体效益，提高学校德育整体效果。一是充分发挥党员、工会、少先队组织在学校德育工作中的职能作用，积极开展读书、绘画、书法、文艺表演、体育竞赛等活动，陶冶师生情操，拓宽知识领域，丰富师生课外文化生活</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二是营造良好的育人环境，建立良好的师生关系，加强“青爱小屋”建设，强化实践育人，关注、关心弱势群体学生，多渠道帮扶困难学生，让孩子感受到学校大家庭的温暖，快乐生活，快乐学习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三是利用班会、校会、广播、板报，挂图等途径，广泛开展宣传“禁毒防艾”知识，组织学生学习观看禁毒、防艾教育片，把“禁毒防艾”知识传授给每一个学生；四是立足孩子的年龄特点和新城乡所特有的民族英雄“刀安仁”先生的精神；五是以乡村少年宫和兴趣活动小组为主要阵地，大力开展体育类、科普类、嘎伴光、傣戏、嘎秧、目瑙纵歌等少数民族传统文艺类活动，丰富师生校园生活的同时，让学生在活动中得到较好的成长和发展；六是开展献爱心活动。</w:t>
      </w:r>
    </w:p>
    <w:p>
      <w:pPr>
        <w:keepNext w:val="0"/>
        <w:keepLines w:val="0"/>
        <w:pageBreakBefore w:val="0"/>
        <w:kinsoku/>
        <w:wordWrap/>
        <w:overflowPunct/>
        <w:topLinePunct w:val="0"/>
        <w:autoSpaceDE/>
        <w:autoSpaceDN/>
        <w:bidi w:val="0"/>
        <w:adjustRightInd/>
        <w:snapToGrid/>
        <w:ind w:firstLine="602" w:firstLineChars="200"/>
        <w:jc w:val="both"/>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4</w:t>
      </w:r>
      <w:r>
        <w:rPr>
          <w:rFonts w:hint="eastAsia" w:ascii="仿宋_GB2312" w:hAnsi="仿宋_GB2312" w:eastAsia="仿宋_GB2312" w:cs="仿宋_GB2312"/>
          <w:b/>
          <w:sz w:val="30"/>
          <w:szCs w:val="30"/>
        </w:rPr>
        <w:t>、以安全为师生保驾护航</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校园安全工作学校工作的重中之重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首先</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按照教育局的统一部署，每学期开学第一周扎实开展“校园安全周”活动，层层</w:t>
      </w:r>
      <w:r>
        <w:rPr>
          <w:rFonts w:hint="eastAsia" w:ascii="仿宋_GB2312" w:hAnsi="仿宋_GB2312" w:eastAsia="仿宋_GB2312" w:cs="仿宋_GB2312"/>
          <w:sz w:val="30"/>
          <w:szCs w:val="30"/>
          <w:lang w:eastAsia="zh-CN"/>
        </w:rPr>
        <w:t>签</w:t>
      </w:r>
      <w:r>
        <w:rPr>
          <w:rFonts w:hint="eastAsia" w:ascii="仿宋_GB2312" w:hAnsi="仿宋_GB2312" w:eastAsia="仿宋_GB2312" w:cs="仿宋_GB2312"/>
          <w:sz w:val="30"/>
          <w:szCs w:val="30"/>
        </w:rPr>
        <w:t>定安全责任书，即中心学校跟校长签订、校长跟班主任及科任教师</w:t>
      </w:r>
      <w:r>
        <w:rPr>
          <w:rFonts w:hint="eastAsia" w:ascii="仿宋_GB2312" w:hAnsi="仿宋_GB2312" w:eastAsia="仿宋_GB2312" w:cs="仿宋_GB2312"/>
          <w:sz w:val="30"/>
          <w:szCs w:val="30"/>
          <w:lang w:eastAsia="zh-CN"/>
        </w:rPr>
        <w:t>签</w:t>
      </w:r>
      <w:r>
        <w:rPr>
          <w:rFonts w:hint="eastAsia" w:ascii="仿宋_GB2312" w:hAnsi="仿宋_GB2312" w:eastAsia="仿宋_GB2312" w:cs="仿宋_GB2312"/>
          <w:sz w:val="30"/>
          <w:szCs w:val="30"/>
        </w:rPr>
        <w:t>订、班主任与家长签订安全责任书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其次，根据不同季节、不同环境加强师生的安全教育工作，利用集队、升旗仪式、大队活动、课间操、最后一节课留2—3分钟讲安全等教育活动，召开家长会，加大安全工作的宣传教育力度，让学生及学生家长配合好学校搞好安全教育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第三，学校根据实际情况，制定安全防范措施，加强学校各种设备的排查与管理，牢固树立安全工作无小事的思想，做到警钟长鸣，常抓不懈；</w:t>
      </w:r>
      <w:r>
        <w:rPr>
          <w:rFonts w:hint="eastAsia" w:ascii="仿宋_GB2312" w:hAnsi="仿宋_GB2312" w:eastAsia="仿宋_GB2312" w:cs="仿宋_GB2312"/>
          <w:sz w:val="30"/>
          <w:szCs w:val="30"/>
          <w:lang w:eastAsia="zh-CN"/>
        </w:rPr>
        <w:t>第四，</w:t>
      </w:r>
      <w:r>
        <w:rPr>
          <w:rFonts w:hint="eastAsia" w:ascii="仿宋_GB2312" w:hAnsi="仿宋_GB2312" w:eastAsia="仿宋_GB2312" w:cs="仿宋_GB2312"/>
          <w:sz w:val="30"/>
          <w:szCs w:val="30"/>
        </w:rPr>
        <w:t>实施“五个一”工程。</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、召开一次学校安全工作大会，邀请法制副校长、中心校挂钩教师、职能部门、分管领导参加；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、进行一次安全大排查；</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、致学生家长一封安全书信；</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、组织一次安全知识大宣传；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、组织一次全校性 “三生”教育。</w:t>
      </w:r>
    </w:p>
    <w:p>
      <w:pPr>
        <w:keepNext w:val="0"/>
        <w:keepLines w:val="0"/>
        <w:pageBreakBefore w:val="0"/>
        <w:kinsoku/>
        <w:wordWrap/>
        <w:overflowPunct/>
        <w:topLinePunct w:val="0"/>
        <w:autoSpaceDE/>
        <w:autoSpaceDN/>
        <w:bidi w:val="0"/>
        <w:adjustRightInd/>
        <w:snapToGrid/>
        <w:ind w:firstLine="602" w:firstLineChars="200"/>
        <w:jc w:val="both"/>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5</w:t>
      </w:r>
      <w:r>
        <w:rPr>
          <w:rFonts w:hint="eastAsia" w:ascii="仿宋_GB2312" w:hAnsi="仿宋_GB2312" w:eastAsia="仿宋_GB2312" w:cs="仿宋_GB2312"/>
          <w:b/>
          <w:sz w:val="30"/>
          <w:szCs w:val="30"/>
        </w:rPr>
        <w:t>、以教育科研引领学校内涵发展</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教育科研工作是学校的中心工作，教学质量是学校发展的生命线，夯实教学常规工作是提</w:t>
      </w:r>
      <w:r>
        <w:rPr>
          <w:rFonts w:hint="eastAsia" w:ascii="仿宋_GB2312" w:hAnsi="仿宋_GB2312" w:eastAsia="仿宋_GB2312" w:cs="仿宋_GB2312"/>
          <w:sz w:val="30"/>
          <w:szCs w:val="30"/>
          <w:lang w:eastAsia="zh-CN"/>
        </w:rPr>
        <w:t>升</w:t>
      </w:r>
      <w:r>
        <w:rPr>
          <w:rFonts w:hint="eastAsia" w:ascii="仿宋_GB2312" w:hAnsi="仿宋_GB2312" w:eastAsia="仿宋_GB2312" w:cs="仿宋_GB2312"/>
          <w:sz w:val="30"/>
          <w:szCs w:val="30"/>
        </w:rPr>
        <w:t>教育教学质量重要保证</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一是加强教学常规的检查力度，每学期由教科室牵头组成检查组，对全乡所有学校常规进行学期初指导、学期中督查、学期末考核，学期末的考核纳入绩效考核中；二是实行中心校成员挂钩制度，中心校成员力争每星期一下午到自己的挂钩学校参加政治业务学习，并对挂钩学校各方面的工作进行督查、帮扶，对存在的问题及时整改；三是坚持校本教研活动，积极组织全体教师投入到教学改革课题研究活动，开展多层次的教师培训、交流、研讨活动，有步骤地提高我乡小学教师队伍的教学业务水平；四是加强功能室的常规管理，充分发挥功能室应有的效益；五是开展以“我出彩</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我提高”为主题的校本论坛活动。</w:t>
      </w:r>
    </w:p>
    <w:p>
      <w:pPr>
        <w:keepNext w:val="0"/>
        <w:keepLines w:val="0"/>
        <w:pageBreakBefore w:val="0"/>
        <w:kinsoku/>
        <w:wordWrap/>
        <w:overflowPunct/>
        <w:topLinePunct w:val="0"/>
        <w:autoSpaceDE/>
        <w:autoSpaceDN/>
        <w:bidi w:val="0"/>
        <w:adjustRightInd/>
        <w:snapToGrid/>
        <w:ind w:firstLine="602" w:firstLineChars="200"/>
        <w:jc w:val="both"/>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6</w:t>
      </w:r>
      <w:r>
        <w:rPr>
          <w:rFonts w:hint="eastAsia" w:ascii="仿宋_GB2312" w:hAnsi="仿宋_GB2312" w:eastAsia="仿宋_GB2312" w:cs="仿宋_GB2312"/>
          <w:b/>
          <w:sz w:val="30"/>
          <w:szCs w:val="30"/>
        </w:rPr>
        <w:t>、以财务引领学校高效运行</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本学年经费主要用于学校均衡发展投入，侧重于改善学校办学条件和促进学校内涵发展。</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、改善学校办学条件，促进学校均衡发展。</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、着力打造校园文化建设，创建学校办学特色。</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、继续加大教师培训投入</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、合理提高教师福利待遇。</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w:hAnsi="仿宋" w:eastAsia="仿宋" w:cs="仿宋"/>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 xml:space="preserve">、中心小学勤工俭学初显成效。 </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102</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102</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104</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104</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36</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36</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盈江县新城乡中心学校</w:t>
      </w:r>
      <w:r>
        <w:rPr>
          <w:rFonts w:eastAsia="仿宋_GB2312"/>
          <w:kern w:val="0"/>
          <w:sz w:val="30"/>
          <w:szCs w:val="30"/>
        </w:rPr>
        <w:t>财务总收入</w:t>
      </w:r>
      <w:r>
        <w:rPr>
          <w:rFonts w:hint="eastAsia" w:eastAsia="仿宋_GB2312"/>
          <w:kern w:val="0"/>
          <w:sz w:val="30"/>
          <w:szCs w:val="30"/>
          <w:lang w:val="en-US" w:eastAsia="zh-CN"/>
        </w:rPr>
        <w:t>1194.76</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1194.76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1194.76</w:t>
      </w:r>
      <w:r>
        <w:rPr>
          <w:rFonts w:eastAsia="仿宋_GB2312"/>
          <w:kern w:val="0"/>
          <w:sz w:val="30"/>
          <w:szCs w:val="30"/>
        </w:rPr>
        <w:t>万元，其中:本年收入</w:t>
      </w:r>
      <w:r>
        <w:rPr>
          <w:rFonts w:hint="eastAsia" w:eastAsia="仿宋_GB2312"/>
          <w:kern w:val="0"/>
          <w:sz w:val="30"/>
          <w:szCs w:val="30"/>
          <w:lang w:val="en-US" w:eastAsia="zh-CN"/>
        </w:rPr>
        <w:t>1194.76</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1194.76</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1194.76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1194.76</w:t>
      </w:r>
      <w:r>
        <w:rPr>
          <w:rFonts w:eastAsia="仿宋_GB2312"/>
          <w:kern w:val="0"/>
          <w:sz w:val="30"/>
          <w:szCs w:val="30"/>
        </w:rPr>
        <w:t>万元，其中，基本支出</w:t>
      </w:r>
      <w:r>
        <w:rPr>
          <w:rFonts w:hint="eastAsia" w:eastAsia="仿宋_GB2312"/>
          <w:kern w:val="0"/>
          <w:sz w:val="30"/>
          <w:szCs w:val="30"/>
          <w:lang w:val="en-US" w:eastAsia="zh-CN"/>
        </w:rPr>
        <w:t>1194.76</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教育支出-普通教育-小学教育905.38万元，主要用于工资福利支出和日常学校运行运转。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“2080502”社会保障和就业支出-行政事业单位离退休-事业单位离退休2.16万元，主要用于离退休人员公用经费支出。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事业单位基本养老保险缴费支出171.47万元，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115.75</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333333"/>
          <w:sz w:val="30"/>
          <w:szCs w:val="30"/>
          <w:shd w:val="clear" w:color="040000" w:fill="FFFFFF"/>
          <w:lang w:val="en-US" w:eastAsia="zh-CN"/>
        </w:rPr>
        <w:t>2050202小学教育905.38万元，其中:基本支出905.38万元，主要用于301工资福利支出895.10万元，302商品和服务支出6.32万元，303对个人和家庭的补助3.96万元；项目支出0万元。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2080502事业单位离退休2.16万元，其中:基本支出2.16万元，主要用于302商品和服务支出2.16万元；项目支出0万元。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2080505机关事业单位基本养老保险缴费支出171.47万元，其中:基本支出171.47万元，主要用于301工资和福利支出171.47万元；项目支出0万元。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2210201住房公积金115.75万元，其中:基本支出115.75万元，主要用于301工资和福利支出115.75万元；项目支出0万元。</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新城乡中心学校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3.70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1.50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2.20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2.20</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3.70</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1.50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1.50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2.20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2.20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2.20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2019年部门预算收入1194.76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1130.79万元</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lang w:val="en-US" w:eastAsia="zh-CN"/>
        </w:rPr>
        <w:t>63.97万元，增加5.66%。增加原因：调增人员工资。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新城乡中心学校无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 xml:space="preserve">    2019</w:t>
      </w:r>
      <w:r>
        <w:rPr>
          <w:rFonts w:eastAsia="仿宋_GB2312"/>
          <w:kern w:val="0"/>
          <w:sz w:val="30"/>
          <w:szCs w:val="30"/>
        </w:rPr>
        <w:t xml:space="preserve">年部门预算总支出 </w:t>
      </w:r>
      <w:r>
        <w:rPr>
          <w:rFonts w:hint="eastAsia" w:eastAsia="仿宋_GB2312"/>
          <w:kern w:val="0"/>
          <w:sz w:val="30"/>
          <w:szCs w:val="30"/>
          <w:lang w:val="en-US" w:eastAsia="zh-CN"/>
        </w:rPr>
        <w:t>1194.76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1194.76</w:t>
      </w:r>
      <w:r>
        <w:rPr>
          <w:rFonts w:eastAsia="仿宋_GB2312"/>
          <w:kern w:val="0"/>
          <w:sz w:val="30"/>
          <w:szCs w:val="30"/>
        </w:rPr>
        <w:t>万元，其中，基本支出</w:t>
      </w:r>
      <w:r>
        <w:rPr>
          <w:rFonts w:hint="eastAsia" w:eastAsia="仿宋_GB2312"/>
          <w:kern w:val="0"/>
          <w:sz w:val="30"/>
          <w:szCs w:val="30"/>
          <w:lang w:val="en-US" w:eastAsia="zh-CN"/>
        </w:rPr>
        <w:t>1194.76</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仿宋">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abstractNum w:abstractNumId="5">
    <w:nsid w:val="5CC00AF3"/>
    <w:multiLevelType w:val="singleLevel"/>
    <w:tmpl w:val="5CC00AF3"/>
    <w:lvl w:ilvl="0" w:tentative="0">
      <w:start w:val="3"/>
      <w:numFmt w:val="chineseCounting"/>
      <w:suff w:val="nothing"/>
      <w:lvlText w:val="（%1）"/>
      <w:lvlJc w:val="left"/>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037151"/>
    <w:rsid w:val="02450888"/>
    <w:rsid w:val="025737A0"/>
    <w:rsid w:val="03957B79"/>
    <w:rsid w:val="03CD50E7"/>
    <w:rsid w:val="03F0214E"/>
    <w:rsid w:val="04371950"/>
    <w:rsid w:val="04CF1775"/>
    <w:rsid w:val="051B6D2F"/>
    <w:rsid w:val="05616F12"/>
    <w:rsid w:val="061D49D6"/>
    <w:rsid w:val="06325B44"/>
    <w:rsid w:val="06E43398"/>
    <w:rsid w:val="080E486F"/>
    <w:rsid w:val="084A3CB5"/>
    <w:rsid w:val="095A14E9"/>
    <w:rsid w:val="095B78BB"/>
    <w:rsid w:val="0A50212C"/>
    <w:rsid w:val="0A853F71"/>
    <w:rsid w:val="0AB77A2F"/>
    <w:rsid w:val="0E2D7083"/>
    <w:rsid w:val="0EB44779"/>
    <w:rsid w:val="105A3BDF"/>
    <w:rsid w:val="11BE167F"/>
    <w:rsid w:val="133149DE"/>
    <w:rsid w:val="13F52A67"/>
    <w:rsid w:val="141F524A"/>
    <w:rsid w:val="14594CAF"/>
    <w:rsid w:val="16C85A74"/>
    <w:rsid w:val="17AF55A8"/>
    <w:rsid w:val="180042C1"/>
    <w:rsid w:val="18194B15"/>
    <w:rsid w:val="1A0B3DDD"/>
    <w:rsid w:val="1A685806"/>
    <w:rsid w:val="1B210A73"/>
    <w:rsid w:val="1C351B91"/>
    <w:rsid w:val="1EC75753"/>
    <w:rsid w:val="206C0510"/>
    <w:rsid w:val="207165AF"/>
    <w:rsid w:val="21B76D32"/>
    <w:rsid w:val="23293A4E"/>
    <w:rsid w:val="23C6578F"/>
    <w:rsid w:val="24235F1F"/>
    <w:rsid w:val="242E2599"/>
    <w:rsid w:val="26BF2FF3"/>
    <w:rsid w:val="27481C21"/>
    <w:rsid w:val="27E3128E"/>
    <w:rsid w:val="28D26D48"/>
    <w:rsid w:val="29360C03"/>
    <w:rsid w:val="29F4749C"/>
    <w:rsid w:val="2B696D85"/>
    <w:rsid w:val="2CB5623F"/>
    <w:rsid w:val="2D7B7E3A"/>
    <w:rsid w:val="2DA75286"/>
    <w:rsid w:val="2FD25EA1"/>
    <w:rsid w:val="30D85C38"/>
    <w:rsid w:val="33E37726"/>
    <w:rsid w:val="33F32766"/>
    <w:rsid w:val="369B6FF2"/>
    <w:rsid w:val="39466C4F"/>
    <w:rsid w:val="399E4FEB"/>
    <w:rsid w:val="39BF048F"/>
    <w:rsid w:val="3A8C77EA"/>
    <w:rsid w:val="3C661B1C"/>
    <w:rsid w:val="3C710FB0"/>
    <w:rsid w:val="3CC32D4E"/>
    <w:rsid w:val="3E87090B"/>
    <w:rsid w:val="3EC10CF4"/>
    <w:rsid w:val="3F1873CE"/>
    <w:rsid w:val="43131F13"/>
    <w:rsid w:val="43C35C3E"/>
    <w:rsid w:val="44A11F66"/>
    <w:rsid w:val="45166B3A"/>
    <w:rsid w:val="46D61E29"/>
    <w:rsid w:val="479E748D"/>
    <w:rsid w:val="48BA0E0E"/>
    <w:rsid w:val="4A940EA9"/>
    <w:rsid w:val="4BAC1DA5"/>
    <w:rsid w:val="4C2F5DC0"/>
    <w:rsid w:val="4D4C47B2"/>
    <w:rsid w:val="4E1878C9"/>
    <w:rsid w:val="4F462F65"/>
    <w:rsid w:val="4FC334A8"/>
    <w:rsid w:val="50F26431"/>
    <w:rsid w:val="515A348C"/>
    <w:rsid w:val="5234183A"/>
    <w:rsid w:val="529676E0"/>
    <w:rsid w:val="536B05CE"/>
    <w:rsid w:val="549726A9"/>
    <w:rsid w:val="564C72BA"/>
    <w:rsid w:val="56EE36C3"/>
    <w:rsid w:val="57CB4CD7"/>
    <w:rsid w:val="5825432A"/>
    <w:rsid w:val="58310B0B"/>
    <w:rsid w:val="5A3D03E4"/>
    <w:rsid w:val="5AB4032D"/>
    <w:rsid w:val="5C8104C1"/>
    <w:rsid w:val="5D5C2A87"/>
    <w:rsid w:val="5DDB63FE"/>
    <w:rsid w:val="5E7D384C"/>
    <w:rsid w:val="60FC0FA4"/>
    <w:rsid w:val="644363A8"/>
    <w:rsid w:val="64CA6136"/>
    <w:rsid w:val="64DA0AF6"/>
    <w:rsid w:val="65756AF5"/>
    <w:rsid w:val="65E20823"/>
    <w:rsid w:val="66447E71"/>
    <w:rsid w:val="66B0209E"/>
    <w:rsid w:val="67D95CA6"/>
    <w:rsid w:val="67DD5DBE"/>
    <w:rsid w:val="68083500"/>
    <w:rsid w:val="68C77134"/>
    <w:rsid w:val="68E558F8"/>
    <w:rsid w:val="69E45D9D"/>
    <w:rsid w:val="6A814E1E"/>
    <w:rsid w:val="6A8C3BB7"/>
    <w:rsid w:val="6B1322EA"/>
    <w:rsid w:val="6CAC668F"/>
    <w:rsid w:val="6DA47EEE"/>
    <w:rsid w:val="6FCD3E36"/>
    <w:rsid w:val="70143124"/>
    <w:rsid w:val="724A4A01"/>
    <w:rsid w:val="72CF78AB"/>
    <w:rsid w:val="72F37DB5"/>
    <w:rsid w:val="75065F9F"/>
    <w:rsid w:val="75E9503F"/>
    <w:rsid w:val="75F37398"/>
    <w:rsid w:val="76AB250E"/>
    <w:rsid w:val="76C22F3D"/>
    <w:rsid w:val="7779331C"/>
    <w:rsid w:val="778074AD"/>
    <w:rsid w:val="77846E3D"/>
    <w:rsid w:val="77D46EE6"/>
    <w:rsid w:val="783D31F1"/>
    <w:rsid w:val="79910928"/>
    <w:rsid w:val="7B1E5394"/>
    <w:rsid w:val="7CC5101A"/>
    <w:rsid w:val="7D6F7FCF"/>
    <w:rsid w:val="7E39766E"/>
    <w:rsid w:val="7E9E748B"/>
    <w:rsid w:val="7F661CB9"/>
    <w:rsid w:val="7FED7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 w:type="paragraph" w:customStyle="1" w:styleId="15">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7</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2019-04-29T10:00:36Z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