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简体" w:eastAsia="方正小标宋简体"/>
          <w:sz w:val="36"/>
          <w:szCs w:val="36"/>
        </w:rPr>
      </w:pPr>
      <w:r>
        <w:rPr>
          <w:rFonts w:hint="eastAsia" w:ascii="方正小标宋简体" w:hAnsi="方正小标宋简体" w:eastAsia="方正小标宋简体" w:cs="方正小标宋简体"/>
          <w:sz w:val="36"/>
          <w:szCs w:val="36"/>
          <w:lang w:eastAsia="zh-CN"/>
        </w:rPr>
        <w:t>盈江县油松岭乡中学</w:t>
      </w:r>
      <w:r>
        <w:rPr>
          <w:rFonts w:hint="eastAsia" w:ascii="方正小标宋简体" w:hAnsi="方正小标宋简体" w:eastAsia="方正小标宋简体" w:cs="方正小标宋简体"/>
          <w:sz w:val="36"/>
          <w:szCs w:val="36"/>
          <w:lang w:val="en-US" w:eastAsia="zh-CN"/>
        </w:rPr>
        <w:t>2019</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sz w:val="36"/>
          <w:szCs w:val="36"/>
          <w:lang w:eastAsia="zh-CN"/>
        </w:rPr>
        <w:t>部门</w:t>
      </w:r>
      <w:r>
        <w:rPr>
          <w:rFonts w:hint="eastAsia" w:ascii="方正小标宋简体" w:hAnsi="方正小标宋简体" w:eastAsia="方正小标宋简体" w:cs="方正小标宋简体"/>
          <w:sz w:val="36"/>
          <w:szCs w:val="36"/>
        </w:rPr>
        <w:t>预算</w:t>
      </w:r>
      <w:r>
        <w:rPr>
          <w:rFonts w:hint="eastAsia" w:ascii="方正小标宋简体" w:hAnsi="方正小标宋简体" w:eastAsia="方正小标宋简体" w:cs="方正小标宋简体"/>
          <w:sz w:val="36"/>
          <w:szCs w:val="36"/>
          <w:lang w:eastAsia="zh-CN"/>
        </w:rPr>
        <w:t>公开</w:t>
      </w:r>
      <w:r>
        <w:rPr>
          <w:rFonts w:hint="eastAsia" w:ascii="方正小标宋简体" w:eastAsia="方正小标宋简体"/>
          <w:sz w:val="36"/>
          <w:szCs w:val="36"/>
        </w:rPr>
        <w:t>目录</w:t>
      </w:r>
    </w:p>
    <w:p>
      <w:pPr>
        <w:jc w:val="left"/>
        <w:rPr>
          <w:rFonts w:hint="eastAsia" w:ascii="黑体" w:hAnsi="黑体" w:eastAsia="黑体"/>
          <w:sz w:val="30"/>
          <w:szCs w:val="30"/>
        </w:rPr>
      </w:pPr>
    </w:p>
    <w:p>
      <w:pPr>
        <w:jc w:val="left"/>
        <w:rPr>
          <w:rFonts w:hint="eastAsia" w:ascii="黑体" w:hAnsi="黑体" w:eastAsia="黑体"/>
          <w:sz w:val="30"/>
          <w:szCs w:val="30"/>
        </w:rPr>
      </w:pPr>
      <w:r>
        <w:rPr>
          <w:rFonts w:hint="eastAsia" w:ascii="黑体" w:hAnsi="黑体" w:eastAsia="黑体"/>
          <w:sz w:val="30"/>
          <w:szCs w:val="30"/>
        </w:rPr>
        <w:t>第一部分</w:t>
      </w:r>
      <w:r>
        <w:rPr>
          <w:rFonts w:hint="eastAsia" w:ascii="黑体" w:hAnsi="黑体" w:eastAsia="黑体"/>
          <w:sz w:val="30"/>
          <w:szCs w:val="30"/>
          <w:lang w:eastAsia="zh-CN"/>
        </w:rPr>
        <w:t>盈江县油松岭乡中学</w:t>
      </w:r>
      <w:r>
        <w:rPr>
          <w:rFonts w:hint="eastAsia" w:ascii="黑体" w:hAnsi="黑体" w:eastAsia="黑体"/>
          <w:sz w:val="30"/>
          <w:szCs w:val="30"/>
          <w:lang w:val="en-US" w:eastAsia="zh-CN"/>
        </w:rPr>
        <w:t>2019</w:t>
      </w:r>
      <w:r>
        <w:rPr>
          <w:rFonts w:hint="eastAsia" w:ascii="黑体" w:hAnsi="黑体" w:eastAsia="黑体"/>
          <w:sz w:val="30"/>
          <w:szCs w:val="30"/>
        </w:rPr>
        <w:t>年部门预算编制说明</w:t>
      </w:r>
    </w:p>
    <w:p>
      <w:pPr>
        <w:jc w:val="left"/>
        <w:rPr>
          <w:rFonts w:hint="eastAsia" w:ascii="黑体" w:hAnsi="黑体" w:eastAsia="黑体"/>
          <w:sz w:val="30"/>
          <w:szCs w:val="30"/>
        </w:rPr>
      </w:pPr>
      <w:r>
        <w:rPr>
          <w:rFonts w:hint="eastAsia" w:ascii="黑体" w:hAnsi="黑体" w:eastAsia="黑体"/>
          <w:sz w:val="30"/>
          <w:szCs w:val="30"/>
        </w:rPr>
        <w:t xml:space="preserve">第二部分 </w:t>
      </w:r>
      <w:r>
        <w:rPr>
          <w:rFonts w:hint="eastAsia" w:ascii="黑体" w:hAnsi="黑体" w:eastAsia="黑体"/>
          <w:sz w:val="30"/>
          <w:szCs w:val="30"/>
          <w:lang w:eastAsia="zh-CN"/>
        </w:rPr>
        <w:t>盈江县油松岭乡中学</w:t>
      </w:r>
      <w:r>
        <w:rPr>
          <w:rFonts w:hint="eastAsia" w:ascii="黑体" w:hAnsi="黑体" w:eastAsia="黑体"/>
          <w:sz w:val="30"/>
          <w:szCs w:val="30"/>
          <w:lang w:val="en-US" w:eastAsia="zh-CN"/>
        </w:rPr>
        <w:t>2019</w:t>
      </w:r>
      <w:r>
        <w:rPr>
          <w:rFonts w:hint="eastAsia" w:ascii="黑体" w:hAnsi="黑体" w:eastAsia="黑体"/>
          <w:sz w:val="30"/>
          <w:szCs w:val="30"/>
        </w:rPr>
        <w:t>年部门预算表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一、部门财务收支总体情况表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二、部门收入总体情况表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三、部门支出总体情况表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四、部门财政拨款收支总体情况表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五、部门一般公共预算本级财力安排支出情况表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六、部门基本支出情况表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七、部门政府性基金预算支出情况表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八、财政拨款支出明细表（按经济科目分类）</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九、部门一般公共预算“三公”经费支出情况表</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本级项目支出绩效目标表（本次下达）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十一、</w:t>
      </w:r>
      <w:r>
        <w:rPr>
          <w:rFonts w:hint="eastAsia" w:eastAsia="仿宋_GB2312"/>
          <w:sz w:val="30"/>
          <w:szCs w:val="30"/>
          <w:lang w:eastAsia="zh-CN"/>
        </w:rPr>
        <w:t>县</w:t>
      </w:r>
      <w:r>
        <w:rPr>
          <w:rFonts w:hint="eastAsia" w:ascii="Times New Roman" w:hAnsi="Times New Roman" w:eastAsia="仿宋_GB2312"/>
          <w:sz w:val="30"/>
          <w:szCs w:val="30"/>
        </w:rPr>
        <w:t>本级项目支出绩效目标表（另文下达）</w:t>
      </w:r>
    </w:p>
    <w:p>
      <w:pPr>
        <w:jc w:val="left"/>
        <w:rPr>
          <w:rFonts w:hint="eastAsia" w:ascii="Times New Roman" w:hAnsi="Times New Roman" w:eastAsia="仿宋_GB2312"/>
          <w:sz w:val="30"/>
          <w:szCs w:val="30"/>
        </w:rPr>
      </w:pPr>
      <w:r>
        <w:rPr>
          <w:rFonts w:hint="eastAsia" w:ascii="Times New Roman" w:hAnsi="Times New Roman" w:eastAsia="仿宋_GB2312"/>
          <w:sz w:val="30"/>
          <w:szCs w:val="30"/>
        </w:rPr>
        <w:t>十二、</w:t>
      </w:r>
      <w:r>
        <w:rPr>
          <w:rFonts w:hint="eastAsia" w:eastAsia="仿宋_GB2312"/>
          <w:sz w:val="30"/>
          <w:szCs w:val="30"/>
          <w:lang w:eastAsia="zh-CN"/>
        </w:rPr>
        <w:t>县</w:t>
      </w:r>
      <w:r>
        <w:rPr>
          <w:rFonts w:hint="eastAsia" w:ascii="Times New Roman" w:hAnsi="Times New Roman" w:eastAsia="仿宋_GB2312"/>
          <w:sz w:val="30"/>
          <w:szCs w:val="30"/>
        </w:rPr>
        <w:t>对下转移支付绩效目标表</w:t>
      </w:r>
    </w:p>
    <w:p>
      <w:pPr>
        <w:jc w:val="left"/>
        <w:rPr>
          <w:rFonts w:ascii="Times New Roman" w:hAnsi="Times New Roman" w:eastAsia="仿宋_GB2312"/>
          <w:sz w:val="30"/>
          <w:szCs w:val="30"/>
        </w:rPr>
      </w:pPr>
      <w:r>
        <w:rPr>
          <w:rFonts w:hint="eastAsia" w:ascii="Times New Roman" w:hAnsi="Times New Roman" w:eastAsia="仿宋_GB2312"/>
          <w:sz w:val="30"/>
          <w:szCs w:val="30"/>
        </w:rPr>
        <w:t>十三、部门政府采购情况表</w:t>
      </w:r>
    </w:p>
    <w:p>
      <w:pPr>
        <w:jc w:val="left"/>
        <w:rPr>
          <w:rFonts w:ascii="Times New Roman" w:hAnsi="Times New Roman" w:eastAsia="仿宋_GB2312"/>
          <w:sz w:val="30"/>
          <w:szCs w:val="30"/>
        </w:rPr>
      </w:pPr>
    </w:p>
    <w:p>
      <w:pPr>
        <w:widowControl/>
        <w:jc w:val="center"/>
        <w:rPr>
          <w:rFonts w:ascii="方正小标宋简体" w:eastAsia="方正小标宋简体"/>
          <w:kern w:val="0"/>
          <w:sz w:val="36"/>
          <w:szCs w:val="36"/>
        </w:rPr>
      </w:pPr>
      <w:r>
        <w:rPr>
          <w:rFonts w:hint="eastAsia" w:ascii="方正小标宋简体" w:eastAsia="方正小标宋简体"/>
          <w:kern w:val="0"/>
          <w:sz w:val="36"/>
          <w:szCs w:val="36"/>
          <w:lang w:eastAsia="zh-CN"/>
        </w:rPr>
        <w:t>盈江县</w:t>
      </w:r>
      <w:r>
        <w:rPr>
          <w:rFonts w:hint="eastAsia" w:ascii="黑体" w:hAnsi="黑体" w:eastAsia="黑体"/>
          <w:sz w:val="36"/>
          <w:szCs w:val="36"/>
          <w:lang w:eastAsia="zh-CN"/>
        </w:rPr>
        <w:t>油松岭乡中学</w:t>
      </w:r>
      <w:r>
        <w:rPr>
          <w:rFonts w:hint="eastAsia" w:ascii="方正小标宋简体" w:eastAsia="方正小标宋简体"/>
          <w:kern w:val="0"/>
          <w:sz w:val="36"/>
          <w:szCs w:val="36"/>
          <w:lang w:val="en-US" w:eastAsia="zh-CN"/>
        </w:rPr>
        <w:t>2019</w:t>
      </w:r>
      <w:r>
        <w:rPr>
          <w:rFonts w:hint="eastAsia" w:ascii="方正小标宋简体" w:eastAsia="方正小标宋简体"/>
          <w:kern w:val="0"/>
          <w:sz w:val="36"/>
          <w:szCs w:val="36"/>
        </w:rPr>
        <w:t>年部门预算编制说明</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hint="eastAsia" w:ascii="仿宋_GB2312" w:hAnsi="仿宋_GB2312" w:eastAsia="仿宋_GB2312" w:cs="仿宋_GB2312"/>
          <w:b w:val="0"/>
          <w:bCs w:val="0"/>
          <w:kern w:val="0"/>
          <w:sz w:val="30"/>
          <w:szCs w:val="30"/>
        </w:rPr>
        <w:t>根据《</w:t>
      </w:r>
      <w:r>
        <w:rPr>
          <w:rFonts w:hint="eastAsia" w:ascii="仿宋_GB2312" w:hAnsi="仿宋_GB2312" w:eastAsia="仿宋_GB2312" w:cs="仿宋_GB2312"/>
          <w:b w:val="0"/>
          <w:bCs w:val="0"/>
          <w:kern w:val="0"/>
          <w:sz w:val="30"/>
          <w:szCs w:val="30"/>
          <w:lang w:eastAsia="zh-CN"/>
        </w:rPr>
        <w:t>盈江县财政局</w:t>
      </w:r>
      <w:r>
        <w:rPr>
          <w:rFonts w:hint="eastAsia" w:ascii="仿宋_GB2312" w:hAnsi="仿宋_GB2312" w:eastAsia="仿宋_GB2312" w:cs="仿宋_GB2312"/>
          <w:b w:val="0"/>
          <w:bCs w:val="0"/>
          <w:kern w:val="0"/>
          <w:sz w:val="30"/>
          <w:szCs w:val="30"/>
        </w:rPr>
        <w:t>关于</w:t>
      </w:r>
      <w:r>
        <w:rPr>
          <w:rFonts w:hint="eastAsia" w:ascii="仿宋_GB2312" w:hAnsi="仿宋_GB2312" w:eastAsia="仿宋_GB2312" w:cs="仿宋_GB2312"/>
          <w:b w:val="0"/>
          <w:bCs w:val="0"/>
          <w:kern w:val="0"/>
          <w:sz w:val="30"/>
          <w:szCs w:val="30"/>
          <w:lang w:eastAsia="zh-CN"/>
        </w:rPr>
        <w:t>盈江县油松岭乡中学</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年部门预算的批复》（</w:t>
      </w:r>
      <w:r>
        <w:rPr>
          <w:rFonts w:hint="eastAsia" w:ascii="仿宋_GB2312" w:hAnsi="仿宋_GB2312" w:eastAsia="仿宋_GB2312" w:cs="仿宋_GB2312"/>
          <w:b w:val="0"/>
          <w:bCs w:val="0"/>
          <w:kern w:val="0"/>
          <w:sz w:val="30"/>
          <w:szCs w:val="30"/>
          <w:lang w:eastAsia="zh-CN"/>
        </w:rPr>
        <w:t>盈财预分指</w:t>
      </w:r>
      <w:r>
        <w:rPr>
          <w:rFonts w:hint="eastAsia" w:ascii="仿宋_GB2312" w:hAnsi="仿宋_GB2312" w:eastAsia="仿宋_GB2312" w:cs="仿宋_GB2312"/>
          <w:b w:val="0"/>
          <w:bCs w:val="0"/>
          <w:kern w:val="0"/>
          <w:sz w:val="30"/>
          <w:szCs w:val="30"/>
        </w:rPr>
        <w:t>〔201</w:t>
      </w:r>
      <w:r>
        <w:rPr>
          <w:rFonts w:hint="eastAsia" w:ascii="仿宋_GB2312" w:hAnsi="仿宋_GB2312" w:eastAsia="仿宋_GB2312" w:cs="仿宋_GB2312"/>
          <w:b w:val="0"/>
          <w:bCs w:val="0"/>
          <w:kern w:val="0"/>
          <w:sz w:val="30"/>
          <w:szCs w:val="30"/>
          <w:lang w:val="en-US" w:eastAsia="zh-CN"/>
        </w:rPr>
        <w:t>9</w:t>
      </w:r>
      <w:r>
        <w:rPr>
          <w:rFonts w:hint="eastAsia" w:ascii="仿宋_GB2312" w:hAnsi="仿宋_GB2312" w:eastAsia="仿宋_GB2312" w:cs="仿宋_GB2312"/>
          <w:b w:val="0"/>
          <w:bCs w:val="0"/>
          <w:kern w:val="0"/>
          <w:sz w:val="30"/>
          <w:szCs w:val="30"/>
        </w:rPr>
        <w:t>〕</w:t>
      </w:r>
      <w:r>
        <w:rPr>
          <w:rFonts w:hint="eastAsia" w:ascii="仿宋_GB2312" w:hAnsi="仿宋_GB2312" w:eastAsia="仿宋_GB2312" w:cs="仿宋_GB2312"/>
          <w:b w:val="0"/>
          <w:bCs w:val="0"/>
          <w:kern w:val="0"/>
          <w:sz w:val="30"/>
          <w:szCs w:val="30"/>
          <w:lang w:val="en-US" w:eastAsia="zh-CN"/>
        </w:rPr>
        <w:t>17</w:t>
      </w:r>
      <w:r>
        <w:rPr>
          <w:rFonts w:hint="eastAsia" w:ascii="仿宋_GB2312" w:hAnsi="仿宋_GB2312" w:eastAsia="仿宋_GB2312" w:cs="仿宋_GB2312"/>
          <w:b w:val="0"/>
          <w:bCs w:val="0"/>
          <w:kern w:val="0"/>
          <w:sz w:val="30"/>
          <w:szCs w:val="30"/>
        </w:rPr>
        <w:t>号），按照预算管理的相关规定，</w:t>
      </w:r>
      <w:r>
        <w:rPr>
          <w:rFonts w:hint="eastAsia" w:ascii="仿宋_GB2312" w:hAnsi="仿宋_GB2312" w:eastAsia="仿宋_GB2312" w:cs="仿宋_GB2312"/>
          <w:b w:val="0"/>
          <w:bCs w:val="0"/>
          <w:kern w:val="0"/>
          <w:sz w:val="30"/>
          <w:szCs w:val="30"/>
          <w:lang w:eastAsia="zh-CN"/>
        </w:rPr>
        <w:t>盈江县油松岭乡中学</w:t>
      </w:r>
      <w:r>
        <w:rPr>
          <w:rFonts w:hint="eastAsia" w:ascii="仿宋_GB2312" w:hAnsi="仿宋_GB2312" w:eastAsia="仿宋_GB2312" w:cs="仿宋_GB2312"/>
          <w:b w:val="0"/>
          <w:bCs w:val="0"/>
          <w:kern w:val="0"/>
          <w:sz w:val="30"/>
          <w:szCs w:val="30"/>
        </w:rPr>
        <w:t>部门预算编制实行全口径预算管理，收入和支出全部纳入预算管理。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一、基本职能及主要工作</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kern w:val="0"/>
          <w:sz w:val="30"/>
          <w:szCs w:val="30"/>
        </w:rPr>
      </w:pPr>
      <w:r>
        <w:rPr>
          <w:rFonts w:hint="eastAsia" w:ascii="楷体_GB2312" w:eastAsia="楷体_GB2312"/>
          <w:kern w:val="0"/>
          <w:sz w:val="30"/>
          <w:szCs w:val="30"/>
        </w:rPr>
        <w:t>（一）</w:t>
      </w:r>
      <w:r>
        <w:rPr>
          <w:rFonts w:hint="eastAsia" w:ascii="仿宋_GB2312" w:hAnsi="仿宋_GB2312" w:eastAsia="仿宋_GB2312" w:cs="仿宋_GB2312"/>
          <w:kern w:val="0"/>
          <w:sz w:val="30"/>
          <w:szCs w:val="30"/>
        </w:rPr>
        <w:t>部门主要职责</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根据盈发（2012）21号文件《贯彻国家和云南省中长期教育改革和发展规划纲要的实施意见》规定，主要职能是：全面推进素质教育，大力发展学前教育，巩固提高义务教育发展水平，稳步发展高中教育，加快发展职业教育和成人继续教育，推进</w:t>
      </w:r>
      <w:r>
        <w:rPr>
          <w:rFonts w:hint="eastAsia" w:ascii="仿宋_GB2312" w:hAnsi="仿宋_GB2312" w:eastAsia="仿宋_GB2312" w:cs="仿宋_GB2312"/>
          <w:kern w:val="0"/>
          <w:sz w:val="30"/>
          <w:szCs w:val="30"/>
          <w:lang w:eastAsia="zh-CN"/>
        </w:rPr>
        <w:t>特殊教育</w:t>
      </w:r>
      <w:r>
        <w:rPr>
          <w:rFonts w:hint="eastAsia" w:ascii="仿宋_GB2312" w:hAnsi="仿宋_GB2312" w:eastAsia="仿宋_GB2312" w:cs="仿宋_GB2312"/>
          <w:kern w:val="0"/>
          <w:sz w:val="30"/>
          <w:szCs w:val="30"/>
        </w:rPr>
        <w:t>发展，高度重视民族教育，规范发展民办教育，加强教育合作与交流。</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楷体_GB2312" w:eastAsia="楷体_GB2312"/>
          <w:kern w:val="0"/>
          <w:sz w:val="30"/>
          <w:szCs w:val="30"/>
        </w:rPr>
        <w:t>（二）</w:t>
      </w:r>
      <w:r>
        <w:rPr>
          <w:rFonts w:hint="eastAsia" w:ascii="仿宋_GB2312" w:hAnsi="仿宋_GB2312" w:eastAsia="仿宋_GB2312" w:cs="仿宋_GB2312"/>
          <w:kern w:val="0"/>
          <w:sz w:val="30"/>
          <w:szCs w:val="30"/>
        </w:rPr>
        <w:t>机构设置情况</w:t>
      </w:r>
    </w:p>
    <w:p>
      <w:pPr>
        <w:pStyle w:val="13"/>
        <w:keepNext w:val="0"/>
        <w:keepLines w:val="0"/>
        <w:pageBreakBefore w:val="0"/>
        <w:widowControl/>
        <w:numPr>
          <w:ilvl w:val="0"/>
          <w:numId w:val="0"/>
        </w:numPr>
        <w:kinsoku/>
        <w:wordWrap/>
        <w:overflowPunct/>
        <w:topLinePunct w:val="0"/>
        <w:autoSpaceDE/>
        <w:autoSpaceDN/>
        <w:bidi w:val="0"/>
        <w:adjustRightInd/>
        <w:snapToGrid/>
        <w:spacing w:line="480" w:lineRule="auto"/>
        <w:ind w:firstLine="600" w:firstLineChars="200"/>
        <w:jc w:val="both"/>
        <w:textAlignment w:val="auto"/>
        <w:outlineLvl w:val="9"/>
        <w:rPr>
          <w:rFonts w:hint="eastAsia" w:ascii="仿宋_GB2312" w:hAnsi="仿宋_GB2312" w:eastAsia="仿宋_GB2312" w:cs="仿宋_GB2312"/>
          <w:color w:val="333333"/>
          <w:sz w:val="30"/>
          <w:szCs w:val="30"/>
          <w:lang w:val="en-US" w:eastAsia="zh-CN"/>
        </w:rPr>
      </w:pPr>
      <w:r>
        <w:rPr>
          <w:rFonts w:hint="eastAsia" w:ascii="仿宋_GB2312" w:hAnsi="仿宋_GB2312" w:eastAsia="仿宋_GB2312" w:cs="仿宋_GB2312"/>
          <w:kern w:val="0"/>
          <w:sz w:val="30"/>
          <w:szCs w:val="30"/>
          <w:lang w:eastAsia="zh-CN"/>
        </w:rPr>
        <w:t>盈江县油松岭乡中学</w:t>
      </w:r>
      <w:r>
        <w:rPr>
          <w:rFonts w:hint="eastAsia" w:ascii="仿宋_GB2312" w:hAnsi="仿宋_GB2312" w:eastAsia="仿宋_GB2312" w:cs="仿宋_GB2312"/>
          <w:color w:val="333333"/>
          <w:sz w:val="30"/>
          <w:szCs w:val="30"/>
          <w:lang w:val="en-US" w:eastAsia="zh-CN"/>
        </w:rPr>
        <w:t>设置3个科室：办公室、教科室、总务室。</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b w:val="0"/>
          <w:bCs w:val="0"/>
          <w:kern w:val="0"/>
          <w:sz w:val="30"/>
          <w:szCs w:val="30"/>
        </w:rPr>
      </w:pPr>
      <w:r>
        <w:rPr>
          <w:rFonts w:ascii="楷体_GB2312" w:eastAsia="楷体_GB2312"/>
          <w:kern w:val="0"/>
          <w:sz w:val="30"/>
          <w:szCs w:val="30"/>
        </w:rPr>
        <w:t>（</w:t>
      </w:r>
      <w:r>
        <w:rPr>
          <w:rFonts w:hint="eastAsia" w:ascii="楷体_GB2312" w:eastAsia="楷体_GB2312"/>
          <w:kern w:val="0"/>
          <w:sz w:val="30"/>
          <w:szCs w:val="30"/>
        </w:rPr>
        <w:t>三</w:t>
      </w:r>
      <w:r>
        <w:rPr>
          <w:rFonts w:ascii="楷体_GB2312" w:eastAsia="楷体_GB2312"/>
          <w:kern w:val="0"/>
          <w:sz w:val="30"/>
          <w:szCs w:val="30"/>
        </w:rPr>
        <w:t>）</w:t>
      </w:r>
      <w:r>
        <w:rPr>
          <w:rFonts w:hint="eastAsia" w:ascii="仿宋_GB2312" w:hAnsi="仿宋_GB2312" w:eastAsia="仿宋_GB2312" w:cs="仿宋_GB2312"/>
          <w:b w:val="0"/>
          <w:bCs w:val="0"/>
          <w:kern w:val="0"/>
          <w:sz w:val="30"/>
          <w:szCs w:val="30"/>
        </w:rPr>
        <w:t>重点工作概述</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我校的总体目标是：以县教育局中长期教育改革和发展规划为指导，以现代化学校管理“五化建设”为重点，以落实“聚焦课堂五项制度”为抓手，狠抓六项工程建设的推进，努力实现六个提升的目标，竭尽全力办好人民满意的教育。</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1、建立健全各种制度、方案；</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2、认真贯彻落实中央“八项规定、八条禁令”；</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3、强化各种信息、简报、表册报送工作；</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4、认真组织好、开好各种会议；</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5、继续抓好广大教职工思想作风、学风、生活作风问题；</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6、建立学习型、服务型、高效组织，树立廉洁、勤政、务实、高效的良好教育形象。</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 w:hAnsi="仿宋" w:eastAsia="仿宋" w:cs="仿宋"/>
          <w:sz w:val="28"/>
          <w:szCs w:val="28"/>
        </w:rPr>
      </w:pPr>
      <w:r>
        <w:rPr>
          <w:rFonts w:hint="eastAsia" w:ascii="仿宋_GB2312" w:hAnsi="仿宋_GB2312" w:eastAsia="仿宋_GB2312" w:cs="仿宋_GB2312"/>
          <w:sz w:val="30"/>
          <w:szCs w:val="30"/>
          <w:lang w:val="en-US" w:eastAsia="zh-CN"/>
        </w:rPr>
        <w:t xml:space="preserve">  7</w:t>
      </w:r>
      <w:r>
        <w:rPr>
          <w:rFonts w:hint="eastAsia" w:ascii="仿宋_GB2312" w:hAnsi="仿宋_GB2312" w:eastAsia="仿宋_GB2312" w:cs="仿宋_GB2312"/>
          <w:sz w:val="30"/>
          <w:szCs w:val="30"/>
        </w:rPr>
        <w:t>、加强教师队伍建设。采取走出去，请进来，集中培训、校本培训、网络培训等，提高教师业务水平。加强师德师风建设，加强教师职业理想和职业道德教育，建立有效的师德建设监督机制，增强教师的责任感和使命感。</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二、预算单位基本情况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我</w:t>
      </w:r>
      <w:r>
        <w:rPr>
          <w:rFonts w:hint="eastAsia" w:ascii="仿宋_GB2312" w:hAnsi="仿宋_GB2312" w:eastAsia="仿宋_GB2312" w:cs="仿宋_GB2312"/>
          <w:kern w:val="0"/>
          <w:sz w:val="30"/>
          <w:szCs w:val="30"/>
          <w:lang w:eastAsia="zh-CN"/>
        </w:rPr>
        <w:t>单位</w:t>
      </w:r>
      <w:r>
        <w:rPr>
          <w:rFonts w:hint="eastAsia" w:ascii="仿宋_GB2312" w:hAnsi="仿宋_GB2312" w:eastAsia="仿宋_GB2312" w:cs="仿宋_GB2312"/>
          <w:kern w:val="0"/>
          <w:sz w:val="30"/>
          <w:szCs w:val="30"/>
        </w:rPr>
        <w:t>编制</w:t>
      </w:r>
      <w:r>
        <w:rPr>
          <w:rFonts w:hint="eastAsia" w:ascii="仿宋_GB2312" w:hAnsi="仿宋_GB2312" w:eastAsia="仿宋_GB2312" w:cs="仿宋_GB2312"/>
          <w:kern w:val="0"/>
          <w:sz w:val="30"/>
          <w:szCs w:val="30"/>
          <w:lang w:val="en-US" w:eastAsia="zh-CN"/>
        </w:rPr>
        <w:t>2019</w:t>
      </w:r>
      <w:r>
        <w:rPr>
          <w:rFonts w:hint="eastAsia" w:ascii="仿宋_GB2312" w:hAnsi="仿宋_GB2312" w:eastAsia="仿宋_GB2312" w:cs="仿宋_GB2312"/>
          <w:kern w:val="0"/>
          <w:sz w:val="30"/>
          <w:szCs w:val="30"/>
        </w:rPr>
        <w:t>年部门预算单位共</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个。其中：财政全供给单位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个；部分供给单位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个；特殊供给单位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个；自收自支单位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个。财政全供给单位中行政单</w:t>
      </w:r>
      <w:r>
        <w:rPr>
          <w:rFonts w:hint="eastAsia" w:ascii="仿宋_GB2312" w:hAnsi="仿宋_GB2312" w:eastAsia="仿宋_GB2312" w:cs="仿宋_GB2312"/>
          <w:kern w:val="0"/>
          <w:sz w:val="30"/>
          <w:szCs w:val="30"/>
          <w:lang w:eastAsia="zh-CN"/>
        </w:rPr>
        <w:t>位</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个；参公管理事业单位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个；非参公管理事业单位</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个。截止20</w:t>
      </w:r>
      <w:r>
        <w:rPr>
          <w:rFonts w:hint="eastAsia" w:ascii="仿宋_GB2312" w:hAnsi="仿宋_GB2312" w:eastAsia="仿宋_GB2312" w:cs="仿宋_GB2312"/>
          <w:kern w:val="0"/>
          <w:sz w:val="30"/>
          <w:szCs w:val="30"/>
          <w:lang w:val="en-US" w:eastAsia="zh-CN"/>
        </w:rPr>
        <w:t>18</w:t>
      </w:r>
      <w:r>
        <w:rPr>
          <w:rFonts w:hint="eastAsia" w:ascii="仿宋_GB2312" w:hAnsi="仿宋_GB2312" w:eastAsia="仿宋_GB2312" w:cs="仿宋_GB2312"/>
          <w:kern w:val="0"/>
          <w:sz w:val="30"/>
          <w:szCs w:val="30"/>
        </w:rPr>
        <w:t>年11月统计，部门基本情况如下：</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在职人员编制</w:t>
      </w:r>
      <w:r>
        <w:rPr>
          <w:rFonts w:hint="eastAsia" w:ascii="仿宋_GB2312" w:hAnsi="仿宋_GB2312" w:eastAsia="仿宋_GB2312" w:cs="仿宋_GB2312"/>
          <w:kern w:val="0"/>
          <w:sz w:val="30"/>
          <w:szCs w:val="30"/>
          <w:lang w:val="en-US" w:eastAsia="zh-CN"/>
        </w:rPr>
        <w:t>31</w:t>
      </w:r>
      <w:r>
        <w:rPr>
          <w:rFonts w:hint="eastAsia" w:ascii="仿宋_GB2312" w:hAnsi="仿宋_GB2312" w:eastAsia="仿宋_GB2312" w:cs="仿宋_GB2312"/>
          <w:kern w:val="0"/>
          <w:sz w:val="30"/>
          <w:szCs w:val="30"/>
        </w:rPr>
        <w:t xml:space="preserve">人，其中：行政编制 </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人，事业编制</w:t>
      </w:r>
      <w:r>
        <w:rPr>
          <w:rFonts w:hint="eastAsia" w:ascii="仿宋_GB2312" w:hAnsi="仿宋_GB2312" w:eastAsia="仿宋_GB2312" w:cs="仿宋_GB2312"/>
          <w:kern w:val="0"/>
          <w:sz w:val="30"/>
          <w:szCs w:val="30"/>
          <w:lang w:val="en-US" w:eastAsia="zh-CN"/>
        </w:rPr>
        <w:t>31</w:t>
      </w:r>
      <w:r>
        <w:rPr>
          <w:rFonts w:hint="eastAsia" w:ascii="仿宋_GB2312" w:hAnsi="仿宋_GB2312" w:eastAsia="仿宋_GB2312" w:cs="仿宋_GB2312"/>
          <w:kern w:val="0"/>
          <w:sz w:val="30"/>
          <w:szCs w:val="30"/>
        </w:rPr>
        <w:t>人。在职实有</w:t>
      </w:r>
      <w:r>
        <w:rPr>
          <w:rFonts w:hint="eastAsia" w:ascii="仿宋_GB2312" w:hAnsi="仿宋_GB2312" w:eastAsia="仿宋_GB2312" w:cs="仿宋_GB2312"/>
          <w:kern w:val="0"/>
          <w:sz w:val="30"/>
          <w:szCs w:val="30"/>
          <w:lang w:val="en-US" w:eastAsia="zh-CN"/>
        </w:rPr>
        <w:t>30</w:t>
      </w:r>
      <w:r>
        <w:rPr>
          <w:rFonts w:hint="eastAsia" w:ascii="仿宋_GB2312" w:hAnsi="仿宋_GB2312" w:eastAsia="仿宋_GB2312" w:cs="仿宋_GB2312"/>
          <w:kern w:val="0"/>
          <w:sz w:val="30"/>
          <w:szCs w:val="30"/>
        </w:rPr>
        <w:t>人，其中： 财政全供养</w:t>
      </w:r>
      <w:r>
        <w:rPr>
          <w:rFonts w:hint="eastAsia" w:ascii="仿宋_GB2312" w:hAnsi="仿宋_GB2312" w:eastAsia="仿宋_GB2312" w:cs="仿宋_GB2312"/>
          <w:kern w:val="0"/>
          <w:sz w:val="30"/>
          <w:szCs w:val="30"/>
          <w:lang w:val="en-US" w:eastAsia="zh-CN"/>
        </w:rPr>
        <w:t>30</w:t>
      </w:r>
      <w:r>
        <w:rPr>
          <w:rFonts w:hint="eastAsia" w:ascii="仿宋_GB2312" w:hAnsi="仿宋_GB2312" w:eastAsia="仿宋_GB2312" w:cs="仿宋_GB2312"/>
          <w:kern w:val="0"/>
          <w:sz w:val="30"/>
          <w:szCs w:val="30"/>
        </w:rPr>
        <w:t>人，财政部分供养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人，非财政供养</w:t>
      </w:r>
      <w:r>
        <w:rPr>
          <w:rFonts w:hint="eastAsia" w:ascii="仿宋_GB2312" w:hAnsi="仿宋_GB2312" w:eastAsia="仿宋_GB2312" w:cs="仿宋_GB2312"/>
          <w:kern w:val="0"/>
          <w:sz w:val="30"/>
          <w:szCs w:val="30"/>
          <w:lang w:val="en-US" w:eastAsia="zh-CN"/>
        </w:rPr>
        <w:t>0</w:t>
      </w:r>
      <w:r>
        <w:rPr>
          <w:rFonts w:hint="eastAsia" w:ascii="仿宋_GB2312" w:hAnsi="仿宋_GB2312" w:eastAsia="仿宋_GB2312" w:cs="仿宋_GB2312"/>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000000" w:themeColor="text1"/>
          <w:kern w:val="0"/>
          <w:sz w:val="30"/>
          <w:szCs w:val="30"/>
        </w:rPr>
      </w:pPr>
      <w:r>
        <w:rPr>
          <w:rFonts w:hint="eastAsia" w:ascii="仿宋_GB2312" w:hAnsi="仿宋_GB2312" w:eastAsia="仿宋_GB2312" w:cs="仿宋_GB2312"/>
          <w:color w:val="000000" w:themeColor="text1"/>
          <w:kern w:val="0"/>
          <w:sz w:val="30"/>
          <w:szCs w:val="30"/>
        </w:rPr>
        <w:t>离退休人员</w:t>
      </w:r>
      <w:r>
        <w:rPr>
          <w:rFonts w:hint="eastAsia" w:ascii="仿宋_GB2312" w:hAnsi="仿宋_GB2312" w:eastAsia="仿宋_GB2312" w:cs="仿宋_GB2312"/>
          <w:color w:val="000000" w:themeColor="text1"/>
          <w:kern w:val="0"/>
          <w:sz w:val="30"/>
          <w:szCs w:val="30"/>
          <w:lang w:val="en-US" w:eastAsia="zh-CN"/>
        </w:rPr>
        <w:t>4</w:t>
      </w:r>
      <w:r>
        <w:rPr>
          <w:rFonts w:hint="eastAsia" w:ascii="仿宋_GB2312" w:hAnsi="仿宋_GB2312" w:eastAsia="仿宋_GB2312" w:cs="仿宋_GB2312"/>
          <w:color w:val="000000" w:themeColor="text1"/>
          <w:kern w:val="0"/>
          <w:sz w:val="30"/>
          <w:szCs w:val="30"/>
        </w:rPr>
        <w:t>人，其中： 离休</w:t>
      </w:r>
      <w:r>
        <w:rPr>
          <w:rFonts w:hint="eastAsia" w:ascii="仿宋_GB2312" w:hAnsi="仿宋_GB2312" w:eastAsia="仿宋_GB2312" w:cs="仿宋_GB2312"/>
          <w:color w:val="000000" w:themeColor="text1"/>
          <w:kern w:val="0"/>
          <w:sz w:val="30"/>
          <w:szCs w:val="30"/>
          <w:lang w:val="en-US" w:eastAsia="zh-CN"/>
        </w:rPr>
        <w:t>0</w:t>
      </w:r>
      <w:r>
        <w:rPr>
          <w:rFonts w:hint="eastAsia" w:ascii="仿宋_GB2312" w:hAnsi="仿宋_GB2312" w:eastAsia="仿宋_GB2312" w:cs="仿宋_GB2312"/>
          <w:color w:val="000000" w:themeColor="text1"/>
          <w:kern w:val="0"/>
          <w:sz w:val="30"/>
          <w:szCs w:val="30"/>
        </w:rPr>
        <w:t xml:space="preserve"> 人，退休</w:t>
      </w:r>
      <w:r>
        <w:rPr>
          <w:rFonts w:hint="eastAsia" w:ascii="仿宋_GB2312" w:hAnsi="仿宋_GB2312" w:eastAsia="仿宋_GB2312" w:cs="仿宋_GB2312"/>
          <w:color w:val="000000" w:themeColor="text1"/>
          <w:kern w:val="0"/>
          <w:sz w:val="30"/>
          <w:szCs w:val="30"/>
          <w:lang w:val="en-US" w:eastAsia="zh-CN"/>
        </w:rPr>
        <w:t xml:space="preserve"> 4</w:t>
      </w:r>
      <w:r>
        <w:rPr>
          <w:rFonts w:hint="eastAsia" w:ascii="仿宋_GB2312" w:hAnsi="仿宋_GB2312" w:eastAsia="仿宋_GB2312" w:cs="仿宋_GB2312"/>
          <w:color w:val="000000" w:themeColor="text1"/>
          <w:kern w:val="0"/>
          <w:sz w:val="30"/>
          <w:szCs w:val="30"/>
        </w:rPr>
        <w:t>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车辆编制</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辆，实有车辆</w:t>
      </w:r>
      <w:r>
        <w:rPr>
          <w:rFonts w:hint="eastAsia" w:ascii="仿宋_GB2312" w:hAnsi="仿宋_GB2312" w:eastAsia="仿宋_GB2312" w:cs="仿宋_GB2312"/>
          <w:kern w:val="0"/>
          <w:sz w:val="30"/>
          <w:szCs w:val="30"/>
          <w:lang w:val="en-US" w:eastAsia="zh-CN"/>
        </w:rPr>
        <w:t>1</w:t>
      </w:r>
      <w:r>
        <w:rPr>
          <w:rFonts w:hint="eastAsia" w:ascii="仿宋_GB2312" w:hAnsi="仿宋_GB2312" w:eastAsia="仿宋_GB2312" w:cs="仿宋_GB2312"/>
          <w:kern w:val="0"/>
          <w:sz w:val="30"/>
          <w:szCs w:val="30"/>
        </w:rPr>
        <w:t>辆。</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三、预算单位收入情况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（一）部门财务收入情况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w:t>
      </w:r>
      <w:r>
        <w:rPr>
          <w:rFonts w:hint="eastAsia" w:eastAsia="仿宋_GB2312"/>
          <w:kern w:val="0"/>
          <w:sz w:val="30"/>
          <w:szCs w:val="30"/>
          <w:lang w:eastAsia="zh-CN"/>
        </w:rPr>
        <w:t>盈江县油松岭乡中学</w:t>
      </w:r>
      <w:r>
        <w:rPr>
          <w:rFonts w:eastAsia="仿宋_GB2312"/>
          <w:kern w:val="0"/>
          <w:sz w:val="30"/>
          <w:szCs w:val="30"/>
        </w:rPr>
        <w:t>财务总收入</w:t>
      </w:r>
      <w:r>
        <w:rPr>
          <w:rFonts w:hint="eastAsia" w:eastAsia="仿宋_GB2312"/>
          <w:kern w:val="0"/>
          <w:sz w:val="30"/>
          <w:szCs w:val="30"/>
          <w:lang w:val="en-US" w:eastAsia="zh-CN"/>
        </w:rPr>
        <w:t>356.80</w:t>
      </w:r>
      <w:r>
        <w:rPr>
          <w:rFonts w:eastAsia="仿宋_GB2312"/>
          <w:kern w:val="0"/>
          <w:sz w:val="30"/>
          <w:szCs w:val="30"/>
        </w:rPr>
        <w:t>万元，其中：一般公共预算</w:t>
      </w:r>
      <w:r>
        <w:rPr>
          <w:rFonts w:hint="eastAsia" w:eastAsia="仿宋_GB2312"/>
          <w:kern w:val="0"/>
          <w:sz w:val="30"/>
          <w:szCs w:val="30"/>
        </w:rPr>
        <w:t>财政拨款</w:t>
      </w:r>
      <w:r>
        <w:rPr>
          <w:rFonts w:hint="eastAsia" w:eastAsia="仿宋_GB2312"/>
          <w:kern w:val="0"/>
          <w:sz w:val="30"/>
          <w:szCs w:val="30"/>
          <w:lang w:val="en-US" w:eastAsia="zh-CN"/>
        </w:rPr>
        <w:t>356.80</w:t>
      </w:r>
      <w:r>
        <w:rPr>
          <w:rFonts w:eastAsia="仿宋_GB2312"/>
          <w:kern w:val="0"/>
          <w:sz w:val="30"/>
          <w:szCs w:val="30"/>
        </w:rPr>
        <w:t>万元，政府性基金</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预算财政拨款</w:t>
      </w:r>
      <w:r>
        <w:rPr>
          <w:rFonts w:hint="eastAsia" w:eastAsia="仿宋_GB2312"/>
          <w:kern w:val="0"/>
          <w:sz w:val="30"/>
          <w:szCs w:val="30"/>
          <w:lang w:val="en-US" w:eastAsia="zh-CN"/>
        </w:rPr>
        <w:t>0</w:t>
      </w:r>
      <w:r>
        <w:rPr>
          <w:rFonts w:eastAsia="仿宋_GB2312"/>
          <w:kern w:val="0"/>
          <w:sz w:val="30"/>
          <w:szCs w:val="30"/>
        </w:rPr>
        <w:t>万元，事业收入</w:t>
      </w:r>
      <w:r>
        <w:rPr>
          <w:rFonts w:hint="eastAsia" w:eastAsia="仿宋_GB2312"/>
          <w:kern w:val="0"/>
          <w:sz w:val="30"/>
          <w:szCs w:val="30"/>
          <w:lang w:val="en-US" w:eastAsia="zh-CN"/>
        </w:rPr>
        <w:t>0</w:t>
      </w:r>
      <w:r>
        <w:rPr>
          <w:rFonts w:eastAsia="仿宋_GB2312"/>
          <w:kern w:val="0"/>
          <w:sz w:val="30"/>
          <w:szCs w:val="30"/>
        </w:rPr>
        <w:t>万元，事业单位经营收入</w:t>
      </w:r>
      <w:r>
        <w:rPr>
          <w:rFonts w:hint="eastAsia" w:eastAsia="仿宋_GB2312"/>
          <w:kern w:val="0"/>
          <w:sz w:val="30"/>
          <w:szCs w:val="30"/>
          <w:lang w:val="en-US" w:eastAsia="zh-CN"/>
        </w:rPr>
        <w:t>0</w:t>
      </w:r>
      <w:r>
        <w:rPr>
          <w:rFonts w:eastAsia="仿宋_GB2312"/>
          <w:kern w:val="0"/>
          <w:sz w:val="30"/>
          <w:szCs w:val="30"/>
        </w:rPr>
        <w:t>万元，其他收入</w:t>
      </w:r>
      <w:r>
        <w:rPr>
          <w:rFonts w:hint="eastAsia" w:eastAsia="仿宋_GB2312"/>
          <w:kern w:val="0"/>
          <w:sz w:val="30"/>
          <w:szCs w:val="30"/>
          <w:lang w:val="en-US" w:eastAsia="zh-CN"/>
        </w:rPr>
        <w:t>0</w:t>
      </w:r>
      <w:r>
        <w:rPr>
          <w:rFonts w:eastAsia="仿宋_GB2312"/>
          <w:kern w:val="0"/>
          <w:sz w:val="30"/>
          <w:szCs w:val="30"/>
        </w:rPr>
        <w:t>万元</w:t>
      </w:r>
      <w:r>
        <w:rPr>
          <w:rFonts w:hint="eastAsia" w:eastAsia="仿宋_GB2312"/>
          <w:kern w:val="0"/>
          <w:sz w:val="30"/>
          <w:szCs w:val="30"/>
        </w:rPr>
        <w:t>，上年结转</w:t>
      </w:r>
      <w:r>
        <w:rPr>
          <w:rFonts w:hint="eastAsia" w:eastAsia="仿宋_GB2312"/>
          <w:kern w:val="0"/>
          <w:sz w:val="30"/>
          <w:szCs w:val="30"/>
          <w:lang w:val="en-US" w:eastAsia="zh-CN"/>
        </w:rPr>
        <w:t>0</w:t>
      </w:r>
      <w:r>
        <w:rPr>
          <w:rFonts w:hint="eastAsia" w:eastAsia="仿宋_GB2312"/>
          <w:kern w:val="0"/>
          <w:sz w:val="30"/>
          <w:szCs w:val="30"/>
        </w:rPr>
        <w:t>万元</w:t>
      </w:r>
      <w:r>
        <w:rPr>
          <w:rFonts w:eastAsia="仿宋_GB2312"/>
          <w:kern w:val="0"/>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（二）财政拨款收入情况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年部门财政拨款收入</w:t>
      </w:r>
      <w:r>
        <w:rPr>
          <w:rFonts w:hint="eastAsia" w:eastAsia="仿宋_GB2312"/>
          <w:kern w:val="0"/>
          <w:sz w:val="30"/>
          <w:szCs w:val="30"/>
          <w:lang w:val="en-US" w:eastAsia="zh-CN"/>
        </w:rPr>
        <w:t>356.80</w:t>
      </w:r>
      <w:r>
        <w:rPr>
          <w:rFonts w:eastAsia="仿宋_GB2312"/>
          <w:kern w:val="0"/>
          <w:sz w:val="30"/>
          <w:szCs w:val="30"/>
        </w:rPr>
        <w:t>万元，其中:本年收入</w:t>
      </w:r>
      <w:r>
        <w:rPr>
          <w:rFonts w:hint="eastAsia" w:eastAsia="仿宋_GB2312"/>
          <w:kern w:val="0"/>
          <w:sz w:val="30"/>
          <w:szCs w:val="30"/>
          <w:lang w:val="en-US" w:eastAsia="zh-CN"/>
        </w:rPr>
        <w:t>356.80</w:t>
      </w:r>
      <w:r>
        <w:rPr>
          <w:rFonts w:eastAsia="仿宋_GB2312"/>
          <w:kern w:val="0"/>
          <w:sz w:val="30"/>
          <w:szCs w:val="30"/>
        </w:rPr>
        <w:t>万元，上年结转</w:t>
      </w:r>
      <w:r>
        <w:rPr>
          <w:rFonts w:hint="eastAsia" w:eastAsia="仿宋_GB2312"/>
          <w:kern w:val="0"/>
          <w:sz w:val="30"/>
          <w:szCs w:val="30"/>
          <w:lang w:val="en-US" w:eastAsia="zh-CN"/>
        </w:rPr>
        <w:t>0</w:t>
      </w:r>
      <w:r>
        <w:rPr>
          <w:rFonts w:eastAsia="仿宋_GB2312"/>
          <w:kern w:val="0"/>
          <w:sz w:val="30"/>
          <w:szCs w:val="30"/>
        </w:rPr>
        <w:t>万元。本年收入中，一般公共预算财政拨款</w:t>
      </w:r>
      <w:r>
        <w:rPr>
          <w:rFonts w:hint="eastAsia" w:eastAsia="仿宋_GB2312"/>
          <w:kern w:val="0"/>
          <w:sz w:val="30"/>
          <w:szCs w:val="30"/>
          <w:lang w:val="en-US" w:eastAsia="zh-CN"/>
        </w:rPr>
        <w:t>356.80</w:t>
      </w:r>
      <w:r>
        <w:rPr>
          <w:rFonts w:eastAsia="仿宋_GB2312"/>
          <w:kern w:val="0"/>
          <w:sz w:val="30"/>
          <w:szCs w:val="30"/>
        </w:rPr>
        <w:t>万元（本级财力</w:t>
      </w:r>
      <w:r>
        <w:rPr>
          <w:rFonts w:hint="eastAsia" w:eastAsia="仿宋_GB2312"/>
          <w:kern w:val="0"/>
          <w:sz w:val="30"/>
          <w:szCs w:val="30"/>
          <w:lang w:val="en-US" w:eastAsia="zh-CN"/>
        </w:rPr>
        <w:t>0</w:t>
      </w:r>
      <w:r>
        <w:rPr>
          <w:rFonts w:eastAsia="仿宋_GB2312"/>
          <w:kern w:val="0"/>
          <w:sz w:val="30"/>
          <w:szCs w:val="30"/>
        </w:rPr>
        <w:t>万元，专项收入</w:t>
      </w:r>
      <w:r>
        <w:rPr>
          <w:rFonts w:hint="eastAsia" w:eastAsia="仿宋_GB2312"/>
          <w:kern w:val="0"/>
          <w:sz w:val="30"/>
          <w:szCs w:val="30"/>
          <w:lang w:val="en-US" w:eastAsia="zh-CN"/>
        </w:rPr>
        <w:t>0</w:t>
      </w:r>
      <w:r>
        <w:rPr>
          <w:rFonts w:eastAsia="仿宋_GB2312"/>
          <w:kern w:val="0"/>
          <w:sz w:val="30"/>
          <w:szCs w:val="30"/>
        </w:rPr>
        <w:t>万元，执法办案补助</w:t>
      </w:r>
      <w:r>
        <w:rPr>
          <w:rFonts w:hint="eastAsia" w:eastAsia="仿宋_GB2312"/>
          <w:kern w:val="0"/>
          <w:sz w:val="30"/>
          <w:szCs w:val="30"/>
          <w:lang w:val="en-US" w:eastAsia="zh-CN"/>
        </w:rPr>
        <w:t>0</w:t>
      </w:r>
      <w:r>
        <w:rPr>
          <w:rFonts w:eastAsia="仿宋_GB2312"/>
          <w:kern w:val="0"/>
          <w:sz w:val="30"/>
          <w:szCs w:val="30"/>
        </w:rPr>
        <w:t>万元，收费成本补偿</w:t>
      </w:r>
      <w:r>
        <w:rPr>
          <w:rFonts w:hint="eastAsia" w:eastAsia="仿宋_GB2312"/>
          <w:kern w:val="0"/>
          <w:sz w:val="30"/>
          <w:szCs w:val="30"/>
          <w:lang w:val="en-US" w:eastAsia="zh-CN"/>
        </w:rPr>
        <w:t>0</w:t>
      </w:r>
      <w:r>
        <w:rPr>
          <w:rFonts w:eastAsia="仿宋_GB2312"/>
          <w:kern w:val="0"/>
          <w:sz w:val="30"/>
          <w:szCs w:val="30"/>
        </w:rPr>
        <w:t>万元，财政专户管理的收入</w:t>
      </w:r>
      <w:r>
        <w:rPr>
          <w:rFonts w:hint="eastAsia" w:eastAsia="仿宋_GB2312"/>
          <w:kern w:val="0"/>
          <w:sz w:val="30"/>
          <w:szCs w:val="30"/>
          <w:lang w:val="en-US" w:eastAsia="zh-CN"/>
        </w:rPr>
        <w:t>0</w:t>
      </w:r>
      <w:r>
        <w:rPr>
          <w:rFonts w:eastAsia="仿宋_GB2312"/>
          <w:kern w:val="0"/>
          <w:sz w:val="30"/>
          <w:szCs w:val="30"/>
        </w:rPr>
        <w:t>万元，国有资源（资产）有偿使用</w:t>
      </w:r>
      <w:r>
        <w:rPr>
          <w:rFonts w:hint="eastAsia" w:eastAsia="仿宋_GB2312"/>
          <w:kern w:val="0"/>
          <w:sz w:val="30"/>
          <w:szCs w:val="30"/>
        </w:rPr>
        <w:t>成本补偿</w:t>
      </w:r>
      <w:r>
        <w:rPr>
          <w:rFonts w:hint="eastAsia" w:eastAsia="仿宋_GB2312"/>
          <w:kern w:val="0"/>
          <w:sz w:val="30"/>
          <w:szCs w:val="30"/>
          <w:lang w:val="en-US" w:eastAsia="zh-CN"/>
        </w:rPr>
        <w:t>0</w:t>
      </w:r>
      <w:r>
        <w:rPr>
          <w:rFonts w:eastAsia="仿宋_GB2312"/>
          <w:kern w:val="0"/>
          <w:sz w:val="30"/>
          <w:szCs w:val="30"/>
        </w:rPr>
        <w:t>万元），政府性基金</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万元，国有资本经营</w:t>
      </w:r>
      <w:r>
        <w:rPr>
          <w:rFonts w:hint="eastAsia" w:eastAsia="仿宋_GB2312"/>
          <w:kern w:val="0"/>
          <w:sz w:val="30"/>
          <w:szCs w:val="30"/>
        </w:rPr>
        <w:t>预算</w:t>
      </w:r>
      <w:r>
        <w:rPr>
          <w:rFonts w:eastAsia="仿宋_GB2312"/>
          <w:kern w:val="0"/>
          <w:sz w:val="30"/>
          <w:szCs w:val="30"/>
        </w:rPr>
        <w:t>财政拨款</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numPr>
          <w:ilvl w:val="0"/>
          <w:numId w:val="1"/>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预算单位支出情况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年部门预算总支出</w:t>
      </w:r>
      <w:r>
        <w:rPr>
          <w:rFonts w:hint="eastAsia" w:eastAsia="仿宋_GB2312"/>
          <w:kern w:val="0"/>
          <w:sz w:val="30"/>
          <w:szCs w:val="30"/>
          <w:lang w:val="en-US" w:eastAsia="zh-CN"/>
        </w:rPr>
        <w:t>356.80</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356.80</w:t>
      </w:r>
      <w:r>
        <w:rPr>
          <w:rFonts w:eastAsia="仿宋_GB2312"/>
          <w:kern w:val="0"/>
          <w:sz w:val="30"/>
          <w:szCs w:val="30"/>
        </w:rPr>
        <w:t>万元，其中，基本支出</w:t>
      </w:r>
      <w:r>
        <w:rPr>
          <w:rFonts w:hint="eastAsia" w:eastAsia="仿宋_GB2312"/>
          <w:kern w:val="0"/>
          <w:sz w:val="30"/>
          <w:szCs w:val="30"/>
          <w:lang w:val="en-US" w:eastAsia="zh-CN"/>
        </w:rPr>
        <w:t>356.80</w:t>
      </w:r>
      <w:r>
        <w:rPr>
          <w:rFonts w:eastAsia="仿宋_GB2312"/>
          <w:kern w:val="0"/>
          <w:sz w:val="30"/>
          <w:szCs w:val="30"/>
        </w:rPr>
        <w:t>万元，项目支出</w:t>
      </w:r>
      <w:r>
        <w:rPr>
          <w:rFonts w:hint="eastAsia" w:eastAsia="仿宋_GB2312"/>
          <w:kern w:val="0"/>
          <w:sz w:val="30"/>
          <w:szCs w:val="30"/>
          <w:lang w:val="en-US" w:eastAsia="zh-CN"/>
        </w:rPr>
        <w:t>0</w:t>
      </w:r>
      <w:r>
        <w:rPr>
          <w:rFonts w:eastAsia="仿宋_GB2312"/>
          <w:kern w:val="0"/>
          <w:sz w:val="30"/>
          <w:szCs w:val="30"/>
        </w:rPr>
        <w:t>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ascii="楷体_GB2312" w:eastAsia="楷体_GB2312"/>
          <w:kern w:val="0"/>
          <w:sz w:val="30"/>
          <w:szCs w:val="30"/>
        </w:rPr>
        <w:t>（一）</w:t>
      </w:r>
      <w:r>
        <w:rPr>
          <w:rFonts w:hint="eastAsia" w:ascii="楷体_GB2312" w:eastAsia="楷体_GB2312"/>
          <w:kern w:val="0"/>
          <w:sz w:val="30"/>
          <w:szCs w:val="30"/>
        </w:rPr>
        <w:t>财政拨款安排</w:t>
      </w:r>
      <w:r>
        <w:rPr>
          <w:rFonts w:ascii="楷体_GB2312" w:eastAsia="楷体_GB2312"/>
          <w:kern w:val="0"/>
          <w:sz w:val="30"/>
          <w:szCs w:val="30"/>
        </w:rPr>
        <w:t>支出按功能科目分类情况</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功能科目分组，</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“2050203” 教育支出-普通教育-初中教育281.06万元，主要用于工资福利支出和日常学校运行运转。</w:t>
      </w:r>
    </w:p>
    <w:p>
      <w:pPr>
        <w:pStyle w:val="14"/>
        <w:keepNext w:val="0"/>
        <w:keepLines w:val="0"/>
        <w:pageBreakBefore w:val="0"/>
        <w:numPr>
          <w:ilvl w:val="0"/>
          <w:numId w:val="0"/>
        </w:numPr>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“2080502”社会保障和就业支出-行政事业单位离退休-事业单位单位离退休0.24万元，主要用于离退休人员公用经费支出。</w:t>
      </w:r>
    </w:p>
    <w:p>
      <w:pPr>
        <w:pStyle w:val="7"/>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Lines="0" w:beforeAutospacing="0" w:after="0" w:afterLines="0" w:afterAutospacing="0" w:line="27" w:lineRule="atLeast"/>
        <w:ind w:left="0" w:right="0" w:firstLine="600" w:firstLineChars="200"/>
        <w:jc w:val="both"/>
        <w:textAlignment w:val="auto"/>
        <w:outlineLvl w:val="9"/>
        <w:rPr>
          <w:rFonts w:hint="eastAsia" w:ascii="仿宋_GB2312" w:hAnsi="仿宋_GB2312" w:eastAsia="仿宋_GB2312" w:cs="仿宋_GB2312"/>
          <w:color w:val="333333"/>
          <w:sz w:val="30"/>
          <w:szCs w:val="30"/>
          <w:shd w:val="clear" w:color="040000" w:fill="FFFFFF"/>
        </w:rPr>
      </w:pPr>
      <w:r>
        <w:rPr>
          <w:rFonts w:hint="eastAsia" w:ascii="仿宋_GB2312" w:hAnsi="仿宋_GB2312" w:eastAsia="仿宋_GB2312" w:cs="仿宋_GB2312"/>
          <w:sz w:val="30"/>
          <w:szCs w:val="30"/>
          <w:lang w:val="en-US" w:eastAsia="zh-CN"/>
        </w:rPr>
        <w:t>“2080505”社会保障和就业支出-行政事业单位离退休- 事业单位基本养老保险缴费支出44.52万元，</w:t>
      </w:r>
      <w:r>
        <w:rPr>
          <w:rFonts w:hint="eastAsia" w:ascii="仿宋_GB2312" w:hAnsi="仿宋_GB2312" w:eastAsia="仿宋_GB2312" w:cs="仿宋_GB2312"/>
          <w:color w:val="333333"/>
          <w:sz w:val="30"/>
          <w:szCs w:val="30"/>
          <w:shd w:val="clear" w:color="040000" w:fill="FFFFFF"/>
        </w:rPr>
        <w:t>主要反映单位缴交的养老保险支出。</w:t>
      </w:r>
    </w:p>
    <w:p>
      <w:pPr>
        <w:pStyle w:val="7"/>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7" w:lineRule="atLeast"/>
        <w:ind w:right="0" w:firstLine="600" w:firstLineChars="200"/>
        <w:jc w:val="both"/>
        <w:textAlignment w:val="auto"/>
        <w:outlineLvl w:val="9"/>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“2210201”</w:t>
      </w:r>
      <w:r>
        <w:rPr>
          <w:rFonts w:hint="eastAsia" w:ascii="仿宋_GB2312" w:hAnsi="仿宋_GB2312" w:eastAsia="仿宋_GB2312" w:cs="仿宋_GB2312"/>
          <w:color w:val="333333"/>
          <w:sz w:val="30"/>
          <w:szCs w:val="30"/>
          <w:shd w:val="clear" w:color="040000" w:fill="FFFFFF"/>
        </w:rPr>
        <w:t>住房保障支出-住房改革支出-住房公积金</w:t>
      </w:r>
      <w:r>
        <w:rPr>
          <w:rFonts w:hint="eastAsia" w:ascii="仿宋_GB2312" w:hAnsi="仿宋_GB2312" w:eastAsia="仿宋_GB2312" w:cs="仿宋_GB2312"/>
          <w:color w:val="333333"/>
          <w:sz w:val="30"/>
          <w:szCs w:val="30"/>
          <w:shd w:val="clear" w:color="040000" w:fill="FFFFFF"/>
          <w:lang w:val="en-US" w:eastAsia="zh-CN"/>
        </w:rPr>
        <w:t>30.98</w:t>
      </w:r>
      <w:r>
        <w:rPr>
          <w:rFonts w:hint="eastAsia" w:ascii="仿宋_GB2312" w:hAnsi="仿宋_GB2312" w:eastAsia="仿宋_GB2312" w:cs="仿宋_GB2312"/>
          <w:color w:val="333333"/>
          <w:sz w:val="30"/>
          <w:szCs w:val="30"/>
          <w:shd w:val="clear" w:color="040000" w:fill="FFFFFF"/>
        </w:rPr>
        <w:t>万元，主要用于单位住房公积金支出。</w:t>
      </w:r>
    </w:p>
    <w:p>
      <w:pPr>
        <w:keepNext w:val="0"/>
        <w:keepLines w:val="0"/>
        <w:pageBreakBefore w:val="0"/>
        <w:widowControl/>
        <w:numPr>
          <w:ilvl w:val="0"/>
          <w:numId w:val="2"/>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财政拨款安排</w:t>
      </w:r>
      <w:r>
        <w:rPr>
          <w:rFonts w:ascii="楷体_GB2312" w:eastAsia="楷体_GB2312"/>
          <w:kern w:val="0"/>
          <w:sz w:val="30"/>
          <w:szCs w:val="30"/>
        </w:rPr>
        <w:t>支出按经济科目分类情况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sz w:val="30"/>
          <w:szCs w:val="30"/>
          <w:lang w:val="en-US" w:eastAsia="zh-CN"/>
        </w:rPr>
        <w:t>“</w:t>
      </w:r>
      <w:r>
        <w:rPr>
          <w:rFonts w:hint="eastAsia" w:ascii="仿宋_GB2312" w:hAnsi="仿宋_GB2312" w:eastAsia="仿宋_GB2312" w:cs="仿宋_GB2312"/>
          <w:color w:val="auto"/>
          <w:sz w:val="30"/>
          <w:szCs w:val="30"/>
          <w:lang w:val="en-US" w:eastAsia="zh-CN"/>
        </w:rPr>
        <w:t>2050203” 教育支出-普通教育-中学教育</w:t>
      </w:r>
      <w:r>
        <w:rPr>
          <w:rFonts w:hint="eastAsia" w:ascii="仿宋_GB2312" w:hAnsi="仿宋_GB2312" w:eastAsia="仿宋_GB2312" w:cs="仿宋_GB2312"/>
          <w:sz w:val="30"/>
          <w:szCs w:val="30"/>
          <w:lang w:val="en-US" w:eastAsia="zh-CN"/>
        </w:rPr>
        <w:t>281.06</w:t>
      </w:r>
      <w:r>
        <w:rPr>
          <w:rFonts w:hint="eastAsia" w:ascii="仿宋_GB2312" w:hAnsi="仿宋_GB2312" w:eastAsia="仿宋_GB2312" w:cs="仿宋_GB2312"/>
          <w:color w:val="auto"/>
          <w:sz w:val="30"/>
          <w:szCs w:val="30"/>
          <w:lang w:val="en-US" w:eastAsia="zh-CN"/>
        </w:rPr>
        <w:t>万元，其中</w:t>
      </w:r>
      <w:r>
        <w:rPr>
          <w:rFonts w:hint="eastAsia" w:ascii="仿宋_GB2312" w:hAnsi="仿宋_GB2312" w:eastAsia="仿宋_GB2312" w:cs="仿宋_GB2312"/>
          <w:color w:val="auto"/>
          <w:kern w:val="0"/>
          <w:sz w:val="30"/>
          <w:szCs w:val="30"/>
        </w:rPr>
        <w:t>：基本支出</w:t>
      </w:r>
      <w:r>
        <w:rPr>
          <w:rFonts w:hint="eastAsia" w:ascii="仿宋_GB2312" w:hAnsi="仿宋_GB2312" w:eastAsia="仿宋_GB2312" w:cs="仿宋_GB2312"/>
          <w:sz w:val="30"/>
          <w:szCs w:val="30"/>
          <w:lang w:val="en-US" w:eastAsia="zh-CN"/>
        </w:rPr>
        <w:t>281.06</w:t>
      </w:r>
      <w:r>
        <w:rPr>
          <w:rFonts w:hint="eastAsia" w:ascii="仿宋_GB2312" w:hAnsi="仿宋_GB2312" w:eastAsia="仿宋_GB2312" w:cs="仿宋_GB2312"/>
          <w:color w:val="auto"/>
          <w:kern w:val="0"/>
          <w:sz w:val="30"/>
          <w:szCs w:val="30"/>
        </w:rPr>
        <w:t>万元，主要用于301工资福利支出</w:t>
      </w:r>
      <w:r>
        <w:rPr>
          <w:rFonts w:hint="eastAsia" w:ascii="仿宋_GB2312" w:hAnsi="仿宋_GB2312" w:eastAsia="仿宋_GB2312" w:cs="仿宋_GB2312"/>
          <w:color w:val="auto"/>
          <w:kern w:val="0"/>
          <w:sz w:val="30"/>
          <w:szCs w:val="30"/>
          <w:lang w:val="en-US" w:eastAsia="zh-CN"/>
        </w:rPr>
        <w:t>279.54</w:t>
      </w:r>
      <w:r>
        <w:rPr>
          <w:rFonts w:hint="eastAsia" w:ascii="仿宋_GB2312" w:hAnsi="仿宋_GB2312" w:eastAsia="仿宋_GB2312" w:cs="仿宋_GB2312"/>
          <w:color w:val="auto"/>
          <w:kern w:val="0"/>
          <w:sz w:val="30"/>
          <w:szCs w:val="30"/>
        </w:rPr>
        <w:t>万元，302商品和服务支出</w:t>
      </w:r>
      <w:r>
        <w:rPr>
          <w:rFonts w:hint="eastAsia" w:ascii="仿宋_GB2312" w:hAnsi="仿宋_GB2312" w:eastAsia="仿宋_GB2312" w:cs="仿宋_GB2312"/>
          <w:color w:val="auto"/>
          <w:kern w:val="0"/>
          <w:sz w:val="30"/>
          <w:szCs w:val="30"/>
          <w:lang w:val="en-US" w:eastAsia="zh-CN"/>
        </w:rPr>
        <w:t>1.52</w:t>
      </w:r>
      <w:r>
        <w:rPr>
          <w:rFonts w:hint="eastAsia" w:ascii="仿宋_GB2312" w:hAnsi="仿宋_GB2312" w:eastAsia="仿宋_GB2312" w:cs="仿宋_GB2312"/>
          <w:color w:val="auto"/>
          <w:kern w:val="0"/>
          <w:sz w:val="30"/>
          <w:szCs w:val="30"/>
        </w:rPr>
        <w:t>万元</w:t>
      </w:r>
      <w:r>
        <w:rPr>
          <w:rFonts w:hint="eastAsia" w:ascii="仿宋_GB2312" w:hAnsi="仿宋_GB2312" w:eastAsia="仿宋_GB2312" w:cs="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eastAsia="zh-CN"/>
        </w:rPr>
      </w:pPr>
      <w:r>
        <w:rPr>
          <w:rFonts w:hint="eastAsia" w:ascii="仿宋_GB2312" w:hAnsi="仿宋_GB2312" w:eastAsia="仿宋_GB2312" w:cs="仿宋_GB2312"/>
          <w:sz w:val="30"/>
          <w:szCs w:val="30"/>
          <w:lang w:val="en-US" w:eastAsia="zh-CN"/>
        </w:rPr>
        <w:t>“2080502”社会保障和就业支出-行政事业单位离退休支出0.24万元，其中基本支出0.24万元，主要用于</w:t>
      </w:r>
      <w:r>
        <w:rPr>
          <w:rFonts w:hint="eastAsia" w:ascii="仿宋_GB2312" w:hAnsi="仿宋_GB2312" w:eastAsia="仿宋_GB2312" w:cs="仿宋_GB2312"/>
          <w:color w:val="auto"/>
          <w:kern w:val="0"/>
          <w:sz w:val="30"/>
          <w:szCs w:val="30"/>
          <w:lang w:val="en-US" w:eastAsia="zh-CN"/>
        </w:rPr>
        <w:t>3</w:t>
      </w:r>
      <w:r>
        <w:rPr>
          <w:rFonts w:hint="eastAsia" w:ascii="仿宋_GB2312" w:hAnsi="仿宋_GB2312" w:eastAsia="仿宋_GB2312" w:cs="仿宋_GB2312"/>
          <w:color w:val="auto"/>
          <w:kern w:val="0"/>
          <w:sz w:val="30"/>
          <w:szCs w:val="30"/>
        </w:rPr>
        <w:t>02商品和服务支出</w:t>
      </w:r>
      <w:r>
        <w:rPr>
          <w:rFonts w:hint="eastAsia" w:ascii="仿宋_GB2312" w:hAnsi="仿宋_GB2312" w:eastAsia="仿宋_GB2312" w:cs="仿宋_GB2312"/>
          <w:sz w:val="30"/>
          <w:szCs w:val="30"/>
          <w:lang w:val="en-US" w:eastAsia="zh-CN"/>
        </w:rPr>
        <w:t>0.24</w:t>
      </w:r>
      <w:r>
        <w:rPr>
          <w:rFonts w:hint="eastAsia" w:ascii="仿宋_GB2312" w:hAnsi="仿宋_GB2312" w:eastAsia="仿宋_GB2312" w:cs="仿宋_GB2312"/>
          <w:color w:val="auto"/>
          <w:kern w:val="0"/>
          <w:sz w:val="30"/>
          <w:szCs w:val="30"/>
        </w:rPr>
        <w:t>万元</w:t>
      </w:r>
      <w:r>
        <w:rPr>
          <w:rFonts w:hint="eastAsia" w:ascii="仿宋_GB2312" w:hAnsi="仿宋_GB2312" w:eastAsia="仿宋_GB2312" w:cs="仿宋_GB2312"/>
          <w:color w:val="auto"/>
          <w:kern w:val="0"/>
          <w:sz w:val="30"/>
          <w:szCs w:val="30"/>
          <w:lang w:val="en-US" w:eastAsia="zh-CN"/>
        </w:rPr>
        <w:t>；项目支出0万元。</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auto"/>
          <w:kern w:val="0"/>
          <w:sz w:val="30"/>
          <w:szCs w:val="30"/>
          <w:lang w:eastAsia="zh-CN"/>
        </w:rPr>
      </w:pPr>
      <w:r>
        <w:rPr>
          <w:rFonts w:hint="eastAsia" w:ascii="仿宋_GB2312" w:eastAsia="仿宋_GB2312"/>
          <w:color w:val="auto"/>
          <w:kern w:val="0"/>
          <w:sz w:val="30"/>
          <w:szCs w:val="30"/>
          <w:lang w:val="en-US" w:eastAsia="zh-CN"/>
        </w:rPr>
        <w:t>“</w:t>
      </w:r>
      <w:r>
        <w:rPr>
          <w:rFonts w:hint="eastAsia" w:ascii="仿宋_GB2312" w:eastAsia="仿宋_GB2312"/>
          <w:color w:val="auto"/>
          <w:kern w:val="0"/>
          <w:sz w:val="30"/>
          <w:szCs w:val="30"/>
        </w:rPr>
        <w:t>2080505</w:t>
      </w:r>
      <w:r>
        <w:rPr>
          <w:rFonts w:hint="eastAsia" w:ascii="仿宋_GB2312" w:eastAsia="仿宋_GB2312"/>
          <w:color w:val="auto"/>
          <w:kern w:val="0"/>
          <w:sz w:val="30"/>
          <w:szCs w:val="30"/>
          <w:lang w:eastAsia="zh-CN"/>
        </w:rPr>
        <w:t>”</w:t>
      </w:r>
      <w:r>
        <w:rPr>
          <w:rFonts w:hint="eastAsia" w:ascii="仿宋_GB2312" w:eastAsia="仿宋_GB2312"/>
          <w:color w:val="auto"/>
          <w:kern w:val="0"/>
          <w:sz w:val="30"/>
          <w:szCs w:val="30"/>
        </w:rPr>
        <w:t xml:space="preserve"> 机关事业单位基本养老保险缴费支出</w:t>
      </w:r>
      <w:r>
        <w:rPr>
          <w:rFonts w:hint="eastAsia" w:ascii="仿宋_GB2312" w:hAnsi="仿宋_GB2312" w:eastAsia="仿宋_GB2312" w:cs="仿宋_GB2312"/>
          <w:sz w:val="30"/>
          <w:szCs w:val="30"/>
          <w:lang w:val="en-US" w:eastAsia="zh-CN"/>
        </w:rPr>
        <w:t>44.52</w:t>
      </w:r>
      <w:r>
        <w:rPr>
          <w:rFonts w:hint="eastAsia" w:ascii="仿宋_GB2312" w:eastAsia="仿宋_GB2312"/>
          <w:color w:val="auto"/>
          <w:kern w:val="0"/>
          <w:sz w:val="30"/>
          <w:szCs w:val="30"/>
        </w:rPr>
        <w:t>万元</w:t>
      </w:r>
      <w:r>
        <w:rPr>
          <w:rFonts w:hint="eastAsia" w:ascii="仿宋_GB2312" w:hAnsi="仿宋_GB2312" w:eastAsia="仿宋_GB2312" w:cs="仿宋_GB2312"/>
          <w:color w:val="auto"/>
          <w:kern w:val="0"/>
          <w:sz w:val="30"/>
          <w:szCs w:val="30"/>
        </w:rPr>
        <w:t>其中：基本支出</w:t>
      </w:r>
      <w:r>
        <w:rPr>
          <w:rFonts w:hint="eastAsia" w:ascii="仿宋_GB2312" w:hAnsi="仿宋_GB2312" w:eastAsia="仿宋_GB2312" w:cs="仿宋_GB2312"/>
          <w:sz w:val="30"/>
          <w:szCs w:val="30"/>
          <w:lang w:val="en-US" w:eastAsia="zh-CN"/>
        </w:rPr>
        <w:t>44.52</w:t>
      </w:r>
      <w:r>
        <w:rPr>
          <w:rFonts w:hint="eastAsia" w:ascii="仿宋_GB2312" w:hAnsi="仿宋_GB2312" w:eastAsia="仿宋_GB2312" w:cs="仿宋_GB2312"/>
          <w:color w:val="auto"/>
          <w:kern w:val="0"/>
          <w:sz w:val="30"/>
          <w:szCs w:val="30"/>
        </w:rPr>
        <w:t>万元，主要用于301工资福利支出中的</w:t>
      </w:r>
      <w:r>
        <w:rPr>
          <w:rFonts w:hint="eastAsia" w:ascii="仿宋_GB2312" w:eastAsia="仿宋_GB2312"/>
          <w:color w:val="auto"/>
          <w:kern w:val="0"/>
          <w:sz w:val="30"/>
          <w:szCs w:val="30"/>
        </w:rPr>
        <w:t>单位基本养老保险缴费支出</w:t>
      </w:r>
      <w:r>
        <w:rPr>
          <w:rFonts w:hint="eastAsia" w:ascii="仿宋_GB2312" w:hAnsi="仿宋_GB2312" w:eastAsia="仿宋_GB2312" w:cs="仿宋_GB2312"/>
          <w:sz w:val="30"/>
          <w:szCs w:val="30"/>
          <w:lang w:val="en-US" w:eastAsia="zh-CN"/>
        </w:rPr>
        <w:t>44.52</w:t>
      </w:r>
      <w:r>
        <w:rPr>
          <w:rFonts w:hint="eastAsia" w:ascii="仿宋_GB2312" w:eastAsia="仿宋_GB2312"/>
          <w:color w:val="auto"/>
          <w:kern w:val="0"/>
          <w:sz w:val="30"/>
          <w:szCs w:val="30"/>
        </w:rPr>
        <w:t>万元</w:t>
      </w:r>
      <w:r>
        <w:rPr>
          <w:rFonts w:hint="eastAsia" w:ascii="仿宋_GB2312" w:eastAsia="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Times New Roman" w:hAnsi="Times New Roman" w:eastAsia="仿宋_GB2312" w:cs="Times New Roman"/>
          <w:kern w:val="0"/>
          <w:sz w:val="30"/>
          <w:szCs w:val="30"/>
          <w:lang w:val="en-US" w:eastAsia="zh-CN" w:bidi="ar-SA"/>
        </w:rPr>
      </w:pPr>
      <w:r>
        <w:rPr>
          <w:rFonts w:hint="eastAsia" w:ascii="仿宋_GB2312" w:hAnsi="仿宋_GB2312" w:eastAsia="仿宋_GB2312" w:cs="仿宋_GB2312"/>
          <w:color w:val="auto"/>
          <w:sz w:val="30"/>
          <w:szCs w:val="30"/>
          <w:lang w:val="en-US" w:eastAsia="zh-CN"/>
        </w:rPr>
        <w:t>“2210201”</w:t>
      </w:r>
      <w:r>
        <w:rPr>
          <w:rFonts w:hint="eastAsia" w:ascii="仿宋_GB2312" w:hAnsi="仿宋_GB2312" w:eastAsia="仿宋_GB2312" w:cs="仿宋_GB2312"/>
          <w:color w:val="auto"/>
          <w:sz w:val="30"/>
          <w:szCs w:val="30"/>
          <w:shd w:val="clear" w:color="040000" w:fill="FFFFFF"/>
        </w:rPr>
        <w:t>住房保障支出-住房改革支出</w:t>
      </w:r>
      <w:r>
        <w:rPr>
          <w:rFonts w:hint="eastAsia" w:ascii="仿宋_GB2312" w:hAnsi="仿宋_GB2312" w:eastAsia="仿宋_GB2312" w:cs="仿宋_GB2312"/>
          <w:color w:val="333333"/>
          <w:sz w:val="30"/>
          <w:szCs w:val="30"/>
          <w:shd w:val="clear" w:color="040000" w:fill="FFFFFF"/>
          <w:lang w:val="en-US" w:eastAsia="zh-CN"/>
        </w:rPr>
        <w:t>30.98</w:t>
      </w:r>
      <w:r>
        <w:rPr>
          <w:rFonts w:hint="eastAsia" w:ascii="仿宋_GB2312" w:eastAsia="仿宋_GB2312"/>
          <w:color w:val="auto"/>
          <w:kern w:val="0"/>
          <w:sz w:val="30"/>
          <w:szCs w:val="30"/>
        </w:rPr>
        <w:t>万元</w:t>
      </w:r>
      <w:r>
        <w:rPr>
          <w:rFonts w:hint="eastAsia" w:ascii="仿宋_GB2312" w:hAnsi="仿宋_GB2312" w:eastAsia="仿宋_GB2312" w:cs="仿宋_GB2312"/>
          <w:color w:val="auto"/>
          <w:kern w:val="0"/>
          <w:sz w:val="30"/>
          <w:szCs w:val="30"/>
        </w:rPr>
        <w:t>其中：基本支出</w:t>
      </w:r>
      <w:r>
        <w:rPr>
          <w:rFonts w:hint="eastAsia" w:ascii="仿宋_GB2312" w:hAnsi="仿宋_GB2312" w:eastAsia="仿宋_GB2312" w:cs="仿宋_GB2312"/>
          <w:color w:val="333333"/>
          <w:sz w:val="30"/>
          <w:szCs w:val="30"/>
          <w:shd w:val="clear" w:color="040000" w:fill="FFFFFF"/>
          <w:lang w:val="en-US" w:eastAsia="zh-CN"/>
        </w:rPr>
        <w:t>30.98</w:t>
      </w:r>
      <w:r>
        <w:rPr>
          <w:rFonts w:hint="eastAsia" w:ascii="仿宋_GB2312" w:hAnsi="仿宋_GB2312" w:eastAsia="仿宋_GB2312" w:cs="仿宋_GB2312"/>
          <w:color w:val="auto"/>
          <w:kern w:val="0"/>
          <w:sz w:val="30"/>
          <w:szCs w:val="30"/>
        </w:rPr>
        <w:t>万元，主要用于301工资福利支出中的住房公积金</w:t>
      </w:r>
      <w:r>
        <w:rPr>
          <w:rFonts w:hint="eastAsia" w:ascii="仿宋_GB2312" w:hAnsi="仿宋_GB2312" w:eastAsia="仿宋_GB2312" w:cs="仿宋_GB2312"/>
          <w:color w:val="333333"/>
          <w:sz w:val="30"/>
          <w:szCs w:val="30"/>
          <w:shd w:val="clear" w:color="040000" w:fill="FFFFFF"/>
          <w:lang w:val="en-US" w:eastAsia="zh-CN"/>
        </w:rPr>
        <w:t>30.98</w:t>
      </w:r>
      <w:r>
        <w:rPr>
          <w:rFonts w:hint="eastAsia" w:ascii="仿宋_GB2312" w:eastAsia="仿宋_GB2312"/>
          <w:color w:val="auto"/>
          <w:kern w:val="0"/>
          <w:sz w:val="30"/>
          <w:szCs w:val="30"/>
        </w:rPr>
        <w:t>万元</w:t>
      </w:r>
      <w:r>
        <w:rPr>
          <w:rFonts w:hint="eastAsia" w:ascii="仿宋_GB2312" w:eastAsia="仿宋_GB2312"/>
          <w:color w:val="auto"/>
          <w:kern w:val="0"/>
          <w:sz w:val="30"/>
          <w:szCs w:val="30"/>
          <w:lang w:eastAsia="zh-CN"/>
        </w:rPr>
        <w:t>；</w:t>
      </w:r>
      <w:r>
        <w:rPr>
          <w:rFonts w:hint="eastAsia" w:ascii="仿宋_GB2312" w:hAnsi="仿宋_GB2312" w:eastAsia="仿宋_GB2312" w:cs="仿宋_GB2312"/>
          <w:color w:val="auto"/>
          <w:kern w:val="0"/>
          <w:sz w:val="30"/>
          <w:szCs w:val="30"/>
        </w:rPr>
        <w:t>项目支出0万元</w:t>
      </w:r>
      <w:r>
        <w:rPr>
          <w:rFonts w:hint="eastAsia" w:ascii="仿宋_GB2312" w:hAnsi="仿宋_GB2312" w:eastAsia="仿宋_GB2312" w:cs="仿宋_GB2312"/>
          <w:color w:val="auto"/>
          <w:kern w:val="0"/>
          <w:sz w:val="30"/>
          <w:szCs w:val="30"/>
          <w:lang w:eastAsia="zh-CN"/>
        </w:rPr>
        <w:t>。</w:t>
      </w:r>
    </w:p>
    <w:p>
      <w:pPr>
        <w:keepNext w:val="0"/>
        <w:keepLines w:val="0"/>
        <w:pageBreakBefore w:val="0"/>
        <w:widowControl/>
        <w:numPr>
          <w:ilvl w:val="0"/>
          <w:numId w:val="3"/>
        </w:numPr>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lang w:eastAsia="zh-CN"/>
        </w:rPr>
        <w:t>县</w:t>
      </w:r>
      <w:r>
        <w:rPr>
          <w:rFonts w:ascii="黑体" w:hAnsi="黑体" w:eastAsia="黑体"/>
          <w:kern w:val="0"/>
          <w:sz w:val="30"/>
          <w:szCs w:val="30"/>
        </w:rPr>
        <w:t>对下</w:t>
      </w:r>
      <w:r>
        <w:rPr>
          <w:rFonts w:hint="eastAsia" w:ascii="黑体" w:hAnsi="黑体" w:eastAsia="黑体"/>
          <w:kern w:val="0"/>
          <w:sz w:val="30"/>
          <w:szCs w:val="30"/>
        </w:rPr>
        <w:t>专</w:t>
      </w:r>
      <w:r>
        <w:rPr>
          <w:rFonts w:ascii="黑体" w:hAnsi="黑体" w:eastAsia="黑体"/>
          <w:kern w:val="0"/>
          <w:sz w:val="30"/>
          <w:szCs w:val="30"/>
        </w:rPr>
        <w:t>项转移支付情况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kern w:val="0"/>
          <w:sz w:val="30"/>
          <w:szCs w:val="30"/>
        </w:rPr>
      </w:pPr>
      <w:r>
        <w:rPr>
          <w:rFonts w:hint="eastAsia" w:ascii="仿宋_GB2312" w:hAnsi="仿宋_GB2312" w:eastAsia="仿宋_GB2312" w:cs="仿宋_GB2312"/>
          <w:kern w:val="0"/>
          <w:sz w:val="30"/>
          <w:szCs w:val="30"/>
        </w:rPr>
        <w:t>本单位2019年无</w:t>
      </w:r>
      <w:r>
        <w:rPr>
          <w:rFonts w:hint="eastAsia" w:ascii="仿宋_GB2312" w:hAnsi="仿宋_GB2312" w:eastAsia="仿宋_GB2312" w:cs="仿宋_GB2312"/>
          <w:kern w:val="0"/>
          <w:sz w:val="30"/>
          <w:szCs w:val="30"/>
          <w:lang w:eastAsia="zh-CN"/>
        </w:rPr>
        <w:t>县</w:t>
      </w:r>
      <w:r>
        <w:rPr>
          <w:rFonts w:hint="eastAsia" w:ascii="仿宋_GB2312" w:hAnsi="仿宋_GB2312" w:eastAsia="仿宋_GB2312" w:cs="仿宋_GB2312"/>
          <w:kern w:val="0"/>
          <w:sz w:val="30"/>
          <w:szCs w:val="30"/>
        </w:rPr>
        <w:t>对下专项转移支付</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ascii="黑体" w:hAnsi="黑体" w:eastAsia="黑体"/>
          <w:kern w:val="0"/>
          <w:sz w:val="30"/>
          <w:szCs w:val="30"/>
        </w:rPr>
        <w:t>六、政府采购预算情况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eastAsia="仿宋_GB2312"/>
          <w:kern w:val="0"/>
          <w:sz w:val="30"/>
          <w:szCs w:val="30"/>
          <w:lang w:eastAsia="zh-CN"/>
        </w:rPr>
      </w:pPr>
      <w:r>
        <w:rPr>
          <w:rFonts w:hint="eastAsia" w:eastAsia="仿宋_GB2312"/>
          <w:kern w:val="0"/>
          <w:sz w:val="30"/>
          <w:szCs w:val="30"/>
          <w:lang w:eastAsia="zh-CN"/>
        </w:rPr>
        <w:t>无</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七、预算收支增减变化情况说明</w:t>
      </w:r>
    </w:p>
    <w:p>
      <w:pPr>
        <w:keepNext w:val="0"/>
        <w:keepLines w:val="0"/>
        <w:pageBreakBefore w:val="0"/>
        <w:widowControl/>
        <w:numPr>
          <w:ilvl w:val="0"/>
          <w:numId w:val="4"/>
        </w:numPr>
        <w:kinsoku/>
        <w:wordWrap/>
        <w:overflowPunct/>
        <w:topLinePunct w:val="0"/>
        <w:autoSpaceDE/>
        <w:autoSpaceDN/>
        <w:bidi w:val="0"/>
        <w:adjustRightInd/>
        <w:snapToGrid/>
        <w:ind w:firstLine="600" w:firstLineChars="200"/>
        <w:jc w:val="both"/>
        <w:textAlignment w:val="auto"/>
        <w:outlineLvl w:val="9"/>
        <w:rPr>
          <w:rFonts w:hint="eastAsia" w:ascii="楷体_GB2312" w:eastAsia="楷体_GB2312"/>
          <w:kern w:val="0"/>
          <w:sz w:val="30"/>
          <w:szCs w:val="30"/>
        </w:rPr>
      </w:pPr>
      <w:r>
        <w:rPr>
          <w:rFonts w:hint="eastAsia" w:ascii="楷体_GB2312" w:eastAsia="楷体_GB2312"/>
          <w:kern w:val="0"/>
          <w:sz w:val="30"/>
          <w:szCs w:val="30"/>
        </w:rPr>
        <w:t>部门“三公”经费增减变化情况及原因说明</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rPr>
        <w:t>2019年盈江县</w:t>
      </w:r>
      <w:r>
        <w:rPr>
          <w:rFonts w:hint="eastAsia" w:ascii="仿宋_GB2312" w:eastAsia="仿宋_GB2312"/>
          <w:kern w:val="0"/>
          <w:sz w:val="30"/>
          <w:szCs w:val="30"/>
          <w:lang w:eastAsia="zh-CN"/>
        </w:rPr>
        <w:t>油松岭乡中学</w:t>
      </w:r>
      <w:r>
        <w:rPr>
          <w:rFonts w:hint="eastAsia" w:ascii="仿宋_GB2312" w:eastAsia="仿宋_GB2312"/>
          <w:kern w:val="0"/>
          <w:sz w:val="30"/>
          <w:szCs w:val="30"/>
        </w:rPr>
        <w:t>“三公”经费预算数为</w:t>
      </w:r>
      <w:r>
        <w:rPr>
          <w:rFonts w:hint="eastAsia" w:ascii="仿宋_GB2312" w:eastAsia="仿宋_GB2312"/>
          <w:kern w:val="0"/>
          <w:sz w:val="30"/>
          <w:szCs w:val="30"/>
          <w:lang w:val="en-US" w:eastAsia="zh-CN"/>
        </w:rPr>
        <w:t>1.07</w:t>
      </w:r>
      <w:r>
        <w:rPr>
          <w:rFonts w:hint="eastAsia" w:ascii="仿宋_GB2312" w:eastAsia="仿宋_GB2312"/>
          <w:kern w:val="0"/>
          <w:sz w:val="30"/>
          <w:szCs w:val="30"/>
        </w:rPr>
        <w:t>万元，其中：因公出国（境）费用0万元、公务接待费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万元、公务用车购置及运行费</w:t>
      </w:r>
      <w:r>
        <w:rPr>
          <w:rFonts w:hint="eastAsia" w:ascii="仿宋_GB2312" w:eastAsia="仿宋_GB2312"/>
          <w:kern w:val="0"/>
          <w:sz w:val="30"/>
          <w:szCs w:val="30"/>
          <w:lang w:val="en-US" w:eastAsia="zh-CN"/>
        </w:rPr>
        <w:t>1.07</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1.07</w:t>
      </w:r>
      <w:r>
        <w:rPr>
          <w:rFonts w:hint="eastAsia" w:ascii="仿宋_GB2312" w:eastAsia="仿宋_GB2312"/>
          <w:kern w:val="0"/>
          <w:sz w:val="30"/>
          <w:szCs w:val="30"/>
        </w:rPr>
        <w:t>万元。与上年三公”经费预算数</w:t>
      </w:r>
      <w:r>
        <w:rPr>
          <w:rFonts w:hint="eastAsia" w:ascii="仿宋_GB2312" w:eastAsia="仿宋_GB2312"/>
          <w:kern w:val="0"/>
          <w:sz w:val="30"/>
          <w:szCs w:val="30"/>
          <w:lang w:val="en-US" w:eastAsia="zh-CN"/>
        </w:rPr>
        <w:t>1.07</w:t>
      </w:r>
      <w:r>
        <w:rPr>
          <w:rFonts w:hint="eastAsia" w:ascii="仿宋_GB2312" w:eastAsia="仿宋_GB2312"/>
          <w:kern w:val="0"/>
          <w:sz w:val="30"/>
          <w:szCs w:val="30"/>
        </w:rPr>
        <w:t>万元相比持平。其中:因公出国（境）费用0万元与上年预算数0万元持平，公务接待费</w:t>
      </w:r>
      <w:r>
        <w:rPr>
          <w:rFonts w:hint="eastAsia" w:ascii="仿宋_GB2312" w:eastAsia="仿宋_GB2312"/>
          <w:kern w:val="0"/>
          <w:sz w:val="30"/>
          <w:szCs w:val="30"/>
          <w:lang w:val="en-US" w:eastAsia="zh-CN"/>
        </w:rPr>
        <w:t>0</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1.07</w:t>
      </w:r>
      <w:r>
        <w:rPr>
          <w:rFonts w:hint="eastAsia" w:ascii="仿宋_GB2312" w:eastAsia="仿宋_GB2312"/>
          <w:kern w:val="0"/>
          <w:sz w:val="30"/>
          <w:szCs w:val="30"/>
        </w:rPr>
        <w:t>万元持平，公务用车购置及运行费</w:t>
      </w:r>
      <w:r>
        <w:rPr>
          <w:rFonts w:hint="eastAsia" w:ascii="仿宋_GB2312" w:eastAsia="仿宋_GB2312"/>
          <w:kern w:val="0"/>
          <w:sz w:val="30"/>
          <w:szCs w:val="30"/>
          <w:lang w:val="en-US" w:eastAsia="zh-CN"/>
        </w:rPr>
        <w:t>1.07</w:t>
      </w:r>
      <w:r>
        <w:rPr>
          <w:rFonts w:hint="eastAsia" w:ascii="仿宋_GB2312" w:eastAsia="仿宋_GB2312"/>
          <w:kern w:val="0"/>
          <w:sz w:val="30"/>
          <w:szCs w:val="30"/>
        </w:rPr>
        <w:t>万元;其中:公务用车购置费0万元、公务用车运行费</w:t>
      </w:r>
      <w:r>
        <w:rPr>
          <w:rFonts w:hint="eastAsia" w:ascii="仿宋_GB2312" w:eastAsia="仿宋_GB2312"/>
          <w:kern w:val="0"/>
          <w:sz w:val="30"/>
          <w:szCs w:val="30"/>
          <w:lang w:val="en-US" w:eastAsia="zh-CN"/>
        </w:rPr>
        <w:t>1.07</w:t>
      </w:r>
      <w:r>
        <w:rPr>
          <w:rFonts w:hint="eastAsia" w:ascii="仿宋_GB2312" w:eastAsia="仿宋_GB2312"/>
          <w:kern w:val="0"/>
          <w:sz w:val="30"/>
          <w:szCs w:val="30"/>
        </w:rPr>
        <w:t>万元与上年预算数</w:t>
      </w:r>
      <w:r>
        <w:rPr>
          <w:rFonts w:hint="eastAsia" w:ascii="仿宋_GB2312" w:eastAsia="仿宋_GB2312"/>
          <w:kern w:val="0"/>
          <w:sz w:val="30"/>
          <w:szCs w:val="30"/>
          <w:lang w:val="en-US" w:eastAsia="zh-CN"/>
        </w:rPr>
        <w:t>1.07</w:t>
      </w:r>
      <w:r>
        <w:rPr>
          <w:rFonts w:hint="eastAsia" w:ascii="仿宋_GB2312" w:eastAsia="仿宋_GB2312"/>
          <w:kern w:val="0"/>
          <w:sz w:val="30"/>
          <w:szCs w:val="30"/>
        </w:rPr>
        <w:t>万元持平。</w:t>
      </w:r>
    </w:p>
    <w:p>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600" w:lineRule="atLeast"/>
        <w:ind w:left="0" w:right="0"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楷体" w:hAnsi="楷体" w:eastAsia="楷体" w:cs="楷体"/>
          <w:kern w:val="0"/>
          <w:sz w:val="30"/>
          <w:szCs w:val="30"/>
        </w:rPr>
        <w:t>（二）</w:t>
      </w:r>
      <w:r>
        <w:rPr>
          <w:rFonts w:hint="eastAsia" w:ascii="楷体_GB2312" w:hAnsi="Times New Roman" w:eastAsia="楷体_GB2312" w:cs="Times New Roman"/>
          <w:kern w:val="0"/>
          <w:sz w:val="30"/>
          <w:szCs w:val="30"/>
          <w:lang w:val="en-US" w:eastAsia="zh-CN" w:bidi="ar-SA"/>
        </w:rPr>
        <w:t>预算收入增减变化情况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color w:val="FF0000"/>
          <w:sz w:val="30"/>
          <w:szCs w:val="30"/>
          <w:lang w:eastAsia="zh-CN"/>
        </w:rPr>
      </w:pPr>
      <w:r>
        <w:rPr>
          <w:rFonts w:hint="eastAsia" w:ascii="仿宋_GB2312" w:hAnsi="仿宋_GB2312" w:eastAsia="仿宋_GB2312" w:cs="仿宋_GB2312"/>
          <w:kern w:val="0"/>
          <w:sz w:val="30"/>
          <w:szCs w:val="30"/>
          <w:lang w:val="en-US" w:eastAsia="zh-CN"/>
        </w:rPr>
        <w:t>2019年部门预算收入</w:t>
      </w:r>
      <w:r>
        <w:rPr>
          <w:rFonts w:hint="eastAsia" w:eastAsia="仿宋_GB2312"/>
          <w:kern w:val="0"/>
          <w:sz w:val="30"/>
          <w:szCs w:val="30"/>
          <w:lang w:val="en-US" w:eastAsia="zh-CN"/>
        </w:rPr>
        <w:t>356.80</w:t>
      </w:r>
      <w:r>
        <w:rPr>
          <w:rFonts w:hint="eastAsia" w:ascii="仿宋_GB2312" w:hAnsi="仿宋_GB2312" w:eastAsia="仿宋_GB2312" w:cs="仿宋_GB2312"/>
          <w:kern w:val="0"/>
          <w:sz w:val="30"/>
          <w:szCs w:val="30"/>
        </w:rPr>
        <w:t>万元</w:t>
      </w:r>
      <w:r>
        <w:rPr>
          <w:rFonts w:hint="eastAsia" w:ascii="仿宋_GB2312" w:hAnsi="仿宋_GB2312" w:eastAsia="仿宋_GB2312" w:cs="仿宋_GB2312"/>
          <w:kern w:val="0"/>
          <w:sz w:val="30"/>
          <w:szCs w:val="30"/>
          <w:lang w:eastAsia="zh-CN"/>
        </w:rPr>
        <w:t>，比上年预算数</w:t>
      </w:r>
      <w:r>
        <w:rPr>
          <w:rFonts w:hint="eastAsia" w:ascii="宋体" w:hAnsi="宋体" w:eastAsia="宋体" w:cs="宋体"/>
          <w:sz w:val="28"/>
          <w:szCs w:val="28"/>
          <w:lang w:val="en-US" w:eastAsia="zh-CN"/>
        </w:rPr>
        <w:t>301.14</w:t>
      </w:r>
      <w:r>
        <w:rPr>
          <w:rFonts w:hint="eastAsia" w:ascii="仿宋_GB2312" w:hAnsi="仿宋_GB2312" w:eastAsia="仿宋_GB2312" w:cs="仿宋_GB2312"/>
          <w:kern w:val="0"/>
          <w:sz w:val="30"/>
          <w:szCs w:val="30"/>
          <w:lang w:val="en-US" w:eastAsia="zh-CN"/>
        </w:rPr>
        <w:t>万元</w:t>
      </w:r>
      <w:r>
        <w:rPr>
          <w:rFonts w:hint="eastAsia" w:ascii="仿宋_GB2312" w:hAnsi="仿宋_GB2312" w:eastAsia="仿宋_GB2312" w:cs="仿宋_GB2312"/>
          <w:kern w:val="0"/>
          <w:sz w:val="30"/>
          <w:szCs w:val="30"/>
          <w:lang w:eastAsia="zh-CN"/>
        </w:rPr>
        <w:t>增</w:t>
      </w:r>
      <w:r>
        <w:rPr>
          <w:rFonts w:hint="eastAsia" w:ascii="仿宋_GB2312" w:hAnsi="仿宋_GB2312" w:eastAsia="仿宋_GB2312" w:cs="仿宋_GB2312"/>
          <w:kern w:val="0"/>
          <w:sz w:val="30"/>
          <w:szCs w:val="30"/>
          <w:lang w:val="en-US" w:eastAsia="zh-CN"/>
        </w:rPr>
        <w:t>55.66万元，增加18.48%。增加原因：调增人员工资。</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 w:hAnsi="楷体" w:eastAsia="楷体" w:cs="楷体"/>
          <w:kern w:val="0"/>
          <w:sz w:val="30"/>
          <w:szCs w:val="30"/>
        </w:rPr>
        <w:t>（</w:t>
      </w:r>
      <w:r>
        <w:rPr>
          <w:rFonts w:hint="eastAsia" w:ascii="楷体" w:hAnsi="楷体" w:eastAsia="楷体" w:cs="楷体"/>
          <w:kern w:val="0"/>
          <w:sz w:val="30"/>
          <w:szCs w:val="30"/>
          <w:lang w:eastAsia="zh-CN"/>
        </w:rPr>
        <w:t>三</w:t>
      </w:r>
      <w:r>
        <w:rPr>
          <w:rFonts w:hint="eastAsia" w:ascii="楷体" w:hAnsi="楷体" w:eastAsia="楷体" w:cs="楷体"/>
          <w:kern w:val="0"/>
          <w:sz w:val="30"/>
          <w:szCs w:val="30"/>
        </w:rPr>
        <w:t>）</w:t>
      </w:r>
      <w:r>
        <w:rPr>
          <w:rFonts w:hint="eastAsia" w:ascii="楷体_GB2312" w:hAnsi="Times New Roman" w:eastAsia="楷体_GB2312" w:cs="Times New Roman"/>
          <w:kern w:val="0"/>
          <w:sz w:val="30"/>
          <w:szCs w:val="30"/>
          <w:lang w:val="en-US" w:eastAsia="zh-CN" w:bidi="ar-SA"/>
        </w:rPr>
        <w:t>部门基本支出预算变动的主要原因，对本年与上年同口径数据比对情况分析</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楷体" w:hAnsi="楷体" w:eastAsia="楷体" w:cs="楷体"/>
          <w:kern w:val="0"/>
          <w:sz w:val="30"/>
          <w:szCs w:val="30"/>
        </w:rPr>
      </w:pPr>
      <w:r>
        <w:rPr>
          <w:rFonts w:hint="eastAsia" w:ascii="仿宋_GB2312" w:eastAsia="仿宋_GB2312"/>
          <w:kern w:val="0"/>
          <w:sz w:val="30"/>
          <w:szCs w:val="30"/>
        </w:rPr>
        <w:t>2019 年盈江县</w:t>
      </w:r>
      <w:r>
        <w:rPr>
          <w:rFonts w:hint="eastAsia" w:ascii="仿宋_GB2312" w:eastAsia="仿宋_GB2312"/>
          <w:kern w:val="0"/>
          <w:sz w:val="30"/>
          <w:szCs w:val="30"/>
          <w:lang w:eastAsia="zh-CN"/>
        </w:rPr>
        <w:t>油松岭乡中学</w:t>
      </w:r>
      <w:r>
        <w:rPr>
          <w:rFonts w:hint="eastAsia" w:ascii="仿宋_GB2312" w:eastAsia="仿宋_GB2312"/>
          <w:kern w:val="0"/>
          <w:sz w:val="30"/>
          <w:szCs w:val="30"/>
        </w:rPr>
        <w:t>基本支出</w:t>
      </w:r>
      <w:r>
        <w:rPr>
          <w:rFonts w:hint="eastAsia" w:eastAsia="仿宋_GB2312"/>
          <w:kern w:val="0"/>
          <w:sz w:val="30"/>
          <w:szCs w:val="30"/>
          <w:lang w:val="en-US" w:eastAsia="zh-CN"/>
        </w:rPr>
        <w:t>356.80</w:t>
      </w:r>
      <w:r>
        <w:rPr>
          <w:rFonts w:hint="eastAsia" w:ascii="仿宋_GB2312" w:eastAsia="仿宋_GB2312"/>
          <w:kern w:val="0"/>
          <w:sz w:val="30"/>
          <w:szCs w:val="30"/>
        </w:rPr>
        <w:t>万元与上年同期数</w:t>
      </w:r>
      <w:r>
        <w:rPr>
          <w:rFonts w:hint="eastAsia" w:ascii="宋体" w:hAnsi="宋体" w:eastAsia="宋体" w:cs="宋体"/>
          <w:sz w:val="28"/>
          <w:szCs w:val="28"/>
          <w:lang w:val="en-US" w:eastAsia="zh-CN"/>
        </w:rPr>
        <w:t>301.14</w:t>
      </w:r>
      <w:r>
        <w:rPr>
          <w:rFonts w:hint="eastAsia" w:ascii="仿宋_GB2312" w:eastAsia="仿宋_GB2312"/>
          <w:kern w:val="0"/>
          <w:sz w:val="30"/>
          <w:szCs w:val="30"/>
        </w:rPr>
        <w:t>万元相比，增加</w:t>
      </w:r>
      <w:r>
        <w:rPr>
          <w:rFonts w:hint="eastAsia" w:ascii="仿宋_GB2312" w:hAnsi="仿宋_GB2312" w:eastAsia="仿宋_GB2312" w:cs="仿宋_GB2312"/>
          <w:kern w:val="0"/>
          <w:sz w:val="30"/>
          <w:szCs w:val="30"/>
          <w:lang w:val="en-US" w:eastAsia="zh-CN"/>
        </w:rPr>
        <w:t>55.66</w:t>
      </w:r>
      <w:r>
        <w:rPr>
          <w:rFonts w:hint="eastAsia" w:ascii="仿宋_GB2312" w:eastAsia="仿宋_GB2312"/>
          <w:kern w:val="0"/>
          <w:sz w:val="30"/>
          <w:szCs w:val="30"/>
        </w:rPr>
        <w:t>万元增幅为</w:t>
      </w:r>
      <w:r>
        <w:rPr>
          <w:rFonts w:hint="eastAsia" w:ascii="仿宋_GB2312" w:hAnsi="仿宋_GB2312" w:eastAsia="仿宋_GB2312" w:cs="仿宋_GB2312"/>
          <w:kern w:val="0"/>
          <w:sz w:val="30"/>
          <w:szCs w:val="30"/>
          <w:lang w:val="en-US" w:eastAsia="zh-CN"/>
        </w:rPr>
        <w:t>18.48%</w:t>
      </w:r>
      <w:r>
        <w:rPr>
          <w:rFonts w:hint="eastAsia" w:ascii="仿宋_GB2312" w:eastAsia="仿宋_GB2312"/>
          <w:kern w:val="0"/>
          <w:sz w:val="30"/>
          <w:szCs w:val="30"/>
        </w:rPr>
        <w:t>，主要是在职职工调</w:t>
      </w:r>
      <w:r>
        <w:rPr>
          <w:rFonts w:hint="eastAsia" w:ascii="仿宋_GB2312" w:eastAsia="仿宋_GB2312"/>
          <w:kern w:val="0"/>
          <w:sz w:val="30"/>
          <w:szCs w:val="30"/>
          <w:lang w:eastAsia="zh-CN"/>
        </w:rPr>
        <w:t>增</w:t>
      </w:r>
      <w:r>
        <w:rPr>
          <w:rFonts w:hint="eastAsia" w:ascii="仿宋_GB2312" w:eastAsia="仿宋_GB2312"/>
          <w:kern w:val="0"/>
          <w:sz w:val="30"/>
          <w:szCs w:val="30"/>
        </w:rPr>
        <w:t>基本工资标准和津贴补贴。</w:t>
      </w:r>
    </w:p>
    <w:p>
      <w:pPr>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楷体_GB2312" w:hAnsi="Times New Roman" w:eastAsia="楷体_GB2312" w:cs="Times New Roman"/>
          <w:kern w:val="0"/>
          <w:sz w:val="30"/>
          <w:szCs w:val="30"/>
          <w:lang w:val="en-US" w:eastAsia="zh-CN" w:bidi="ar-SA"/>
        </w:rPr>
      </w:pPr>
      <w:r>
        <w:rPr>
          <w:rFonts w:hint="eastAsia" w:ascii="楷体_GB2312" w:eastAsia="楷体_GB2312" w:cs="Times New Roman"/>
          <w:kern w:val="0"/>
          <w:sz w:val="30"/>
          <w:szCs w:val="30"/>
          <w:lang w:val="en-US" w:eastAsia="zh-CN" w:bidi="ar-SA"/>
        </w:rPr>
        <w:t>（四）</w:t>
      </w:r>
      <w:r>
        <w:rPr>
          <w:rFonts w:hint="eastAsia" w:ascii="楷体_GB2312" w:hAnsi="Times New Roman" w:eastAsia="楷体_GB2312" w:cs="Times New Roman"/>
          <w:kern w:val="0"/>
          <w:sz w:val="30"/>
          <w:szCs w:val="30"/>
          <w:lang w:val="en-US" w:eastAsia="zh-CN" w:bidi="ar-SA"/>
        </w:rPr>
        <w:t>项目支出情况</w:t>
      </w:r>
    </w:p>
    <w:p>
      <w:pPr>
        <w:pStyle w:val="14"/>
        <w:keepNext w:val="0"/>
        <w:keepLines w:val="0"/>
        <w:pageBreakBefore w:val="0"/>
        <w:kinsoku/>
        <w:wordWrap/>
        <w:overflowPunct/>
        <w:topLinePunct w:val="0"/>
        <w:autoSpaceDE/>
        <w:autoSpaceDN/>
        <w:bidi w:val="0"/>
        <w:adjustRightInd/>
        <w:snapToGrid/>
        <w:ind w:firstLine="600" w:firstLineChars="200"/>
        <w:jc w:val="both"/>
        <w:textAlignment w:val="auto"/>
        <w:outlineLvl w:val="9"/>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201</w:t>
      </w:r>
      <w:r>
        <w:rPr>
          <w:rFonts w:hint="eastAsia" w:ascii="仿宋_GB2312" w:hAnsi="仿宋_GB2312" w:eastAsia="仿宋_GB2312" w:cs="仿宋_GB2312"/>
          <w:sz w:val="30"/>
          <w:szCs w:val="30"/>
          <w:lang w:val="en-US" w:eastAsia="zh-CN"/>
        </w:rPr>
        <w:t>9</w:t>
      </w:r>
      <w:r>
        <w:rPr>
          <w:rFonts w:hint="eastAsia" w:ascii="仿宋_GB2312" w:hAnsi="仿宋_GB2312" w:eastAsia="仿宋_GB2312" w:cs="仿宋_GB2312"/>
          <w:sz w:val="30"/>
          <w:szCs w:val="30"/>
        </w:rPr>
        <w:t>年盈江县</w:t>
      </w:r>
      <w:r>
        <w:rPr>
          <w:rFonts w:hint="eastAsia" w:ascii="仿宋_GB2312" w:hAnsi="仿宋_GB2312" w:eastAsia="仿宋_GB2312" w:cs="仿宋_GB2312"/>
          <w:sz w:val="30"/>
          <w:szCs w:val="30"/>
          <w:lang w:eastAsia="zh-CN"/>
        </w:rPr>
        <w:t>油松岭乡中学与</w:t>
      </w:r>
      <w:r>
        <w:rPr>
          <w:rFonts w:hint="eastAsia" w:ascii="仿宋_GB2312" w:hAnsi="仿宋_GB2312" w:eastAsia="仿宋_GB2312" w:cs="仿宋_GB2312"/>
          <w:sz w:val="30"/>
          <w:szCs w:val="30"/>
          <w:lang w:val="en-US" w:eastAsia="zh-CN"/>
        </w:rPr>
        <w:t>2018年一致无项目支出</w:t>
      </w:r>
      <w:r>
        <w:rPr>
          <w:rFonts w:hint="eastAsia" w:ascii="仿宋_GB2312" w:hAnsi="仿宋_GB2312" w:eastAsia="仿宋_GB2312" w:cs="仿宋_GB2312"/>
          <w:sz w:val="30"/>
          <w:szCs w:val="30"/>
        </w:rPr>
        <w:t>。</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黑体" w:hAnsi="黑体" w:eastAsia="黑体"/>
          <w:kern w:val="0"/>
          <w:sz w:val="30"/>
          <w:szCs w:val="30"/>
        </w:rPr>
      </w:pPr>
      <w:r>
        <w:rPr>
          <w:rFonts w:hint="eastAsia" w:ascii="黑体" w:hAnsi="黑体" w:eastAsia="黑体"/>
          <w:kern w:val="0"/>
          <w:sz w:val="30"/>
          <w:szCs w:val="30"/>
        </w:rPr>
        <w:t>八</w:t>
      </w:r>
      <w:r>
        <w:rPr>
          <w:rFonts w:ascii="黑体" w:hAnsi="黑体" w:eastAsia="黑体"/>
          <w:kern w:val="0"/>
          <w:sz w:val="30"/>
          <w:szCs w:val="30"/>
        </w:rPr>
        <w:t>、其他公开信息</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（一）专业名词解释</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1.财政拨款（补助）收入指财政部门当年拨付的资金。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2.事业收入指事业单位开展业务活动取得的收入。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3.事业单位经营收入指事业单位在业务活动之外开展非独立核算经营活动取得的收入。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4.其他收入指预算单位在“财政拨款收入”、“事业收入”、“经营收入”之外取得的收入。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5.基本支出指为保障机构正常运转、完成日常工作任务而发生的人员支出和公用支出。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rPr>
        <w:t xml:space="preserve">6.项目支出指在基本支出之外为完成相关行政任务和事业发展目标所发生的支出。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7.机关运行经费指行政单位和参照公务员法管理的事业单位使用一般公共预算财政拨款安排的基本支出中的日常公用经费支出。包括办公及印刷费、邮电费、差旅费、会议费、福利费、日常维修费、专用材料及一般设备购置费、办公用房水电费、办公用房取暖费、办公用房物业管理费、公务用车运行维护费以及其他费用。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8.“三公”经费包括因公出国（境）费、公务用车购置及运行费、公务接待费。其中：因公出国（境）费，指单位工作人员公务出国（境）的住宿费、</w:t>
      </w:r>
      <w:r>
        <w:rPr>
          <w:rFonts w:hint="eastAsia" w:ascii="仿宋_GB2312" w:hAnsi="仿宋_GB2312" w:eastAsia="仿宋_GB2312" w:cs="仿宋_GB2312"/>
          <w:color w:val="333333"/>
          <w:kern w:val="0"/>
          <w:sz w:val="30"/>
          <w:szCs w:val="30"/>
          <w:lang w:eastAsia="zh-CN" w:bidi="ar"/>
        </w:rPr>
        <w:t>差</w:t>
      </w:r>
      <w:r>
        <w:rPr>
          <w:rFonts w:hint="eastAsia" w:ascii="仿宋_GB2312" w:hAnsi="仿宋_GB2312" w:eastAsia="仿宋_GB2312" w:cs="仿宋_GB2312"/>
          <w:color w:val="333333"/>
          <w:kern w:val="0"/>
          <w:sz w:val="30"/>
          <w:szCs w:val="30"/>
          <w:lang w:bidi="ar"/>
        </w:rPr>
        <w:t xml:space="preserve">旅费、伙食补助费、杂费、培训费等支出；公务用车购置及运行费，指单位公务用车购置费及租用费、燃料费、维修费、过路过桥费、保险费、安全奖励费用等支出，公务用车指用于履行公务的机动车辆，包括省部级干部专车、一般公务用车和执法执勤用车；公务接待费，指单位按规定开支的各类公务接待（含外宾接待）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9.一般公共预算是对以税收为主体的财政收入，安排用于保障和改善民生、推动经济社会发展、维护国家安全、维护国家机构正常运转等方面的收支预算。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10.非税收入是各级政府及其所属部门和单位依法利用行政权力、政府信誉、国家资源、国有资产或提供特定公共服务征收、收取、提取、募集的除税收和政府债务收入以外的财政收入。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11.工资福利支出反映单位开支的在职职工和编制外长期聘用人员的各类劳动报酬，以及为上述人员缴纳的各项社会保险费等。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12.商品和服务支出反映单位购买商品和服务的支出（不包括用于购置固定资产的支出、战略性和应急储备支出）。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sz w:val="30"/>
          <w:szCs w:val="30"/>
        </w:rPr>
      </w:pPr>
      <w:r>
        <w:rPr>
          <w:rFonts w:hint="eastAsia" w:ascii="仿宋_GB2312" w:hAnsi="仿宋_GB2312" w:eastAsia="仿宋_GB2312" w:cs="仿宋_GB2312"/>
          <w:color w:val="333333"/>
          <w:kern w:val="0"/>
          <w:sz w:val="30"/>
          <w:szCs w:val="30"/>
          <w:lang w:bidi="ar"/>
        </w:rPr>
        <w:t xml:space="preserve">13.对个人和家庭的补助反映政府用于对个人和家庭的补助支出。 </w:t>
      </w:r>
    </w:p>
    <w:p>
      <w:pPr>
        <w:keepNext w:val="0"/>
        <w:keepLines w:val="0"/>
        <w:pageBreakBefore w:val="0"/>
        <w:widowControl/>
        <w:kinsoku/>
        <w:wordWrap/>
        <w:overflowPunct/>
        <w:topLinePunct w:val="0"/>
        <w:autoSpaceDE/>
        <w:autoSpaceDN/>
        <w:bidi w:val="0"/>
        <w:adjustRightInd/>
        <w:snapToGrid/>
        <w:spacing w:line="560" w:lineRule="exact"/>
        <w:ind w:firstLine="600" w:firstLineChars="200"/>
        <w:jc w:val="both"/>
        <w:textAlignment w:val="auto"/>
        <w:outlineLvl w:val="9"/>
        <w:rPr>
          <w:rFonts w:ascii="仿宋_GB2312" w:hAnsi="仿宋_GB2312" w:eastAsia="仿宋_GB2312" w:cs="仿宋_GB2312"/>
          <w:kern w:val="0"/>
          <w:sz w:val="30"/>
          <w:szCs w:val="30"/>
        </w:rPr>
      </w:pPr>
      <w:r>
        <w:rPr>
          <w:rFonts w:hint="eastAsia" w:ascii="仿宋_GB2312" w:hAnsi="仿宋_GB2312" w:eastAsia="仿宋_GB2312" w:cs="仿宋_GB2312"/>
          <w:color w:val="333333"/>
          <w:kern w:val="0"/>
          <w:sz w:val="30"/>
          <w:szCs w:val="30"/>
          <w:lang w:bidi="ar"/>
        </w:rPr>
        <w:t>14.政府采购是指各级国家机关、事业单位和团体组织，使用财政性资金采购依法制定的集中采购目录以内的或者采购限额标准以上的货物、工程和服务的行为。</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（二）</w:t>
      </w:r>
      <w:r>
        <w:rPr>
          <w:rFonts w:hint="eastAsia" w:ascii="楷体_GB2312" w:eastAsia="楷体_GB2312"/>
          <w:kern w:val="0"/>
          <w:sz w:val="30"/>
          <w:szCs w:val="30"/>
          <w:lang w:eastAsia="zh-CN"/>
        </w:rPr>
        <w:t>机关</w:t>
      </w:r>
      <w:r>
        <w:rPr>
          <w:rFonts w:ascii="楷体_GB2312" w:eastAsia="楷体_GB2312"/>
          <w:kern w:val="0"/>
          <w:sz w:val="30"/>
          <w:szCs w:val="30"/>
        </w:rPr>
        <w:t>运行经费安排</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仿宋_GB2312" w:eastAsia="仿宋_GB2312"/>
          <w:kern w:val="0"/>
          <w:sz w:val="30"/>
          <w:szCs w:val="30"/>
          <w:lang w:val="en-US" w:eastAsia="zh-CN"/>
        </w:rPr>
        <w:t xml:space="preserve">无 </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ascii="楷体_GB2312" w:eastAsia="楷体_GB2312"/>
          <w:kern w:val="0"/>
          <w:sz w:val="30"/>
          <w:szCs w:val="30"/>
        </w:rPr>
        <w:t>国有资产占用情况</w:t>
      </w:r>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hint="eastAsia" w:ascii="仿宋_GB2312" w:eastAsia="仿宋_GB2312"/>
          <w:kern w:val="0"/>
          <w:sz w:val="30"/>
          <w:szCs w:val="30"/>
        </w:rPr>
      </w:pPr>
      <w:r>
        <w:rPr>
          <w:rFonts w:hint="eastAsia" w:ascii="楷体_GB2312" w:eastAsia="楷体_GB2312"/>
          <w:kern w:val="0"/>
          <w:sz w:val="30"/>
          <w:szCs w:val="30"/>
        </w:rPr>
        <w:t xml:space="preserve"> </w:t>
      </w:r>
      <w:r>
        <w:rPr>
          <w:rFonts w:hint="eastAsia" w:ascii="仿宋_GB2312" w:eastAsia="仿宋_GB2312"/>
          <w:kern w:val="0"/>
          <w:sz w:val="30"/>
          <w:szCs w:val="30"/>
        </w:rPr>
        <w:t>鉴于截至2019年12月31日的国有资产占有使用情况需在完成2019年决算编制后才能统计汇总相关数据，因此，将在公开</w:t>
      </w:r>
      <w:r>
        <w:rPr>
          <w:rFonts w:hint="eastAsia" w:ascii="仿宋_GB2312" w:eastAsia="仿宋_GB2312"/>
          <w:kern w:val="0"/>
          <w:sz w:val="30"/>
          <w:szCs w:val="30"/>
          <w:lang w:val="en-US" w:eastAsia="zh-CN"/>
        </w:rPr>
        <w:t>2019</w:t>
      </w:r>
      <w:r>
        <w:rPr>
          <w:rFonts w:hint="eastAsia" w:ascii="仿宋_GB2312" w:eastAsia="仿宋_GB2312"/>
          <w:kern w:val="0"/>
          <w:sz w:val="30"/>
          <w:szCs w:val="30"/>
        </w:rPr>
        <w:t>年度部门决算时一并公开部门截至2019年12月31日的国有资产占有使用情况。</w:t>
      </w:r>
    </w:p>
    <w:p>
      <w:pPr>
        <w:keepNext w:val="0"/>
        <w:keepLines w:val="0"/>
        <w:pageBreakBefore w:val="0"/>
        <w:widowControl/>
        <w:numPr>
          <w:ilvl w:val="0"/>
          <w:numId w:val="5"/>
        </w:numPr>
        <w:kinsoku/>
        <w:wordWrap/>
        <w:overflowPunct/>
        <w:topLinePunct w:val="0"/>
        <w:autoSpaceDE/>
        <w:autoSpaceDN/>
        <w:bidi w:val="0"/>
        <w:adjustRightInd/>
        <w:snapToGrid/>
        <w:ind w:firstLine="600" w:firstLineChars="200"/>
        <w:jc w:val="both"/>
        <w:textAlignment w:val="auto"/>
        <w:outlineLvl w:val="9"/>
        <w:rPr>
          <w:rFonts w:ascii="楷体_GB2312" w:eastAsia="楷体_GB2312"/>
          <w:kern w:val="0"/>
          <w:sz w:val="30"/>
          <w:szCs w:val="30"/>
        </w:rPr>
      </w:pPr>
      <w:r>
        <w:rPr>
          <w:rFonts w:hint="eastAsia" w:ascii="楷体_GB2312" w:eastAsia="楷体_GB2312"/>
          <w:kern w:val="0"/>
          <w:sz w:val="30"/>
          <w:szCs w:val="30"/>
        </w:rPr>
        <w:t>本部门预算绩效情况说明</w:t>
      </w:r>
      <w:bookmarkStart w:id="0" w:name="_GoBack"/>
      <w:bookmarkEnd w:id="0"/>
    </w:p>
    <w:p>
      <w:pPr>
        <w:keepNext w:val="0"/>
        <w:keepLines w:val="0"/>
        <w:pageBreakBefore w:val="0"/>
        <w:widowControl/>
        <w:kinsoku/>
        <w:wordWrap/>
        <w:overflowPunct/>
        <w:topLinePunct w:val="0"/>
        <w:autoSpaceDE/>
        <w:autoSpaceDN/>
        <w:bidi w:val="0"/>
        <w:adjustRightInd/>
        <w:snapToGrid/>
        <w:ind w:firstLine="600" w:firstLineChars="200"/>
        <w:jc w:val="both"/>
        <w:textAlignment w:val="auto"/>
        <w:outlineLvl w:val="9"/>
        <w:rPr>
          <w:rFonts w:eastAsia="仿宋_GB2312"/>
          <w:kern w:val="0"/>
          <w:sz w:val="30"/>
          <w:szCs w:val="30"/>
        </w:rPr>
      </w:pPr>
      <w:r>
        <w:rPr>
          <w:rFonts w:hint="eastAsia" w:eastAsia="仿宋_GB2312"/>
          <w:kern w:val="0"/>
          <w:sz w:val="30"/>
          <w:szCs w:val="30"/>
          <w:lang w:val="en-US" w:eastAsia="zh-CN"/>
        </w:rPr>
        <w:t>2019</w:t>
      </w:r>
      <w:r>
        <w:rPr>
          <w:rFonts w:eastAsia="仿宋_GB2312"/>
          <w:kern w:val="0"/>
          <w:sz w:val="30"/>
          <w:szCs w:val="30"/>
        </w:rPr>
        <w:t xml:space="preserve">年部门预算总支出 </w:t>
      </w:r>
      <w:r>
        <w:rPr>
          <w:rFonts w:hint="eastAsia" w:eastAsia="仿宋_GB2312"/>
          <w:kern w:val="0"/>
          <w:sz w:val="30"/>
          <w:szCs w:val="30"/>
          <w:lang w:val="en-US" w:eastAsia="zh-CN"/>
        </w:rPr>
        <w:t>356.80</w:t>
      </w:r>
      <w:r>
        <w:rPr>
          <w:rFonts w:eastAsia="仿宋_GB2312"/>
          <w:kern w:val="0"/>
          <w:sz w:val="30"/>
          <w:szCs w:val="30"/>
        </w:rPr>
        <w:t>万元。</w:t>
      </w:r>
      <w:r>
        <w:rPr>
          <w:rFonts w:hint="eastAsia" w:eastAsia="仿宋_GB2312"/>
          <w:kern w:val="0"/>
          <w:sz w:val="30"/>
          <w:szCs w:val="30"/>
        </w:rPr>
        <w:t>财政拨款</w:t>
      </w:r>
      <w:r>
        <w:rPr>
          <w:rFonts w:eastAsia="仿宋_GB2312"/>
          <w:kern w:val="0"/>
          <w:sz w:val="30"/>
          <w:szCs w:val="30"/>
        </w:rPr>
        <w:t xml:space="preserve">安排支出 </w:t>
      </w:r>
      <w:r>
        <w:rPr>
          <w:rFonts w:hint="eastAsia" w:eastAsia="仿宋_GB2312"/>
          <w:kern w:val="0"/>
          <w:sz w:val="30"/>
          <w:szCs w:val="30"/>
          <w:lang w:val="en-US" w:eastAsia="zh-CN"/>
        </w:rPr>
        <w:t>356.80</w:t>
      </w:r>
      <w:r>
        <w:rPr>
          <w:rFonts w:eastAsia="仿宋_GB2312"/>
          <w:kern w:val="0"/>
          <w:sz w:val="30"/>
          <w:szCs w:val="30"/>
        </w:rPr>
        <w:t>万元，</w:t>
      </w:r>
      <w:r>
        <w:rPr>
          <w:rFonts w:hint="eastAsia" w:eastAsia="仿宋_GB2312"/>
          <w:kern w:val="0"/>
          <w:sz w:val="30"/>
          <w:szCs w:val="30"/>
          <w:lang w:eastAsia="zh-CN"/>
        </w:rPr>
        <w:t>其中</w:t>
      </w:r>
      <w:r>
        <w:rPr>
          <w:rFonts w:eastAsia="仿宋_GB2312"/>
          <w:kern w:val="0"/>
          <w:sz w:val="30"/>
          <w:szCs w:val="30"/>
        </w:rPr>
        <w:t>基本支出</w:t>
      </w:r>
      <w:r>
        <w:rPr>
          <w:rFonts w:hint="eastAsia" w:eastAsia="仿宋_GB2312"/>
          <w:kern w:val="0"/>
          <w:sz w:val="30"/>
          <w:szCs w:val="30"/>
          <w:lang w:val="en-US" w:eastAsia="zh-CN"/>
        </w:rPr>
        <w:t>356.80</w:t>
      </w:r>
      <w:r>
        <w:rPr>
          <w:rFonts w:eastAsia="仿宋_GB2312"/>
          <w:kern w:val="0"/>
          <w:sz w:val="30"/>
          <w:szCs w:val="30"/>
        </w:rPr>
        <w:t>万元，</w:t>
      </w:r>
      <w:r>
        <w:rPr>
          <w:rFonts w:hint="eastAsia" w:ascii="仿宋_GB2312" w:eastAsia="仿宋_GB2312"/>
          <w:kern w:val="0"/>
          <w:sz w:val="30"/>
          <w:szCs w:val="30"/>
        </w:rPr>
        <w:t>主要用于发放职工工资，</w:t>
      </w:r>
      <w:r>
        <w:rPr>
          <w:rFonts w:hint="eastAsia" w:ascii="仿宋_GB2312" w:hAnsi="仿宋_GB2312" w:eastAsia="仿宋_GB2312" w:cs="仿宋_GB2312"/>
          <w:kern w:val="0"/>
          <w:sz w:val="30"/>
          <w:szCs w:val="30"/>
        </w:rPr>
        <w:t>归口管理的行政单位离退休、</w:t>
      </w:r>
      <w:r>
        <w:rPr>
          <w:rFonts w:hint="eastAsia" w:ascii="仿宋_GB2312" w:eastAsia="仿宋_GB2312"/>
          <w:kern w:val="0"/>
          <w:sz w:val="30"/>
          <w:szCs w:val="30"/>
        </w:rPr>
        <w:t>基本养老保险缴费，住房公积金，支付公用经费确保机构正常运转。</w:t>
      </w:r>
      <w:r>
        <w:rPr>
          <w:rFonts w:eastAsia="仿宋_GB2312"/>
          <w:kern w:val="0"/>
          <w:sz w:val="30"/>
          <w:szCs w:val="30"/>
        </w:rPr>
        <w:t>项目支出</w:t>
      </w:r>
      <w:r>
        <w:rPr>
          <w:rFonts w:hint="eastAsia" w:eastAsia="仿宋_GB2312"/>
          <w:kern w:val="0"/>
          <w:sz w:val="30"/>
          <w:szCs w:val="30"/>
          <w:lang w:val="en-US" w:eastAsia="zh-CN"/>
        </w:rPr>
        <w:t>0</w:t>
      </w:r>
      <w:r>
        <w:rPr>
          <w:rFonts w:eastAsia="仿宋_GB2312"/>
          <w:kern w:val="0"/>
          <w:sz w:val="30"/>
          <w:szCs w:val="30"/>
        </w:rPr>
        <w:t>万元。</w:t>
      </w:r>
    </w:p>
    <w:p>
      <w:pPr>
        <w:widowControl/>
        <w:jc w:val="left"/>
        <w:rPr>
          <w:rFonts w:hint="eastAsia" w:ascii="仿宋_GB2312" w:eastAsia="仿宋_GB2312"/>
          <w:kern w:val="0"/>
          <w:sz w:val="30"/>
          <w:szCs w:val="30"/>
        </w:rPr>
      </w:pPr>
    </w:p>
    <w:p>
      <w:pPr>
        <w:widowControl/>
        <w:jc w:val="left"/>
        <w:rPr>
          <w:rFonts w:ascii="楷体_GB2312" w:eastAsia="楷体_GB2312"/>
          <w:kern w:val="0"/>
          <w:sz w:val="30"/>
          <w:szCs w:val="30"/>
        </w:rPr>
      </w:pPr>
    </w:p>
    <w:sectPr>
      <w:headerReference r:id="rId3" w:type="default"/>
      <w:headerReference r:id="rId4" w:type="even"/>
      <w:pgSz w:w="11906" w:h="16838"/>
      <w:pgMar w:top="1247" w:right="1797" w:bottom="1247"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altName w:val="Arial Unicode MS"/>
    <w:panose1 w:val="02010609060101010101"/>
    <w:charset w:val="86"/>
    <w:family w:val="auto"/>
    <w:pitch w:val="default"/>
    <w:sig w:usb0="00000000" w:usb1="00000000" w:usb2="00000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DA9B9"/>
    <w:multiLevelType w:val="singleLevel"/>
    <w:tmpl w:val="5C3DA9B9"/>
    <w:lvl w:ilvl="0" w:tentative="0">
      <w:start w:val="3"/>
      <w:numFmt w:val="chineseCounting"/>
      <w:suff w:val="nothing"/>
      <w:lvlText w:val="（%1）"/>
      <w:lvlJc w:val="left"/>
    </w:lvl>
  </w:abstractNum>
  <w:abstractNum w:abstractNumId="1">
    <w:nsid w:val="5C47BA42"/>
    <w:multiLevelType w:val="singleLevel"/>
    <w:tmpl w:val="5C47BA42"/>
    <w:lvl w:ilvl="0" w:tentative="0">
      <w:start w:val="2"/>
      <w:numFmt w:val="chineseCounting"/>
      <w:suff w:val="nothing"/>
      <w:lvlText w:val="（%1）"/>
      <w:lvlJc w:val="left"/>
    </w:lvl>
  </w:abstractNum>
  <w:abstractNum w:abstractNumId="2">
    <w:nsid w:val="5C47DBBF"/>
    <w:multiLevelType w:val="singleLevel"/>
    <w:tmpl w:val="5C47DBBF"/>
    <w:lvl w:ilvl="0" w:tentative="0">
      <w:start w:val="4"/>
      <w:numFmt w:val="chineseCounting"/>
      <w:suff w:val="nothing"/>
      <w:lvlText w:val="%1、"/>
      <w:lvlJc w:val="left"/>
    </w:lvl>
  </w:abstractNum>
  <w:abstractNum w:abstractNumId="3">
    <w:nsid w:val="5C47DC0A"/>
    <w:multiLevelType w:val="singleLevel"/>
    <w:tmpl w:val="5C47DC0A"/>
    <w:lvl w:ilvl="0" w:tentative="0">
      <w:start w:val="5"/>
      <w:numFmt w:val="chineseCounting"/>
      <w:suff w:val="nothing"/>
      <w:lvlText w:val="%1、"/>
      <w:lvlJc w:val="left"/>
    </w:lvl>
  </w:abstractNum>
  <w:abstractNum w:abstractNumId="4">
    <w:nsid w:val="5CB6EB83"/>
    <w:multiLevelType w:val="singleLevel"/>
    <w:tmpl w:val="5CB6EB83"/>
    <w:lvl w:ilvl="0" w:tentative="0">
      <w:start w:val="1"/>
      <w:numFmt w:val="chineseCounting"/>
      <w:suff w:val="nothing"/>
      <w:lvlText w:val="（%1）"/>
      <w:lvlJc w:val="left"/>
    </w:lvl>
  </w:abstractNum>
  <w:num w:numId="1">
    <w:abstractNumId w:val="2"/>
  </w:num>
  <w:num w:numId="2">
    <w:abstractNumId w:val="1"/>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45AD5"/>
    <w:rsid w:val="0000585F"/>
    <w:rsid w:val="0000790E"/>
    <w:rsid w:val="00010713"/>
    <w:rsid w:val="00011F4A"/>
    <w:rsid w:val="00012FB3"/>
    <w:rsid w:val="00014D4F"/>
    <w:rsid w:val="000152A5"/>
    <w:rsid w:val="000237AB"/>
    <w:rsid w:val="0003248D"/>
    <w:rsid w:val="00034005"/>
    <w:rsid w:val="0005317B"/>
    <w:rsid w:val="000543CA"/>
    <w:rsid w:val="00054EA9"/>
    <w:rsid w:val="000559B2"/>
    <w:rsid w:val="00060B5F"/>
    <w:rsid w:val="00063177"/>
    <w:rsid w:val="00064C37"/>
    <w:rsid w:val="00070204"/>
    <w:rsid w:val="00073344"/>
    <w:rsid w:val="00074721"/>
    <w:rsid w:val="00081157"/>
    <w:rsid w:val="00083CB1"/>
    <w:rsid w:val="00085843"/>
    <w:rsid w:val="000860FB"/>
    <w:rsid w:val="000952C1"/>
    <w:rsid w:val="00096A53"/>
    <w:rsid w:val="000A03E5"/>
    <w:rsid w:val="000A07EA"/>
    <w:rsid w:val="000A1122"/>
    <w:rsid w:val="000A6A4C"/>
    <w:rsid w:val="000A74AF"/>
    <w:rsid w:val="000A7B19"/>
    <w:rsid w:val="000B0125"/>
    <w:rsid w:val="000B59B5"/>
    <w:rsid w:val="000B5BAB"/>
    <w:rsid w:val="000B7EA9"/>
    <w:rsid w:val="000C3AE5"/>
    <w:rsid w:val="000C5123"/>
    <w:rsid w:val="000D4394"/>
    <w:rsid w:val="000E2B18"/>
    <w:rsid w:val="000E530D"/>
    <w:rsid w:val="000F365A"/>
    <w:rsid w:val="000F4C86"/>
    <w:rsid w:val="001046C0"/>
    <w:rsid w:val="00104701"/>
    <w:rsid w:val="00114FB7"/>
    <w:rsid w:val="00122B32"/>
    <w:rsid w:val="00123DF3"/>
    <w:rsid w:val="00126D02"/>
    <w:rsid w:val="00126F40"/>
    <w:rsid w:val="00127A6B"/>
    <w:rsid w:val="001341D1"/>
    <w:rsid w:val="0013430D"/>
    <w:rsid w:val="0013484F"/>
    <w:rsid w:val="00134BE4"/>
    <w:rsid w:val="0013549C"/>
    <w:rsid w:val="001418E2"/>
    <w:rsid w:val="0014446D"/>
    <w:rsid w:val="001446A5"/>
    <w:rsid w:val="0014486B"/>
    <w:rsid w:val="00144CF1"/>
    <w:rsid w:val="0014558B"/>
    <w:rsid w:val="00146960"/>
    <w:rsid w:val="00155639"/>
    <w:rsid w:val="00155D5E"/>
    <w:rsid w:val="00157BA7"/>
    <w:rsid w:val="001704E4"/>
    <w:rsid w:val="00175223"/>
    <w:rsid w:val="00175B2E"/>
    <w:rsid w:val="00176F17"/>
    <w:rsid w:val="001804E3"/>
    <w:rsid w:val="00180C9A"/>
    <w:rsid w:val="00182D13"/>
    <w:rsid w:val="00183B42"/>
    <w:rsid w:val="00186C54"/>
    <w:rsid w:val="00192C05"/>
    <w:rsid w:val="00197CAA"/>
    <w:rsid w:val="00197E5D"/>
    <w:rsid w:val="001A1B3A"/>
    <w:rsid w:val="001A3CEE"/>
    <w:rsid w:val="001A784A"/>
    <w:rsid w:val="001B045D"/>
    <w:rsid w:val="001C1C89"/>
    <w:rsid w:val="001C55D5"/>
    <w:rsid w:val="001D120C"/>
    <w:rsid w:val="001E03BD"/>
    <w:rsid w:val="001E684A"/>
    <w:rsid w:val="00200BD6"/>
    <w:rsid w:val="00213694"/>
    <w:rsid w:val="00216177"/>
    <w:rsid w:val="002230AE"/>
    <w:rsid w:val="002247D0"/>
    <w:rsid w:val="00224F80"/>
    <w:rsid w:val="0022507C"/>
    <w:rsid w:val="00226979"/>
    <w:rsid w:val="002406F5"/>
    <w:rsid w:val="00242E76"/>
    <w:rsid w:val="00243464"/>
    <w:rsid w:val="002462A8"/>
    <w:rsid w:val="00247731"/>
    <w:rsid w:val="00253C74"/>
    <w:rsid w:val="00262BAD"/>
    <w:rsid w:val="002726B1"/>
    <w:rsid w:val="002727D0"/>
    <w:rsid w:val="002749C8"/>
    <w:rsid w:val="00275325"/>
    <w:rsid w:val="00281C06"/>
    <w:rsid w:val="00285DC4"/>
    <w:rsid w:val="00294AE7"/>
    <w:rsid w:val="002A7BAE"/>
    <w:rsid w:val="002B11FA"/>
    <w:rsid w:val="002B2CA6"/>
    <w:rsid w:val="002B34ED"/>
    <w:rsid w:val="002B37A7"/>
    <w:rsid w:val="002B4342"/>
    <w:rsid w:val="002B56EB"/>
    <w:rsid w:val="002B6D47"/>
    <w:rsid w:val="002C2555"/>
    <w:rsid w:val="002C7D21"/>
    <w:rsid w:val="002D27CD"/>
    <w:rsid w:val="002D3EC0"/>
    <w:rsid w:val="002D729F"/>
    <w:rsid w:val="002E0E3C"/>
    <w:rsid w:val="002E1812"/>
    <w:rsid w:val="002E2F7F"/>
    <w:rsid w:val="002E4B20"/>
    <w:rsid w:val="002E5FC6"/>
    <w:rsid w:val="002E6D7D"/>
    <w:rsid w:val="002F2C1E"/>
    <w:rsid w:val="002F6E99"/>
    <w:rsid w:val="00300C47"/>
    <w:rsid w:val="003050B6"/>
    <w:rsid w:val="0030726B"/>
    <w:rsid w:val="0031118B"/>
    <w:rsid w:val="0031122F"/>
    <w:rsid w:val="00315EFA"/>
    <w:rsid w:val="00316408"/>
    <w:rsid w:val="003179FB"/>
    <w:rsid w:val="00323A51"/>
    <w:rsid w:val="003244C9"/>
    <w:rsid w:val="0032468B"/>
    <w:rsid w:val="00327119"/>
    <w:rsid w:val="003333E4"/>
    <w:rsid w:val="00336580"/>
    <w:rsid w:val="0034184B"/>
    <w:rsid w:val="003535EB"/>
    <w:rsid w:val="00354D29"/>
    <w:rsid w:val="00356356"/>
    <w:rsid w:val="00360593"/>
    <w:rsid w:val="00360EF7"/>
    <w:rsid w:val="00361A07"/>
    <w:rsid w:val="003710A2"/>
    <w:rsid w:val="00372470"/>
    <w:rsid w:val="00376707"/>
    <w:rsid w:val="0037788A"/>
    <w:rsid w:val="0038029B"/>
    <w:rsid w:val="00383096"/>
    <w:rsid w:val="00392AA8"/>
    <w:rsid w:val="003931E6"/>
    <w:rsid w:val="003A324A"/>
    <w:rsid w:val="003A73EF"/>
    <w:rsid w:val="003B2514"/>
    <w:rsid w:val="003B54C2"/>
    <w:rsid w:val="003B5BA8"/>
    <w:rsid w:val="003C0093"/>
    <w:rsid w:val="003C1BE1"/>
    <w:rsid w:val="003C6315"/>
    <w:rsid w:val="003D1204"/>
    <w:rsid w:val="003D160D"/>
    <w:rsid w:val="003D35F4"/>
    <w:rsid w:val="003D6601"/>
    <w:rsid w:val="003D6C9A"/>
    <w:rsid w:val="003E2D1F"/>
    <w:rsid w:val="003E2DE1"/>
    <w:rsid w:val="003E5754"/>
    <w:rsid w:val="003F171F"/>
    <w:rsid w:val="003F201E"/>
    <w:rsid w:val="003F3C0C"/>
    <w:rsid w:val="0040002C"/>
    <w:rsid w:val="00400C3B"/>
    <w:rsid w:val="00402B1E"/>
    <w:rsid w:val="00403507"/>
    <w:rsid w:val="00403546"/>
    <w:rsid w:val="00404DA0"/>
    <w:rsid w:val="004158B8"/>
    <w:rsid w:val="00416B98"/>
    <w:rsid w:val="00421A99"/>
    <w:rsid w:val="0042780C"/>
    <w:rsid w:val="0043232E"/>
    <w:rsid w:val="00432BAC"/>
    <w:rsid w:val="00445161"/>
    <w:rsid w:val="004457F4"/>
    <w:rsid w:val="004472BF"/>
    <w:rsid w:val="00447C85"/>
    <w:rsid w:val="004544A9"/>
    <w:rsid w:val="00455E38"/>
    <w:rsid w:val="00456CDD"/>
    <w:rsid w:val="004605B3"/>
    <w:rsid w:val="00467CD2"/>
    <w:rsid w:val="004718A9"/>
    <w:rsid w:val="00476EC1"/>
    <w:rsid w:val="00480582"/>
    <w:rsid w:val="0048694C"/>
    <w:rsid w:val="004911B1"/>
    <w:rsid w:val="00495E43"/>
    <w:rsid w:val="004A362F"/>
    <w:rsid w:val="004A742B"/>
    <w:rsid w:val="004B29ED"/>
    <w:rsid w:val="004B50FC"/>
    <w:rsid w:val="004C064B"/>
    <w:rsid w:val="004C1CDF"/>
    <w:rsid w:val="004D26D3"/>
    <w:rsid w:val="004D3A59"/>
    <w:rsid w:val="004D6E1D"/>
    <w:rsid w:val="004F2C44"/>
    <w:rsid w:val="004F4F9F"/>
    <w:rsid w:val="004F5C1B"/>
    <w:rsid w:val="005054B5"/>
    <w:rsid w:val="00505533"/>
    <w:rsid w:val="00506344"/>
    <w:rsid w:val="005148D7"/>
    <w:rsid w:val="00521069"/>
    <w:rsid w:val="005248EA"/>
    <w:rsid w:val="0052572D"/>
    <w:rsid w:val="005431C8"/>
    <w:rsid w:val="005463F4"/>
    <w:rsid w:val="00552BA8"/>
    <w:rsid w:val="0055409A"/>
    <w:rsid w:val="00563EEF"/>
    <w:rsid w:val="00572E90"/>
    <w:rsid w:val="00575EDA"/>
    <w:rsid w:val="00591B91"/>
    <w:rsid w:val="005952DC"/>
    <w:rsid w:val="005A00B7"/>
    <w:rsid w:val="005A1F0D"/>
    <w:rsid w:val="005A51EE"/>
    <w:rsid w:val="005B0445"/>
    <w:rsid w:val="005B0A4A"/>
    <w:rsid w:val="005B5412"/>
    <w:rsid w:val="005B679B"/>
    <w:rsid w:val="005B77D3"/>
    <w:rsid w:val="005C470B"/>
    <w:rsid w:val="005C66D3"/>
    <w:rsid w:val="005D245F"/>
    <w:rsid w:val="005D3061"/>
    <w:rsid w:val="005D6260"/>
    <w:rsid w:val="005D6D58"/>
    <w:rsid w:val="005E6A58"/>
    <w:rsid w:val="005F310F"/>
    <w:rsid w:val="00602B8A"/>
    <w:rsid w:val="0060314C"/>
    <w:rsid w:val="00610CF7"/>
    <w:rsid w:val="00612D63"/>
    <w:rsid w:val="00614B12"/>
    <w:rsid w:val="006150EC"/>
    <w:rsid w:val="006164DB"/>
    <w:rsid w:val="0061679D"/>
    <w:rsid w:val="006253D8"/>
    <w:rsid w:val="00626153"/>
    <w:rsid w:val="006374A1"/>
    <w:rsid w:val="00651B6C"/>
    <w:rsid w:val="006540CB"/>
    <w:rsid w:val="00660B2A"/>
    <w:rsid w:val="00663D84"/>
    <w:rsid w:val="00682553"/>
    <w:rsid w:val="0068515C"/>
    <w:rsid w:val="0068667C"/>
    <w:rsid w:val="006A26A0"/>
    <w:rsid w:val="006A4FDA"/>
    <w:rsid w:val="006B1C07"/>
    <w:rsid w:val="006B3DA5"/>
    <w:rsid w:val="006B5B25"/>
    <w:rsid w:val="006B7827"/>
    <w:rsid w:val="006D0172"/>
    <w:rsid w:val="006E1A3A"/>
    <w:rsid w:val="006E2230"/>
    <w:rsid w:val="006E2B9C"/>
    <w:rsid w:val="006E7E4C"/>
    <w:rsid w:val="006F02E3"/>
    <w:rsid w:val="006F1C64"/>
    <w:rsid w:val="006F3C19"/>
    <w:rsid w:val="00700438"/>
    <w:rsid w:val="007013C6"/>
    <w:rsid w:val="00715660"/>
    <w:rsid w:val="007328B9"/>
    <w:rsid w:val="007336B0"/>
    <w:rsid w:val="0073563C"/>
    <w:rsid w:val="00735ADA"/>
    <w:rsid w:val="00735D71"/>
    <w:rsid w:val="00736386"/>
    <w:rsid w:val="0074138A"/>
    <w:rsid w:val="00750940"/>
    <w:rsid w:val="00751AB4"/>
    <w:rsid w:val="0076269B"/>
    <w:rsid w:val="00765E00"/>
    <w:rsid w:val="00766131"/>
    <w:rsid w:val="0077005A"/>
    <w:rsid w:val="00772DB4"/>
    <w:rsid w:val="00780AAD"/>
    <w:rsid w:val="0078371A"/>
    <w:rsid w:val="00783A4C"/>
    <w:rsid w:val="0079250C"/>
    <w:rsid w:val="00794375"/>
    <w:rsid w:val="007A05BD"/>
    <w:rsid w:val="007A7078"/>
    <w:rsid w:val="007A725D"/>
    <w:rsid w:val="007B4A0F"/>
    <w:rsid w:val="007C05CB"/>
    <w:rsid w:val="007C1922"/>
    <w:rsid w:val="007C3153"/>
    <w:rsid w:val="007C7656"/>
    <w:rsid w:val="007D066F"/>
    <w:rsid w:val="007D1AE5"/>
    <w:rsid w:val="007D5A91"/>
    <w:rsid w:val="007E3441"/>
    <w:rsid w:val="007E460F"/>
    <w:rsid w:val="007E68C9"/>
    <w:rsid w:val="007E76F1"/>
    <w:rsid w:val="007F1DA0"/>
    <w:rsid w:val="00803F6B"/>
    <w:rsid w:val="00805901"/>
    <w:rsid w:val="00811B53"/>
    <w:rsid w:val="00816BAB"/>
    <w:rsid w:val="00817514"/>
    <w:rsid w:val="00825E03"/>
    <w:rsid w:val="00827ECC"/>
    <w:rsid w:val="0083106D"/>
    <w:rsid w:val="0083313F"/>
    <w:rsid w:val="00834D98"/>
    <w:rsid w:val="00835730"/>
    <w:rsid w:val="00835F23"/>
    <w:rsid w:val="0084210A"/>
    <w:rsid w:val="00845657"/>
    <w:rsid w:val="0084624C"/>
    <w:rsid w:val="00851C1D"/>
    <w:rsid w:val="00864E02"/>
    <w:rsid w:val="00874702"/>
    <w:rsid w:val="008775B4"/>
    <w:rsid w:val="008808A6"/>
    <w:rsid w:val="00884461"/>
    <w:rsid w:val="00885B69"/>
    <w:rsid w:val="008A159E"/>
    <w:rsid w:val="008A38E5"/>
    <w:rsid w:val="008A3F94"/>
    <w:rsid w:val="008A4B32"/>
    <w:rsid w:val="008A6037"/>
    <w:rsid w:val="008B2777"/>
    <w:rsid w:val="008B3519"/>
    <w:rsid w:val="008B4667"/>
    <w:rsid w:val="008B7085"/>
    <w:rsid w:val="008C0CBC"/>
    <w:rsid w:val="008C1602"/>
    <w:rsid w:val="008C1FFC"/>
    <w:rsid w:val="008D1AD8"/>
    <w:rsid w:val="008D2E7D"/>
    <w:rsid w:val="008D5FED"/>
    <w:rsid w:val="008E0B11"/>
    <w:rsid w:val="008E2734"/>
    <w:rsid w:val="008E5296"/>
    <w:rsid w:val="008F35F1"/>
    <w:rsid w:val="008F3FB1"/>
    <w:rsid w:val="009008F4"/>
    <w:rsid w:val="00901A1A"/>
    <w:rsid w:val="009020BF"/>
    <w:rsid w:val="00905BB4"/>
    <w:rsid w:val="00907813"/>
    <w:rsid w:val="00911B9D"/>
    <w:rsid w:val="009142F4"/>
    <w:rsid w:val="00921C07"/>
    <w:rsid w:val="00930A10"/>
    <w:rsid w:val="0093199F"/>
    <w:rsid w:val="00932958"/>
    <w:rsid w:val="00947CC7"/>
    <w:rsid w:val="00951519"/>
    <w:rsid w:val="009535AF"/>
    <w:rsid w:val="0096301A"/>
    <w:rsid w:val="00964D6C"/>
    <w:rsid w:val="00965133"/>
    <w:rsid w:val="00965E0F"/>
    <w:rsid w:val="00971AD3"/>
    <w:rsid w:val="00980F62"/>
    <w:rsid w:val="00981123"/>
    <w:rsid w:val="00982629"/>
    <w:rsid w:val="0098468C"/>
    <w:rsid w:val="0098667C"/>
    <w:rsid w:val="009907B9"/>
    <w:rsid w:val="00992351"/>
    <w:rsid w:val="009A08B6"/>
    <w:rsid w:val="009A2377"/>
    <w:rsid w:val="009A4D11"/>
    <w:rsid w:val="009B3ED3"/>
    <w:rsid w:val="009B4ADC"/>
    <w:rsid w:val="009C1730"/>
    <w:rsid w:val="009D6232"/>
    <w:rsid w:val="009E15D4"/>
    <w:rsid w:val="009F25BD"/>
    <w:rsid w:val="009F3C7E"/>
    <w:rsid w:val="009F5646"/>
    <w:rsid w:val="009F7873"/>
    <w:rsid w:val="009F7979"/>
    <w:rsid w:val="009F7AE7"/>
    <w:rsid w:val="00A03FA7"/>
    <w:rsid w:val="00A06395"/>
    <w:rsid w:val="00A06AEF"/>
    <w:rsid w:val="00A10700"/>
    <w:rsid w:val="00A14D49"/>
    <w:rsid w:val="00A15184"/>
    <w:rsid w:val="00A1637D"/>
    <w:rsid w:val="00A2566B"/>
    <w:rsid w:val="00A32086"/>
    <w:rsid w:val="00A34E84"/>
    <w:rsid w:val="00A352B0"/>
    <w:rsid w:val="00A37886"/>
    <w:rsid w:val="00A472C6"/>
    <w:rsid w:val="00A51E78"/>
    <w:rsid w:val="00A570A1"/>
    <w:rsid w:val="00A60974"/>
    <w:rsid w:val="00A61DCD"/>
    <w:rsid w:val="00A65535"/>
    <w:rsid w:val="00A724CF"/>
    <w:rsid w:val="00A7532F"/>
    <w:rsid w:val="00A761CF"/>
    <w:rsid w:val="00A81682"/>
    <w:rsid w:val="00A84D92"/>
    <w:rsid w:val="00A84E65"/>
    <w:rsid w:val="00A95B6C"/>
    <w:rsid w:val="00AA7480"/>
    <w:rsid w:val="00AB1481"/>
    <w:rsid w:val="00AB2ABB"/>
    <w:rsid w:val="00AB5C67"/>
    <w:rsid w:val="00AB7C98"/>
    <w:rsid w:val="00AC47D9"/>
    <w:rsid w:val="00AD0DA1"/>
    <w:rsid w:val="00AE0209"/>
    <w:rsid w:val="00AE2095"/>
    <w:rsid w:val="00AE5322"/>
    <w:rsid w:val="00AE5FEF"/>
    <w:rsid w:val="00AE73E2"/>
    <w:rsid w:val="00AF1CF9"/>
    <w:rsid w:val="00AF2AE3"/>
    <w:rsid w:val="00AF7B4F"/>
    <w:rsid w:val="00AF7C58"/>
    <w:rsid w:val="00B05787"/>
    <w:rsid w:val="00B10153"/>
    <w:rsid w:val="00B15323"/>
    <w:rsid w:val="00B259AC"/>
    <w:rsid w:val="00B268D9"/>
    <w:rsid w:val="00B26EC9"/>
    <w:rsid w:val="00B31B8F"/>
    <w:rsid w:val="00B333B0"/>
    <w:rsid w:val="00B43561"/>
    <w:rsid w:val="00B440DB"/>
    <w:rsid w:val="00B4415D"/>
    <w:rsid w:val="00B45103"/>
    <w:rsid w:val="00B45D24"/>
    <w:rsid w:val="00B52992"/>
    <w:rsid w:val="00B538C6"/>
    <w:rsid w:val="00B62018"/>
    <w:rsid w:val="00B63114"/>
    <w:rsid w:val="00B64A22"/>
    <w:rsid w:val="00B67D14"/>
    <w:rsid w:val="00B700C3"/>
    <w:rsid w:val="00B8042D"/>
    <w:rsid w:val="00B810FF"/>
    <w:rsid w:val="00B8418B"/>
    <w:rsid w:val="00B84519"/>
    <w:rsid w:val="00B87463"/>
    <w:rsid w:val="00B91E5C"/>
    <w:rsid w:val="00BA00E2"/>
    <w:rsid w:val="00BA4255"/>
    <w:rsid w:val="00BA4F5A"/>
    <w:rsid w:val="00BA7BBA"/>
    <w:rsid w:val="00BB3DE5"/>
    <w:rsid w:val="00BB4394"/>
    <w:rsid w:val="00BB5ABD"/>
    <w:rsid w:val="00BC1BA9"/>
    <w:rsid w:val="00BC41E1"/>
    <w:rsid w:val="00BD2FC7"/>
    <w:rsid w:val="00BD6EC1"/>
    <w:rsid w:val="00BE25AF"/>
    <w:rsid w:val="00BE3F11"/>
    <w:rsid w:val="00BF3FBF"/>
    <w:rsid w:val="00C01D14"/>
    <w:rsid w:val="00C04DD5"/>
    <w:rsid w:val="00C073D6"/>
    <w:rsid w:val="00C07645"/>
    <w:rsid w:val="00C12785"/>
    <w:rsid w:val="00C14D2D"/>
    <w:rsid w:val="00C15327"/>
    <w:rsid w:val="00C205DD"/>
    <w:rsid w:val="00C242B2"/>
    <w:rsid w:val="00C25F74"/>
    <w:rsid w:val="00C31FE6"/>
    <w:rsid w:val="00C35546"/>
    <w:rsid w:val="00C4092D"/>
    <w:rsid w:val="00C4278B"/>
    <w:rsid w:val="00C43BD2"/>
    <w:rsid w:val="00C44F90"/>
    <w:rsid w:val="00C47E9C"/>
    <w:rsid w:val="00C52FD7"/>
    <w:rsid w:val="00C57277"/>
    <w:rsid w:val="00C616E4"/>
    <w:rsid w:val="00C648E2"/>
    <w:rsid w:val="00C6603B"/>
    <w:rsid w:val="00C71E3F"/>
    <w:rsid w:val="00C75A4D"/>
    <w:rsid w:val="00C75CE4"/>
    <w:rsid w:val="00C8367C"/>
    <w:rsid w:val="00C83EC8"/>
    <w:rsid w:val="00C84EC9"/>
    <w:rsid w:val="00C90645"/>
    <w:rsid w:val="00C92A41"/>
    <w:rsid w:val="00C95E0F"/>
    <w:rsid w:val="00CA3BAD"/>
    <w:rsid w:val="00CB1858"/>
    <w:rsid w:val="00CC0087"/>
    <w:rsid w:val="00CD0085"/>
    <w:rsid w:val="00CE1BDC"/>
    <w:rsid w:val="00CF3E52"/>
    <w:rsid w:val="00D00043"/>
    <w:rsid w:val="00D003BE"/>
    <w:rsid w:val="00D03468"/>
    <w:rsid w:val="00D03E18"/>
    <w:rsid w:val="00D06094"/>
    <w:rsid w:val="00D110CC"/>
    <w:rsid w:val="00D1310A"/>
    <w:rsid w:val="00D165B0"/>
    <w:rsid w:val="00D249EC"/>
    <w:rsid w:val="00D30CFE"/>
    <w:rsid w:val="00D314BC"/>
    <w:rsid w:val="00D319FC"/>
    <w:rsid w:val="00D37964"/>
    <w:rsid w:val="00D40468"/>
    <w:rsid w:val="00D41BD8"/>
    <w:rsid w:val="00D45FD5"/>
    <w:rsid w:val="00D501E4"/>
    <w:rsid w:val="00D51F3A"/>
    <w:rsid w:val="00D6213F"/>
    <w:rsid w:val="00D62340"/>
    <w:rsid w:val="00D63F18"/>
    <w:rsid w:val="00D6527D"/>
    <w:rsid w:val="00D6795D"/>
    <w:rsid w:val="00D729EC"/>
    <w:rsid w:val="00D74B92"/>
    <w:rsid w:val="00D83A9A"/>
    <w:rsid w:val="00D841C1"/>
    <w:rsid w:val="00D93010"/>
    <w:rsid w:val="00D946E9"/>
    <w:rsid w:val="00D9604F"/>
    <w:rsid w:val="00D9737C"/>
    <w:rsid w:val="00DA76AC"/>
    <w:rsid w:val="00DB3D0C"/>
    <w:rsid w:val="00DB4D49"/>
    <w:rsid w:val="00DB767D"/>
    <w:rsid w:val="00DC07E5"/>
    <w:rsid w:val="00DC395D"/>
    <w:rsid w:val="00DC634D"/>
    <w:rsid w:val="00DD0FFA"/>
    <w:rsid w:val="00DD202C"/>
    <w:rsid w:val="00DD3863"/>
    <w:rsid w:val="00DE5376"/>
    <w:rsid w:val="00DE60D1"/>
    <w:rsid w:val="00DF050A"/>
    <w:rsid w:val="00DF59BD"/>
    <w:rsid w:val="00DF6FC3"/>
    <w:rsid w:val="00DF751A"/>
    <w:rsid w:val="00DF7A31"/>
    <w:rsid w:val="00E01827"/>
    <w:rsid w:val="00E05A1C"/>
    <w:rsid w:val="00E07333"/>
    <w:rsid w:val="00E129EE"/>
    <w:rsid w:val="00E12BAD"/>
    <w:rsid w:val="00E13411"/>
    <w:rsid w:val="00E14AC6"/>
    <w:rsid w:val="00E30F62"/>
    <w:rsid w:val="00E36ECE"/>
    <w:rsid w:val="00E46B69"/>
    <w:rsid w:val="00E573AC"/>
    <w:rsid w:val="00E57B94"/>
    <w:rsid w:val="00E62839"/>
    <w:rsid w:val="00E62E85"/>
    <w:rsid w:val="00E64EE1"/>
    <w:rsid w:val="00E65C1E"/>
    <w:rsid w:val="00E75F13"/>
    <w:rsid w:val="00E76022"/>
    <w:rsid w:val="00E83456"/>
    <w:rsid w:val="00E97D8E"/>
    <w:rsid w:val="00EA25E4"/>
    <w:rsid w:val="00EA3E87"/>
    <w:rsid w:val="00EA7A22"/>
    <w:rsid w:val="00EA7DE2"/>
    <w:rsid w:val="00EB004F"/>
    <w:rsid w:val="00EB6AC3"/>
    <w:rsid w:val="00EC6D59"/>
    <w:rsid w:val="00EC703C"/>
    <w:rsid w:val="00ED0777"/>
    <w:rsid w:val="00ED2DE0"/>
    <w:rsid w:val="00ED6645"/>
    <w:rsid w:val="00ED6F4E"/>
    <w:rsid w:val="00EE37EE"/>
    <w:rsid w:val="00EE6EB1"/>
    <w:rsid w:val="00EF43D5"/>
    <w:rsid w:val="00EF4E23"/>
    <w:rsid w:val="00EF691D"/>
    <w:rsid w:val="00F0000C"/>
    <w:rsid w:val="00F002E5"/>
    <w:rsid w:val="00F03838"/>
    <w:rsid w:val="00F03945"/>
    <w:rsid w:val="00F04C86"/>
    <w:rsid w:val="00F0598E"/>
    <w:rsid w:val="00F11D4E"/>
    <w:rsid w:val="00F12CC8"/>
    <w:rsid w:val="00F20765"/>
    <w:rsid w:val="00F20D44"/>
    <w:rsid w:val="00F238CE"/>
    <w:rsid w:val="00F24EE1"/>
    <w:rsid w:val="00F35CB9"/>
    <w:rsid w:val="00F36445"/>
    <w:rsid w:val="00F37D41"/>
    <w:rsid w:val="00F412D7"/>
    <w:rsid w:val="00F43996"/>
    <w:rsid w:val="00F45AD5"/>
    <w:rsid w:val="00F45F72"/>
    <w:rsid w:val="00F47184"/>
    <w:rsid w:val="00F51398"/>
    <w:rsid w:val="00F521B6"/>
    <w:rsid w:val="00F53C1F"/>
    <w:rsid w:val="00F53D7D"/>
    <w:rsid w:val="00F54201"/>
    <w:rsid w:val="00F5464F"/>
    <w:rsid w:val="00F6446E"/>
    <w:rsid w:val="00F64A92"/>
    <w:rsid w:val="00F657F3"/>
    <w:rsid w:val="00F80BF6"/>
    <w:rsid w:val="00F81802"/>
    <w:rsid w:val="00F82819"/>
    <w:rsid w:val="00F8452D"/>
    <w:rsid w:val="00F95BCB"/>
    <w:rsid w:val="00F96634"/>
    <w:rsid w:val="00F96A5C"/>
    <w:rsid w:val="00FA1FBC"/>
    <w:rsid w:val="00FA2C97"/>
    <w:rsid w:val="00FA2FC5"/>
    <w:rsid w:val="00FB15C3"/>
    <w:rsid w:val="00FB35BE"/>
    <w:rsid w:val="00FC43B8"/>
    <w:rsid w:val="00FC4E58"/>
    <w:rsid w:val="00FC51C4"/>
    <w:rsid w:val="00FC7004"/>
    <w:rsid w:val="00FD06A0"/>
    <w:rsid w:val="00FD13FB"/>
    <w:rsid w:val="00FD228E"/>
    <w:rsid w:val="00FD4E9B"/>
    <w:rsid w:val="00FD7D5F"/>
    <w:rsid w:val="00FE1A2F"/>
    <w:rsid w:val="00FE5F50"/>
    <w:rsid w:val="00FF1B25"/>
    <w:rsid w:val="00FF7A85"/>
    <w:rsid w:val="025737A0"/>
    <w:rsid w:val="03CD50E7"/>
    <w:rsid w:val="03F0214E"/>
    <w:rsid w:val="04CF1775"/>
    <w:rsid w:val="05616F12"/>
    <w:rsid w:val="06325B44"/>
    <w:rsid w:val="06E43398"/>
    <w:rsid w:val="084A3CB5"/>
    <w:rsid w:val="0AB77A2F"/>
    <w:rsid w:val="0EC73EBF"/>
    <w:rsid w:val="13F52A67"/>
    <w:rsid w:val="14594CAF"/>
    <w:rsid w:val="16C85A74"/>
    <w:rsid w:val="1A0B3DDD"/>
    <w:rsid w:val="1A685806"/>
    <w:rsid w:val="1FA272B4"/>
    <w:rsid w:val="207165AF"/>
    <w:rsid w:val="20A82251"/>
    <w:rsid w:val="23293A4E"/>
    <w:rsid w:val="23C6578F"/>
    <w:rsid w:val="242E2599"/>
    <w:rsid w:val="26BF2FF3"/>
    <w:rsid w:val="27E3128E"/>
    <w:rsid w:val="28D26D48"/>
    <w:rsid w:val="29F4749C"/>
    <w:rsid w:val="2B696D85"/>
    <w:rsid w:val="2D6618D5"/>
    <w:rsid w:val="2D7B7E3A"/>
    <w:rsid w:val="2DA75286"/>
    <w:rsid w:val="2FD25EA1"/>
    <w:rsid w:val="33E37726"/>
    <w:rsid w:val="369B6FF2"/>
    <w:rsid w:val="39466C4F"/>
    <w:rsid w:val="39BF048F"/>
    <w:rsid w:val="3A9E3E02"/>
    <w:rsid w:val="3B221473"/>
    <w:rsid w:val="3CC32D4E"/>
    <w:rsid w:val="3E3E2F88"/>
    <w:rsid w:val="42513723"/>
    <w:rsid w:val="43131F13"/>
    <w:rsid w:val="43C35C3E"/>
    <w:rsid w:val="45166B3A"/>
    <w:rsid w:val="456478F2"/>
    <w:rsid w:val="45AB2419"/>
    <w:rsid w:val="46D61E29"/>
    <w:rsid w:val="48037554"/>
    <w:rsid w:val="4A940EA9"/>
    <w:rsid w:val="4FC334A8"/>
    <w:rsid w:val="515A348C"/>
    <w:rsid w:val="55741D5A"/>
    <w:rsid w:val="564C72BA"/>
    <w:rsid w:val="58042733"/>
    <w:rsid w:val="5825432A"/>
    <w:rsid w:val="58310B0B"/>
    <w:rsid w:val="5AB4032D"/>
    <w:rsid w:val="5BCC2AE9"/>
    <w:rsid w:val="5C4947E0"/>
    <w:rsid w:val="5E7D384C"/>
    <w:rsid w:val="5E9A58DF"/>
    <w:rsid w:val="5F006AB4"/>
    <w:rsid w:val="60CF20AE"/>
    <w:rsid w:val="65756AF5"/>
    <w:rsid w:val="65CA554D"/>
    <w:rsid w:val="67D95CA6"/>
    <w:rsid w:val="67DD5DBE"/>
    <w:rsid w:val="68C77134"/>
    <w:rsid w:val="6A8C3BB7"/>
    <w:rsid w:val="6BBD7014"/>
    <w:rsid w:val="6BDF6F05"/>
    <w:rsid w:val="6CAC668F"/>
    <w:rsid w:val="6D9857DC"/>
    <w:rsid w:val="6DA47EEE"/>
    <w:rsid w:val="6F615F33"/>
    <w:rsid w:val="6FCD3E36"/>
    <w:rsid w:val="724A4A01"/>
    <w:rsid w:val="727603A6"/>
    <w:rsid w:val="72F37DB5"/>
    <w:rsid w:val="738508C6"/>
    <w:rsid w:val="75F37398"/>
    <w:rsid w:val="769C7569"/>
    <w:rsid w:val="79910928"/>
    <w:rsid w:val="7B1E53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unhideWhenUsed/>
    <w:qFormat/>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semiHidden/>
    <w:qFormat/>
    <w:uiPriority w:val="0"/>
    <w:rPr>
      <w:b/>
      <w:bCs/>
    </w:rPr>
  </w:style>
  <w:style w:type="paragraph" w:styleId="3">
    <w:name w:val="annotation text"/>
    <w:basedOn w:val="1"/>
    <w:semiHidden/>
    <w:qFormat/>
    <w:uiPriority w:val="0"/>
    <w:pPr>
      <w:jc w:val="left"/>
    </w:pPr>
  </w:style>
  <w:style w:type="paragraph" w:styleId="4">
    <w:name w:val="Balloon Text"/>
    <w:basedOn w:val="1"/>
    <w:semiHidden/>
    <w:qFormat/>
    <w:uiPriority w:val="0"/>
    <w:rPr>
      <w:sz w:val="18"/>
      <w:szCs w:val="18"/>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unhideWhenUsed/>
    <w:qFormat/>
    <w:uiPriority w:val="0"/>
    <w:rPr>
      <w:sz w:val="24"/>
    </w:rPr>
  </w:style>
  <w:style w:type="character" w:styleId="9">
    <w:name w:val="Hyperlink"/>
    <w:basedOn w:val="8"/>
    <w:unhideWhenUsed/>
    <w:qFormat/>
    <w:uiPriority w:val="0"/>
    <w:rPr>
      <w:color w:val="0000FF"/>
      <w:u w:val="single"/>
    </w:rPr>
  </w:style>
  <w:style w:type="character" w:styleId="10">
    <w:name w:val="annotation reference"/>
    <w:semiHidden/>
    <w:qFormat/>
    <w:uiPriority w:val="0"/>
    <w:rPr>
      <w:sz w:val="21"/>
      <w:szCs w:val="21"/>
    </w:rPr>
  </w:style>
  <w:style w:type="paragraph" w:customStyle="1" w:styleId="12">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13">
    <w:name w:val="Normal (Web)"/>
    <w:basedOn w:val="1"/>
    <w:qFormat/>
    <w:uiPriority w:val="0"/>
    <w:pPr>
      <w:jc w:val="left"/>
    </w:pPr>
    <w:rPr>
      <w:kern w:val="0"/>
      <w:sz w:val="24"/>
    </w:rPr>
  </w:style>
  <w:style w:type="paragraph" w:customStyle="1" w:styleId="14">
    <w:name w:val="p0"/>
    <w:basedOn w:val="1"/>
    <w:qFormat/>
    <w:uiPriority w:val="0"/>
    <w:pPr>
      <w:widowControl/>
    </w:pPr>
    <w:rPr>
      <w:rFonts w:ascii="Calibri" w:hAnsi="Calibri" w:cs="宋体"/>
      <w:kern w:val="0"/>
      <w:szCs w:val="2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zhlx</Company>
  <Pages>4</Pages>
  <Words>187</Words>
  <Characters>1070</Characters>
  <Lines>8</Lines>
  <Paragraphs>2</Paragraphs>
  <TotalTime>1</TotalTime>
  <ScaleCrop>false</ScaleCrop>
  <LinksUpToDate>false</LinksUpToDate>
  <CharactersWithSpaces>1255</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2012-01-07T11:13:00Z</dcterms:created>
  <dc:creator>lx</dc:creator>
  <dc:description>ZHGenApp().GetProperty("Certification")</dc:description>
  <cp:lastModifiedBy>Bruce S</cp:lastModifiedBy>
  <cp:lastPrinted>2018-01-31T03:32:00Z</cp:lastPrinted>
  <dcterms:modified xsi:type="dcterms:W3CDTF">2019-04-29T10:04:31Z</dcterms:modified>
  <dc:title>年部门预算编制说明</dc:title>
  <cp:revision>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