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盈江县幼儿园</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年部门预算</w:t>
      </w:r>
      <w:r>
        <w:rPr>
          <w:rFonts w:hint="eastAsia" w:ascii="方正小标宋简体" w:hAnsi="方正小标宋简体" w:eastAsia="方正小标宋简体" w:cs="方正小标宋简体"/>
          <w:sz w:val="36"/>
          <w:szCs w:val="36"/>
          <w:lang w:eastAsia="zh-CN"/>
        </w:rPr>
        <w:t>公开</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盈江县幼儿园</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盈江县幼儿园</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hint="eastAsia" w:ascii="Times New Roman" w:hAnsi="Times New Roman" w:eastAsia="仿宋_GB2312"/>
          <w:sz w:val="30"/>
          <w:szCs w:val="30"/>
          <w:lang w:val="en-US" w:eastAsia="zh-CN"/>
        </w:rPr>
      </w:pPr>
      <w:r>
        <w:rPr>
          <w:rFonts w:hint="eastAsia" w:eastAsia="仿宋_GB2312"/>
          <w:sz w:val="30"/>
          <w:szCs w:val="30"/>
          <w:lang w:val="en-US" w:eastAsia="zh-CN"/>
        </w:rPr>
        <w:t xml:space="preserve"> </w:t>
      </w: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盈江县幼儿园</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盈江县幼儿园</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41</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盈江县幼儿园</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以学习落实《3-6岁儿童学习与发展指南》为主线，以构筑优质教育为宗旨，进一步提升幼儿园保教质量</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用科学的发展观统领全园，以创新求发展，树立四个意识（服务意识、规范意识、质量意识、发展意识），以人为本的发展求得幼儿园的持续发展，建好队伍，抓好培训，积极开展保教工作，努力提高工作成效</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仿宋_GB2312" w:hAnsi="仿宋_GB2312" w:eastAsia="仿宋_GB2312" w:cs="仿宋_GB2312"/>
          <w:kern w:val="0"/>
          <w:sz w:val="30"/>
          <w:szCs w:val="30"/>
        </w:rPr>
        <w:t>盈江县幼儿园内设</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个职能科室</w:t>
      </w:r>
      <w:r>
        <w:rPr>
          <w:rFonts w:hint="eastAsia" w:ascii="仿宋_GB2312" w:hAnsi="仿宋_GB2312" w:eastAsia="仿宋_GB2312" w:cs="仿宋_GB2312"/>
          <w:kern w:val="0"/>
          <w:sz w:val="30"/>
          <w:szCs w:val="30"/>
          <w:lang w:eastAsia="zh-CN"/>
        </w:rPr>
        <w:t>：办公室、财务室、安保室、医务室</w:t>
      </w:r>
      <w:r>
        <w:rPr>
          <w:rFonts w:hint="eastAsia" w:ascii="楷体_GB2312" w:eastAsia="楷体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sz w:val="30"/>
          <w:szCs w:val="30"/>
          <w:lang w:val="en-US"/>
        </w:rPr>
      </w:pPr>
      <w:r>
        <w:rPr>
          <w:rFonts w:hint="eastAsia" w:ascii="仿宋_GB2312" w:hAnsi="仿宋_GB2312" w:eastAsia="仿宋_GB2312" w:cs="仿宋_GB2312"/>
          <w:b w:val="0"/>
          <w:bCs/>
          <w:sz w:val="30"/>
          <w:szCs w:val="30"/>
          <w:lang w:val="en-US" w:eastAsia="zh-CN"/>
        </w:rPr>
        <w:t>我园2019年重点做好以下几个方面的工作：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rPr>
        <w:t>1、</w:t>
      </w:r>
      <w:r>
        <w:rPr>
          <w:rFonts w:hint="eastAsia" w:ascii="仿宋_GB2312" w:hAnsi="仿宋_GB2312" w:eastAsia="仿宋_GB2312" w:cs="仿宋_GB2312"/>
          <w:sz w:val="30"/>
          <w:szCs w:val="30"/>
        </w:rPr>
        <w:t>提高职业道德，型造良好口碑、加强师建设，提升队伍实力。</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rPr>
        <w:t>2、</w:t>
      </w:r>
      <w:r>
        <w:rPr>
          <w:rFonts w:hint="eastAsia" w:ascii="仿宋_GB2312" w:hAnsi="仿宋_GB2312" w:eastAsia="仿宋_GB2312" w:cs="仿宋_GB2312"/>
          <w:sz w:val="30"/>
          <w:szCs w:val="30"/>
        </w:rPr>
        <w:t>全面落实指南，促进孩子发展</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w:t>
      </w:r>
      <w:r>
        <w:rPr>
          <w:rFonts w:hint="eastAsia" w:ascii="仿宋_GB2312" w:hAnsi="仿宋_GB2312" w:eastAsia="仿宋_GB2312" w:cs="仿宋_GB2312"/>
          <w:sz w:val="30"/>
          <w:szCs w:val="30"/>
        </w:rPr>
        <w:t>优化教育质量，开多元化的园本培训，促进教师专业成长。</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rPr>
        <w:t>4、</w:t>
      </w:r>
      <w:r>
        <w:rPr>
          <w:rFonts w:hint="eastAsia" w:ascii="仿宋_GB2312" w:hAnsi="仿宋_GB2312" w:eastAsia="仿宋_GB2312" w:cs="仿宋_GB2312"/>
          <w:sz w:val="30"/>
          <w:szCs w:val="30"/>
        </w:rPr>
        <w:t>扎实后勤管理，务实规范操作，保障师生健康</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rPr>
        <w:t>5、</w:t>
      </w:r>
      <w:r>
        <w:rPr>
          <w:rFonts w:hint="eastAsia" w:ascii="仿宋_GB2312" w:hAnsi="仿宋_GB2312" w:eastAsia="仿宋_GB2312" w:cs="仿宋_GB2312"/>
          <w:sz w:val="30"/>
          <w:szCs w:val="30"/>
        </w:rPr>
        <w:t>加强校园周边安全综合治理，构建安全、舒适、和谐、良好的育人环境</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val="en-US" w:eastAsia="zh-CN"/>
        </w:rPr>
        <w:t>6、</w:t>
      </w:r>
      <w:r>
        <w:rPr>
          <w:rFonts w:hint="eastAsia" w:ascii="仿宋_GB2312" w:hAnsi="仿宋_GB2312" w:eastAsia="仿宋_GB2312" w:cs="仿宋_GB2312"/>
          <w:sz w:val="30"/>
          <w:szCs w:val="30"/>
        </w:rPr>
        <w:t>努力改善办园条件，创建特色幼儿园</w:t>
      </w:r>
      <w:r>
        <w:rPr>
          <w:rFonts w:hint="eastAsia" w:ascii="仿宋_GB2312" w:hAnsi="仿宋_GB2312" w:eastAsia="仿宋_GB2312" w:cs="仿宋_GB2312"/>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w:t>
      </w:r>
      <w:r>
        <w:rPr>
          <w:rFonts w:hint="eastAsia" w:eastAsia="仿宋_GB2312"/>
          <w:kern w:val="0"/>
          <w:sz w:val="30"/>
          <w:szCs w:val="30"/>
          <w:lang w:eastAsia="zh-CN"/>
        </w:rPr>
        <w:t>位</w:t>
      </w:r>
      <w:r>
        <w:rPr>
          <w:rFonts w:hint="eastAsia" w:eastAsia="仿宋_GB2312"/>
          <w:kern w:val="0"/>
          <w:sz w:val="30"/>
          <w:szCs w:val="30"/>
          <w:lang w:val="en-US" w:eastAsia="zh-CN"/>
        </w:rPr>
        <w:t>0</w:t>
      </w:r>
      <w:r>
        <w:rPr>
          <w:rFonts w:eastAsia="仿宋_GB2312"/>
          <w:kern w:val="0"/>
          <w:sz w:val="30"/>
          <w:szCs w:val="30"/>
        </w:rPr>
        <w:t>个；事业单位</w:t>
      </w:r>
      <w:r>
        <w:rPr>
          <w:rFonts w:hint="eastAsia" w:eastAsia="仿宋_GB2312"/>
          <w:kern w:val="0"/>
          <w:sz w:val="30"/>
          <w:szCs w:val="30"/>
          <w:lang w:val="en-US" w:eastAsia="zh-CN"/>
        </w:rPr>
        <w:t>1</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65</w:t>
      </w:r>
      <w:r>
        <w:rPr>
          <w:rFonts w:eastAsia="仿宋_GB2312"/>
          <w:kern w:val="0"/>
          <w:sz w:val="30"/>
          <w:szCs w:val="30"/>
        </w:rPr>
        <w:t>人，其中：行政编制</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65</w:t>
      </w:r>
      <w:r>
        <w:rPr>
          <w:rFonts w:eastAsia="仿宋_GB2312"/>
          <w:kern w:val="0"/>
          <w:sz w:val="30"/>
          <w:szCs w:val="30"/>
        </w:rPr>
        <w:t>人。在职实有</w:t>
      </w:r>
      <w:r>
        <w:rPr>
          <w:rFonts w:hint="eastAsia" w:eastAsia="仿宋_GB2312"/>
          <w:kern w:val="0"/>
          <w:sz w:val="30"/>
          <w:szCs w:val="30"/>
          <w:lang w:val="en-US" w:eastAsia="zh-CN"/>
        </w:rPr>
        <w:t>65</w:t>
      </w:r>
      <w:r>
        <w:rPr>
          <w:rFonts w:eastAsia="仿宋_GB2312"/>
          <w:kern w:val="0"/>
          <w:sz w:val="30"/>
          <w:szCs w:val="30"/>
        </w:rPr>
        <w:t>人，其中： 财政全供养</w:t>
      </w:r>
      <w:r>
        <w:rPr>
          <w:rFonts w:hint="eastAsia" w:eastAsia="仿宋_GB2312"/>
          <w:kern w:val="0"/>
          <w:sz w:val="30"/>
          <w:szCs w:val="30"/>
          <w:lang w:val="en-US" w:eastAsia="zh-CN"/>
        </w:rPr>
        <w:t>65</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35</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35</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盈江县幼儿园</w:t>
      </w:r>
      <w:r>
        <w:rPr>
          <w:rFonts w:eastAsia="仿宋_GB2312"/>
          <w:kern w:val="0"/>
          <w:sz w:val="30"/>
          <w:szCs w:val="30"/>
        </w:rPr>
        <w:t>财务总收入</w:t>
      </w:r>
      <w:r>
        <w:rPr>
          <w:rFonts w:hint="eastAsia" w:eastAsia="仿宋_GB2312"/>
          <w:kern w:val="0"/>
          <w:sz w:val="30"/>
          <w:szCs w:val="30"/>
          <w:lang w:val="en-US" w:eastAsia="zh-CN"/>
        </w:rPr>
        <w:t>789.82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789.82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789.82</w:t>
      </w:r>
      <w:r>
        <w:rPr>
          <w:rFonts w:eastAsia="仿宋_GB2312"/>
          <w:kern w:val="0"/>
          <w:sz w:val="30"/>
          <w:szCs w:val="30"/>
        </w:rPr>
        <w:t>万元，其中:本年收入</w:t>
      </w:r>
      <w:r>
        <w:rPr>
          <w:rFonts w:hint="eastAsia" w:eastAsia="仿宋_GB2312"/>
          <w:kern w:val="0"/>
          <w:sz w:val="30"/>
          <w:szCs w:val="30"/>
          <w:lang w:val="en-US" w:eastAsia="zh-CN"/>
        </w:rPr>
        <w:t>789.82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789.82</w:t>
      </w:r>
      <w:r>
        <w:rPr>
          <w:rFonts w:eastAsia="仿宋_GB2312"/>
          <w:kern w:val="0"/>
          <w:sz w:val="30"/>
          <w:szCs w:val="30"/>
        </w:rPr>
        <w:t>万元（本级财力</w:t>
      </w:r>
      <w:r>
        <w:rPr>
          <w:rFonts w:hint="eastAsia" w:eastAsia="仿宋_GB2312"/>
          <w:kern w:val="0"/>
          <w:sz w:val="30"/>
          <w:szCs w:val="30"/>
          <w:lang w:val="en-US" w:eastAsia="zh-CN"/>
        </w:rPr>
        <w:t>789.82</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789.82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789.82</w:t>
      </w:r>
      <w:r>
        <w:rPr>
          <w:rFonts w:eastAsia="仿宋_GB2312"/>
          <w:kern w:val="0"/>
          <w:sz w:val="30"/>
          <w:szCs w:val="30"/>
        </w:rPr>
        <w:t>万元，其中</w:t>
      </w:r>
      <w:r>
        <w:rPr>
          <w:rFonts w:hint="eastAsia" w:eastAsia="仿宋_GB2312"/>
          <w:kern w:val="0"/>
          <w:sz w:val="30"/>
          <w:szCs w:val="30"/>
          <w:lang w:eastAsia="zh-CN"/>
        </w:rPr>
        <w:t>：</w:t>
      </w:r>
      <w:r>
        <w:rPr>
          <w:rFonts w:eastAsia="仿宋_GB2312"/>
          <w:kern w:val="0"/>
          <w:sz w:val="30"/>
          <w:szCs w:val="30"/>
        </w:rPr>
        <w:t>基本支出</w:t>
      </w:r>
      <w:r>
        <w:rPr>
          <w:rFonts w:hint="eastAsia" w:eastAsia="仿宋_GB2312"/>
          <w:kern w:val="0"/>
          <w:sz w:val="30"/>
          <w:szCs w:val="30"/>
          <w:lang w:val="en-US" w:eastAsia="zh-CN"/>
        </w:rPr>
        <w:t>789.82</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2050201学前教育614.83万元，主要用于工资福利支出和日常机构运行运转。</w:t>
      </w:r>
    </w:p>
    <w:p>
      <w:pPr>
        <w:pStyle w:val="13"/>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2080502归口管理的事业单位离退休2.1万元，主要用于离退休人员公用经费支出。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2080505机关事业单位基本养老保险缴费支出102.45万元，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70.44</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经济科目分组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2050201</w:t>
      </w:r>
      <w:r>
        <w:rPr>
          <w:rFonts w:hint="eastAsia" w:ascii="仿宋_GB2312" w:hAnsi="仿宋_GB2312" w:eastAsia="仿宋_GB2312" w:cs="仿宋_GB2312"/>
          <w:sz w:val="30"/>
          <w:szCs w:val="30"/>
          <w:lang w:val="en-US" w:eastAsia="zh-CN"/>
        </w:rPr>
        <w:t>学前</w:t>
      </w:r>
      <w:r>
        <w:rPr>
          <w:rFonts w:hint="eastAsia" w:ascii="仿宋_GB2312" w:eastAsia="仿宋_GB2312"/>
          <w:kern w:val="0"/>
          <w:sz w:val="30"/>
          <w:szCs w:val="30"/>
          <w:lang w:val="en-US" w:eastAsia="zh-CN"/>
        </w:rPr>
        <w:t>教育614.83</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614.83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606.05</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8.42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,303对个人和家庭补助0.36万元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2080502事业单位离退休2.1万元其中：基本支出2.1万元主要用于302</w:t>
      </w:r>
      <w:r>
        <w:rPr>
          <w:rFonts w:hint="eastAsia" w:ascii="仿宋_GB2312" w:hAnsi="仿宋_GB2312" w:eastAsia="仿宋_GB2312" w:cs="仿宋_GB2312"/>
          <w:kern w:val="0"/>
          <w:sz w:val="30"/>
          <w:szCs w:val="30"/>
        </w:rPr>
        <w:t>商品和服务支出</w:t>
      </w:r>
      <w:r>
        <w:rPr>
          <w:rFonts w:hint="eastAsia" w:ascii="仿宋_GB2312" w:hAnsi="仿宋_GB2312" w:eastAsia="仿宋_GB2312" w:cs="仿宋_GB2312"/>
          <w:kern w:val="0"/>
          <w:sz w:val="30"/>
          <w:szCs w:val="30"/>
          <w:lang w:val="en-US" w:eastAsia="zh-CN"/>
        </w:rPr>
        <w:t>2.1</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2080505机关事业基本养老保险缴费支出102.45</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102.45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102.45万元；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2210201住房公积金支出70.44万元其中：基本支出70.44万元，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70.44</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州</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本单位2019年无省对下专项转移支付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幼儿园</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0.2</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0.2</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与上年三公”经费预算数</w:t>
      </w:r>
      <w:r>
        <w:rPr>
          <w:rFonts w:hint="eastAsia" w:ascii="仿宋_GB2312" w:eastAsia="仿宋_GB2312"/>
          <w:kern w:val="0"/>
          <w:sz w:val="30"/>
          <w:szCs w:val="30"/>
          <w:lang w:val="en-US" w:eastAsia="zh-CN"/>
        </w:rPr>
        <w:t>0.2</w:t>
      </w:r>
      <w:r>
        <w:rPr>
          <w:rFonts w:hint="eastAsia" w:ascii="仿宋_GB2312" w:eastAsia="仿宋_GB2312"/>
          <w:kern w:val="0"/>
          <w:sz w:val="30"/>
          <w:szCs w:val="30"/>
        </w:rPr>
        <w:t>万元相比持平。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（二）</w:t>
      </w:r>
      <w:r>
        <w:rPr>
          <w:rFonts w:hint="eastAsia" w:ascii="楷体_GB2312" w:eastAsia="楷体_GB2312"/>
          <w:kern w:val="0"/>
          <w:sz w:val="30"/>
          <w:szCs w:val="30"/>
          <w:lang w:eastAsia="zh-CN"/>
        </w:rPr>
        <w:t>预算收支增减变化情况</w:t>
      </w:r>
    </w:p>
    <w:p>
      <w:pPr>
        <w:pStyle w:val="13"/>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kern w:val="0"/>
          <w:sz w:val="30"/>
          <w:szCs w:val="30"/>
          <w:lang w:val="en-US" w:eastAsia="zh-CN"/>
        </w:rPr>
        <w:t>2019年部门预算收入789.82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sz w:val="30"/>
          <w:szCs w:val="30"/>
          <w:lang w:eastAsia="zh-CN"/>
        </w:rPr>
        <w:t>比</w:t>
      </w:r>
      <w:r>
        <w:rPr>
          <w:rFonts w:hint="eastAsia" w:ascii="仿宋_GB2312" w:hAnsi="仿宋_GB2312" w:eastAsia="仿宋_GB2312" w:cs="仿宋_GB2312"/>
          <w:sz w:val="30"/>
          <w:szCs w:val="30"/>
        </w:rPr>
        <w:t>上年</w:t>
      </w:r>
      <w:r>
        <w:rPr>
          <w:rFonts w:hint="eastAsia" w:ascii="仿宋_GB2312" w:hAnsi="仿宋_GB2312" w:eastAsia="仿宋_GB2312" w:cs="仿宋_GB2312"/>
          <w:sz w:val="30"/>
          <w:szCs w:val="30"/>
          <w:lang w:eastAsia="zh-CN"/>
        </w:rPr>
        <w:t>预算数</w:t>
      </w:r>
      <w:r>
        <w:rPr>
          <w:rFonts w:hint="eastAsia" w:ascii="仿宋_GB2312" w:hAnsi="仿宋_GB2312" w:eastAsia="仿宋_GB2312" w:cs="仿宋_GB2312"/>
          <w:sz w:val="30"/>
          <w:szCs w:val="30"/>
          <w:lang w:val="en-US" w:eastAsia="zh-CN"/>
        </w:rPr>
        <w:t>645.5万元</w:t>
      </w:r>
      <w:r>
        <w:rPr>
          <w:rFonts w:hint="eastAsia" w:ascii="仿宋_GB2312" w:hAnsi="仿宋_GB2312" w:eastAsia="仿宋_GB2312" w:cs="仿宋_GB2312"/>
          <w:sz w:val="30"/>
          <w:szCs w:val="30"/>
        </w:rPr>
        <w:t>对比</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lang w:val="en-US" w:eastAsia="zh-CN"/>
        </w:rPr>
        <w:t>144.32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sz w:val="30"/>
          <w:szCs w:val="30"/>
          <w:lang w:val="en-US" w:eastAsia="zh-CN"/>
        </w:rPr>
        <w:t>22.36</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rPr>
        <w:t>的原因主要是：</w:t>
      </w:r>
      <w:r>
        <w:rPr>
          <w:rFonts w:hint="eastAsia" w:ascii="仿宋_GB2312" w:hAnsi="仿宋_GB2312" w:eastAsia="仿宋_GB2312" w:cs="仿宋_GB2312"/>
          <w:kern w:val="0"/>
          <w:sz w:val="30"/>
          <w:szCs w:val="30"/>
          <w:lang w:val="en-US" w:eastAsia="zh-CN"/>
        </w:rPr>
        <w:t>调增人员工资</w:t>
      </w:r>
      <w:r>
        <w:rPr>
          <w:rFonts w:hint="eastAsia" w:ascii="仿宋_GB2312" w:hAnsi="仿宋_GB2312" w:eastAsia="仿宋_GB2312" w:cs="仿宋_GB2312"/>
          <w:color w:val="auto"/>
          <w:sz w:val="30"/>
          <w:szCs w:val="30"/>
          <w:lang w:eastAsia="zh-CN"/>
        </w:rPr>
        <w:t>。</w:t>
      </w:r>
    </w:p>
    <w:p>
      <w:pPr>
        <w:pStyle w:val="13"/>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仿宋_GB2312" w:hAnsi="仿宋_GB2312" w:eastAsia="仿宋_GB2312" w:cs="仿宋_GB2312"/>
          <w:color w:val="auto"/>
          <w:sz w:val="30"/>
          <w:szCs w:val="30"/>
          <w:lang w:eastAsia="zh-CN"/>
        </w:rPr>
        <w:t>（三）</w:t>
      </w:r>
      <w:r>
        <w:rPr>
          <w:rFonts w:hint="eastAsia" w:ascii="楷体_GB2312" w:eastAsia="楷体_GB2312"/>
          <w:kern w:val="0"/>
          <w:sz w:val="30"/>
          <w:szCs w:val="30"/>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幼儿园</w:t>
      </w:r>
      <w:r>
        <w:rPr>
          <w:rFonts w:hint="eastAsia" w:ascii="仿宋_GB2312" w:eastAsia="仿宋_GB2312"/>
          <w:kern w:val="0"/>
          <w:sz w:val="30"/>
          <w:szCs w:val="30"/>
        </w:rPr>
        <w:t>基本支出</w:t>
      </w:r>
      <w:r>
        <w:rPr>
          <w:rFonts w:hint="eastAsia" w:ascii="仿宋_GB2312" w:eastAsia="仿宋_GB2312"/>
          <w:kern w:val="0"/>
          <w:sz w:val="30"/>
          <w:szCs w:val="30"/>
          <w:lang w:val="en-US" w:eastAsia="zh-CN"/>
        </w:rPr>
        <w:t>789.82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与上年同期数</w:t>
      </w:r>
      <w:r>
        <w:rPr>
          <w:rFonts w:hint="eastAsia" w:ascii="仿宋_GB2312" w:eastAsia="仿宋_GB2312"/>
          <w:kern w:val="0"/>
          <w:sz w:val="30"/>
          <w:szCs w:val="30"/>
          <w:lang w:val="en-US" w:eastAsia="zh-CN"/>
        </w:rPr>
        <w:t>645.5</w:t>
      </w:r>
      <w:r>
        <w:rPr>
          <w:rFonts w:hint="eastAsia" w:ascii="仿宋_GB2312" w:eastAsia="仿宋_GB2312"/>
          <w:kern w:val="0"/>
          <w:sz w:val="30"/>
          <w:szCs w:val="30"/>
        </w:rPr>
        <w:t>万元相比，增加</w:t>
      </w:r>
      <w:r>
        <w:rPr>
          <w:rFonts w:hint="eastAsia" w:ascii="仿宋_GB2312" w:eastAsia="仿宋_GB2312"/>
          <w:kern w:val="0"/>
          <w:sz w:val="30"/>
          <w:szCs w:val="30"/>
          <w:lang w:val="en-US" w:eastAsia="zh-CN"/>
        </w:rPr>
        <w:t>144.32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增幅为</w:t>
      </w:r>
      <w:r>
        <w:rPr>
          <w:rFonts w:hint="eastAsia" w:ascii="仿宋_GB2312" w:eastAsia="仿宋_GB2312"/>
          <w:kern w:val="0"/>
          <w:sz w:val="30"/>
          <w:szCs w:val="30"/>
          <w:lang w:val="en-US" w:eastAsia="zh-CN"/>
        </w:rPr>
        <w:t>22.36</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四</w:t>
      </w:r>
      <w:r>
        <w:rPr>
          <w:rFonts w:hint="eastAsia" w:ascii="楷体" w:hAnsi="楷体" w:eastAsia="楷体" w:cs="楷体"/>
          <w:kern w:val="0"/>
          <w:sz w:val="30"/>
          <w:szCs w:val="30"/>
        </w:rPr>
        <w:t>）</w:t>
      </w:r>
      <w:r>
        <w:rPr>
          <w:rFonts w:hint="eastAsia" w:ascii="楷体_GB2312" w:eastAsia="楷体_GB2312"/>
          <w:kern w:val="0"/>
          <w:sz w:val="30"/>
          <w:szCs w:val="30"/>
        </w:rPr>
        <w:t>部门项目支出预算变动的主要原因，对本年与上年同口径数据比对情况分析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eastAsia="仿宋_GB2312"/>
          <w:kern w:val="0"/>
          <w:sz w:val="30"/>
          <w:szCs w:val="30"/>
        </w:rPr>
        <w:t>2019 年</w:t>
      </w:r>
      <w:r>
        <w:rPr>
          <w:rFonts w:hint="eastAsia" w:ascii="仿宋_GB2312" w:hAnsi="仿宋_GB2312" w:eastAsia="仿宋_GB2312" w:cs="仿宋_GB2312"/>
          <w:sz w:val="30"/>
          <w:szCs w:val="30"/>
        </w:rPr>
        <w:t>盈江县</w:t>
      </w:r>
      <w:r>
        <w:rPr>
          <w:rFonts w:hint="eastAsia" w:ascii="仿宋_GB2312" w:hAnsi="仿宋_GB2312" w:eastAsia="仿宋_GB2312" w:cs="仿宋_GB2312"/>
          <w:sz w:val="30"/>
          <w:szCs w:val="30"/>
          <w:lang w:eastAsia="zh-CN"/>
        </w:rPr>
        <w:t>幼儿园</w:t>
      </w:r>
      <w:r>
        <w:rPr>
          <w:rFonts w:hint="eastAsia" w:ascii="仿宋_GB2312" w:hAnsi="仿宋_GB2312" w:eastAsia="仿宋_GB2312" w:cs="仿宋_GB2312"/>
          <w:sz w:val="30"/>
          <w:szCs w:val="30"/>
        </w:rPr>
        <w:t>项目</w:t>
      </w:r>
      <w:r>
        <w:rPr>
          <w:rFonts w:hint="eastAsia" w:ascii="仿宋_GB2312" w:hAnsi="仿宋_GB2312" w:eastAsia="仿宋_GB2312" w:cs="仿宋_GB2312"/>
          <w:sz w:val="30"/>
          <w:szCs w:val="30"/>
          <w:lang w:eastAsia="zh-CN"/>
        </w:rPr>
        <w:t>无</w:t>
      </w:r>
      <w:r>
        <w:rPr>
          <w:rFonts w:hint="eastAsia" w:ascii="仿宋_GB2312" w:hAnsi="仿宋_GB2312" w:eastAsia="仿宋_GB2312" w:cs="仿宋_GB2312"/>
          <w:sz w:val="30"/>
          <w:szCs w:val="30"/>
        </w:rPr>
        <w:t>支出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财政拨款收入：本级财政部门当年拨付的财政预算资金，包括公共预算财政拨款和政府性基金预算财政拨款。</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基本支出：是预算单位为保障其正常运转，完成日常工作任务所发生的支出，包括人员支出和日常公用支出。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项目支出：是预算单位为完成其特定的行政工作任务或事业发展目标所发生的支出。</w:t>
      </w:r>
      <w:r>
        <w:rPr>
          <w:rFonts w:hint="eastAsia" w:ascii="仿宋_GB2312" w:hAnsi="仿宋_GB2312" w:eastAsia="仿宋_GB2312" w:cs="仿宋_GB2312"/>
          <w:color w:val="333333"/>
          <w:kern w:val="0"/>
          <w:sz w:val="30"/>
          <w:szCs w:val="30"/>
          <w:lang w:bidi="ar"/>
        </w:rPr>
        <w:t xml:space="preserve">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7</w:t>
      </w:r>
      <w:r>
        <w:rPr>
          <w:rFonts w:hint="eastAsia" w:ascii="仿宋_GB2312" w:hAnsi="仿宋_GB2312" w:eastAsia="仿宋_GB2312" w:cs="仿宋_GB2312"/>
          <w:color w:val="333333"/>
          <w:kern w:val="0"/>
          <w:sz w:val="30"/>
          <w:szCs w:val="30"/>
          <w:lang w:bidi="ar"/>
        </w:rPr>
        <w:t xml:space="preserve">.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8</w:t>
      </w:r>
      <w:r>
        <w:rPr>
          <w:rFonts w:hint="eastAsia" w:ascii="仿宋_GB2312" w:hAnsi="仿宋_GB2312" w:eastAsia="仿宋_GB2312" w:cs="仿宋_GB2312"/>
          <w:color w:val="333333"/>
          <w:kern w:val="0"/>
          <w:sz w:val="30"/>
          <w:szCs w:val="30"/>
          <w:lang w:bidi="ar"/>
        </w:rPr>
        <w:t>.“三公”经费包括因公出国（境）费、公务用车购置及运行费、公务接待费。其中：因公出国（境）费，指单位工作人员公务出国（境）的住宿费、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9</w:t>
      </w:r>
      <w:r>
        <w:rPr>
          <w:rFonts w:hint="eastAsia" w:ascii="仿宋_GB2312" w:hAnsi="仿宋_GB2312" w:eastAsia="仿宋_GB2312" w:cs="仿宋_GB2312"/>
          <w:color w:val="333333"/>
          <w:kern w:val="0"/>
          <w:sz w:val="30"/>
          <w:szCs w:val="30"/>
          <w:lang w:bidi="ar"/>
        </w:rPr>
        <w:t xml:space="preserve">.一般公共预算是对以税收为主体的财政收入，安排用于保障和改善民生、推动经济社会发展、维护国家安全、维护国家机构正常运转等方面的收支预算。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10</w:t>
      </w:r>
      <w:r>
        <w:rPr>
          <w:rFonts w:hint="eastAsia" w:ascii="仿宋_GB2312" w:hAnsi="仿宋_GB2312" w:eastAsia="仿宋_GB2312" w:cs="仿宋_GB2312"/>
          <w:color w:val="333333"/>
          <w:kern w:val="0"/>
          <w:sz w:val="30"/>
          <w:szCs w:val="30"/>
          <w:lang w:bidi="ar"/>
        </w:rPr>
        <w:t xml:space="preserve">.非税收入是各级政府及其所属部门和单位依法利用行政权力、政府信誉、国家资源、国有资产或提供特定公共服务征收、收取、提取、募集的除税收和政府债务收入以外的财政收入。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333333"/>
          <w:kern w:val="0"/>
          <w:sz w:val="30"/>
          <w:szCs w:val="30"/>
          <w:lang w:bidi="ar"/>
        </w:rPr>
      </w:pPr>
      <w:r>
        <w:rPr>
          <w:rFonts w:hint="eastAsia" w:ascii="仿宋_GB2312" w:hAnsi="仿宋_GB2312" w:eastAsia="仿宋_GB2312" w:cs="仿宋_GB2312"/>
          <w:color w:val="333333"/>
          <w:kern w:val="0"/>
          <w:sz w:val="30"/>
          <w:szCs w:val="30"/>
          <w:lang w:val="en-US" w:eastAsia="zh-CN" w:bidi="ar"/>
        </w:rPr>
        <w:t>11</w:t>
      </w:r>
      <w:r>
        <w:rPr>
          <w:rFonts w:hint="eastAsia" w:ascii="仿宋_GB2312" w:hAnsi="仿宋_GB2312" w:eastAsia="仿宋_GB2312" w:cs="仿宋_GB2312"/>
          <w:color w:val="333333"/>
          <w:kern w:val="0"/>
          <w:sz w:val="30"/>
          <w:szCs w:val="30"/>
          <w:lang w:bidi="ar"/>
        </w:rPr>
        <w:t xml:space="preserve">.工资福利支出反映单位开支的在职职工和编制外长期聘用人员的各类劳动报酬，以及为上述人员缴纳的各项社会保险费等。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12</w:t>
      </w:r>
      <w:r>
        <w:rPr>
          <w:rFonts w:hint="eastAsia" w:ascii="仿宋_GB2312" w:hAnsi="仿宋_GB2312" w:eastAsia="仿宋_GB2312" w:cs="仿宋_GB2312"/>
          <w:color w:val="333333"/>
          <w:kern w:val="0"/>
          <w:sz w:val="30"/>
          <w:szCs w:val="30"/>
          <w:lang w:bidi="ar"/>
        </w:rPr>
        <w:t xml:space="preserve">.商品和服务支出反映单位购买商品和服务的支出（不包括用于购置固定资产的支出、战略性和应急储备支出）。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13</w:t>
      </w:r>
      <w:r>
        <w:rPr>
          <w:rFonts w:hint="eastAsia" w:ascii="仿宋_GB2312" w:hAnsi="仿宋_GB2312" w:eastAsia="仿宋_GB2312" w:cs="仿宋_GB2312"/>
          <w:color w:val="333333"/>
          <w:kern w:val="0"/>
          <w:sz w:val="30"/>
          <w:szCs w:val="30"/>
          <w:lang w:bidi="ar"/>
        </w:rPr>
        <w:t xml:space="preserve">.对个人和家庭的补助反映政府用于对个人和家庭的补助支出。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val="en-US" w:eastAsia="zh-CN" w:bidi="ar"/>
        </w:rPr>
        <w:t>14</w:t>
      </w:r>
      <w:r>
        <w:rPr>
          <w:rFonts w:hint="eastAsia" w:ascii="仿宋_GB2312" w:hAnsi="仿宋_GB2312" w:eastAsia="仿宋_GB2312" w:cs="仿宋_GB2312"/>
          <w:color w:val="333333"/>
          <w:kern w:val="0"/>
          <w:sz w:val="30"/>
          <w:szCs w:val="30"/>
          <w:lang w:bidi="ar"/>
        </w:rPr>
        <w:t>.政府采购是指各级国家机关、事业单位和团体组织，使用财政性资金采购依法制定的集中采购目录以内的或者采购限额标准以上的货物、工程和服务的行为。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bookmarkStart w:id="0" w:name="_GoBack"/>
      <w:bookmarkEnd w:id="0"/>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鉴于截至2019年12月31日的国有资产占有使用情况需在完成2019年决算编制后才能统计汇总相关数据，因此，将在公开</w:t>
      </w:r>
      <w:r>
        <w:rPr>
          <w:rFonts w:hint="eastAsia" w:eastAsia="仿宋_GB2312"/>
          <w:kern w:val="0"/>
          <w:sz w:val="30"/>
          <w:szCs w:val="30"/>
          <w:lang w:val="en-US" w:eastAsia="zh-CN"/>
        </w:rPr>
        <w:t>2019</w:t>
      </w:r>
      <w:r>
        <w:rPr>
          <w:rFonts w:hint="eastAsia" w:eastAsia="仿宋_GB2312"/>
          <w:kern w:val="0"/>
          <w:sz w:val="30"/>
          <w:szCs w:val="30"/>
        </w:rPr>
        <w:t>年度部门决算时一并公开部门截至2019年12月31</w:t>
      </w:r>
      <w:r>
        <w:rPr>
          <w:rFonts w:hint="eastAsia" w:ascii="仿宋_GB2312" w:hAnsi="仿宋_GB2312" w:eastAsia="仿宋_GB2312" w:cs="仿宋_GB2312"/>
          <w:kern w:val="0"/>
          <w:sz w:val="30"/>
          <w:szCs w:val="30"/>
          <w:lang w:eastAsia="zh-CN"/>
        </w:rPr>
        <w:t>日</w:t>
      </w:r>
      <w:r>
        <w:rPr>
          <w:rFonts w:hint="eastAsia" w:ascii="仿宋_GB2312" w:hAnsi="仿宋_GB2312" w:eastAsia="仿宋_GB2312" w:cs="仿宋_GB2312"/>
          <w:kern w:val="0"/>
          <w:sz w:val="30"/>
          <w:szCs w:val="30"/>
        </w:rPr>
        <w:t>的</w:t>
      </w:r>
      <w:r>
        <w:rPr>
          <w:rFonts w:hint="eastAsia" w:eastAsia="仿宋_GB2312"/>
          <w:kern w:val="0"/>
          <w:sz w:val="30"/>
          <w:szCs w:val="30"/>
        </w:rPr>
        <w:t>国有资产占有使用情况。</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lang w:eastAsia="zh-CN"/>
        </w:rPr>
        <w:t>（四）</w:t>
      </w: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仿宋_GB2312" w:eastAsia="仿宋_GB2312"/>
          <w:kern w:val="0"/>
          <w:sz w:val="30"/>
          <w:szCs w:val="30"/>
        </w:rPr>
        <w:t>2019年单位</w:t>
      </w:r>
      <w:r>
        <w:rPr>
          <w:rFonts w:hint="eastAsia" w:ascii="仿宋_GB2312" w:eastAsia="仿宋_GB2312"/>
          <w:kern w:val="0"/>
          <w:sz w:val="30"/>
          <w:szCs w:val="30"/>
          <w:lang w:eastAsia="zh-CN"/>
        </w:rPr>
        <w:t>支出</w:t>
      </w:r>
      <w:r>
        <w:rPr>
          <w:rFonts w:hint="eastAsia" w:ascii="仿宋_GB2312" w:eastAsia="仿宋_GB2312"/>
          <w:kern w:val="0"/>
          <w:sz w:val="30"/>
          <w:szCs w:val="30"/>
        </w:rPr>
        <w:t>预算</w:t>
      </w:r>
      <w:r>
        <w:rPr>
          <w:rFonts w:hint="eastAsia" w:ascii="仿宋_GB2312" w:eastAsia="仿宋_GB2312"/>
          <w:kern w:val="0"/>
          <w:sz w:val="30"/>
          <w:szCs w:val="30"/>
          <w:lang w:eastAsia="zh-CN"/>
        </w:rPr>
        <w:t>为</w:t>
      </w:r>
      <w:r>
        <w:rPr>
          <w:rFonts w:hint="eastAsia" w:ascii="仿宋_GB2312" w:eastAsia="仿宋_GB2312"/>
          <w:kern w:val="0"/>
          <w:sz w:val="30"/>
          <w:szCs w:val="30"/>
          <w:lang w:val="en-US" w:eastAsia="zh-CN"/>
        </w:rPr>
        <w:t>789.82</w:t>
      </w:r>
      <w:r>
        <w:rPr>
          <w:rFonts w:hint="eastAsia" w:ascii="仿宋_GB2312" w:eastAsia="仿宋_GB2312"/>
          <w:kern w:val="0"/>
          <w:sz w:val="30"/>
          <w:szCs w:val="30"/>
        </w:rPr>
        <w:t>万元，其中：基本支出</w:t>
      </w:r>
      <w:r>
        <w:rPr>
          <w:rFonts w:hint="eastAsia" w:ascii="仿宋_GB2312" w:eastAsia="仿宋_GB2312"/>
          <w:kern w:val="0"/>
          <w:sz w:val="30"/>
          <w:szCs w:val="30"/>
          <w:lang w:val="en-US" w:eastAsia="zh-CN"/>
        </w:rPr>
        <w:t>789.82</w:t>
      </w:r>
      <w:r>
        <w:rPr>
          <w:rFonts w:hint="eastAsia" w:ascii="仿宋_GB2312" w:eastAsia="仿宋_GB2312"/>
          <w:kern w:val="0"/>
          <w:sz w:val="30"/>
          <w:szCs w:val="30"/>
        </w:rPr>
        <w:t>万元，主要用于发放职工工资，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B7673"/>
    <w:rsid w:val="00FC43B8"/>
    <w:rsid w:val="00FC4E58"/>
    <w:rsid w:val="00FC51C4"/>
    <w:rsid w:val="00FC7004"/>
    <w:rsid w:val="00FD06A0"/>
    <w:rsid w:val="00FD13FB"/>
    <w:rsid w:val="00FD228E"/>
    <w:rsid w:val="00FD4E9B"/>
    <w:rsid w:val="00FD7D5F"/>
    <w:rsid w:val="00FE1A2F"/>
    <w:rsid w:val="00FE5F50"/>
    <w:rsid w:val="00FF1B25"/>
    <w:rsid w:val="00FF7A85"/>
    <w:rsid w:val="025737A0"/>
    <w:rsid w:val="02763259"/>
    <w:rsid w:val="028759AC"/>
    <w:rsid w:val="02BF765C"/>
    <w:rsid w:val="02DF531C"/>
    <w:rsid w:val="03CD50E7"/>
    <w:rsid w:val="03F0214E"/>
    <w:rsid w:val="04CF1775"/>
    <w:rsid w:val="05616F12"/>
    <w:rsid w:val="06315819"/>
    <w:rsid w:val="06325B44"/>
    <w:rsid w:val="084A3CB5"/>
    <w:rsid w:val="0A9149AD"/>
    <w:rsid w:val="0AB77A2F"/>
    <w:rsid w:val="0C6818D8"/>
    <w:rsid w:val="0DE96FF2"/>
    <w:rsid w:val="10F1765F"/>
    <w:rsid w:val="12A80E76"/>
    <w:rsid w:val="13F52A67"/>
    <w:rsid w:val="14594CAF"/>
    <w:rsid w:val="15DE2DB5"/>
    <w:rsid w:val="166B22C4"/>
    <w:rsid w:val="19B41258"/>
    <w:rsid w:val="19C46870"/>
    <w:rsid w:val="1A0B3DDD"/>
    <w:rsid w:val="1A685806"/>
    <w:rsid w:val="1A8561A9"/>
    <w:rsid w:val="1D525100"/>
    <w:rsid w:val="1DF70A53"/>
    <w:rsid w:val="1F877740"/>
    <w:rsid w:val="218F6805"/>
    <w:rsid w:val="22A27399"/>
    <w:rsid w:val="23293A4E"/>
    <w:rsid w:val="23C6578F"/>
    <w:rsid w:val="242E2599"/>
    <w:rsid w:val="26BF2FF3"/>
    <w:rsid w:val="27E3128E"/>
    <w:rsid w:val="286D1700"/>
    <w:rsid w:val="28D26D48"/>
    <w:rsid w:val="2936429E"/>
    <w:rsid w:val="29F4749C"/>
    <w:rsid w:val="2B7C4333"/>
    <w:rsid w:val="2C221205"/>
    <w:rsid w:val="2CBC3DC6"/>
    <w:rsid w:val="2CEA2CF7"/>
    <w:rsid w:val="2D224860"/>
    <w:rsid w:val="2D7B7E3A"/>
    <w:rsid w:val="2DA75286"/>
    <w:rsid w:val="2E0720DA"/>
    <w:rsid w:val="2F2B3FBF"/>
    <w:rsid w:val="2FD25EA1"/>
    <w:rsid w:val="306F1042"/>
    <w:rsid w:val="33E37726"/>
    <w:rsid w:val="35AA199E"/>
    <w:rsid w:val="369B6FF2"/>
    <w:rsid w:val="39466C4F"/>
    <w:rsid w:val="39765F35"/>
    <w:rsid w:val="39BF048F"/>
    <w:rsid w:val="3BA80556"/>
    <w:rsid w:val="3F4B210D"/>
    <w:rsid w:val="42403313"/>
    <w:rsid w:val="42A5407A"/>
    <w:rsid w:val="43131F13"/>
    <w:rsid w:val="432A6DC6"/>
    <w:rsid w:val="43C35C3E"/>
    <w:rsid w:val="44EE08E1"/>
    <w:rsid w:val="452D7136"/>
    <w:rsid w:val="46D61E29"/>
    <w:rsid w:val="49441314"/>
    <w:rsid w:val="4C4C5EEC"/>
    <w:rsid w:val="4D18413F"/>
    <w:rsid w:val="4E623372"/>
    <w:rsid w:val="53AA6515"/>
    <w:rsid w:val="564C72BA"/>
    <w:rsid w:val="5825432A"/>
    <w:rsid w:val="58310B0B"/>
    <w:rsid w:val="584D699A"/>
    <w:rsid w:val="587B65D0"/>
    <w:rsid w:val="5AB4032D"/>
    <w:rsid w:val="5DF9313F"/>
    <w:rsid w:val="5E7D384C"/>
    <w:rsid w:val="601E1B44"/>
    <w:rsid w:val="606D21E5"/>
    <w:rsid w:val="60F86DF1"/>
    <w:rsid w:val="629151AB"/>
    <w:rsid w:val="65756AF5"/>
    <w:rsid w:val="66E5534D"/>
    <w:rsid w:val="671E70D8"/>
    <w:rsid w:val="67D95CA6"/>
    <w:rsid w:val="6A3A3642"/>
    <w:rsid w:val="6A8C3BB7"/>
    <w:rsid w:val="6CAC668F"/>
    <w:rsid w:val="6D953B8E"/>
    <w:rsid w:val="703F6613"/>
    <w:rsid w:val="7064762A"/>
    <w:rsid w:val="724128A9"/>
    <w:rsid w:val="724A4A01"/>
    <w:rsid w:val="72F37DB5"/>
    <w:rsid w:val="73A52004"/>
    <w:rsid w:val="75CB133E"/>
    <w:rsid w:val="75F37398"/>
    <w:rsid w:val="77C47B6A"/>
    <w:rsid w:val="7857758B"/>
    <w:rsid w:val="79910928"/>
    <w:rsid w:val="7AD23179"/>
    <w:rsid w:val="7B1E5394"/>
    <w:rsid w:val="7C124A98"/>
    <w:rsid w:val="7C25127B"/>
    <w:rsid w:val="7F54460F"/>
    <w:rsid w:val="7FB643E9"/>
    <w:rsid w:val="7FCA6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Normal (Web)"/>
    <w:basedOn w:val="1"/>
    <w:qFormat/>
    <w:uiPriority w:val="0"/>
    <w:pPr>
      <w:jc w:val="left"/>
    </w:pPr>
    <w:rPr>
      <w:kern w:val="0"/>
      <w:sz w:val="24"/>
    </w:rPr>
  </w:style>
  <w:style w:type="paragraph" w:customStyle="1" w:styleId="13">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2019-04-29T10:05:37Z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