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bookmarkStart w:id="0" w:name="_GoBack"/>
      <w:r>
        <w:rPr>
          <w:rFonts w:hint="eastAsia" w:ascii="方正小标宋简体" w:hAnsi="方正小标宋简体" w:eastAsia="方正小标宋简体" w:cs="方正小标宋简体"/>
          <w:sz w:val="36"/>
          <w:szCs w:val="36"/>
          <w:lang w:eastAsia="zh-CN"/>
        </w:rPr>
        <w:t>盈江县盏西镇中心学校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eastAsia="zh-CN"/>
        </w:rPr>
        <w:t>盈江县盏西镇中心学校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盈江县盏西镇中心学校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盏西镇中心学校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盈江县盏西镇中心学校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36</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盈江县盏西镇中心学校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pStyle w:val="13"/>
        <w:keepNext w:val="0"/>
        <w:keepLines w:val="0"/>
        <w:pageBreakBefore w:val="0"/>
        <w:widowControl/>
        <w:numPr>
          <w:ilvl w:val="0"/>
          <w:numId w:val="0"/>
        </w:numPr>
        <w:kinsoku/>
        <w:wordWrap/>
        <w:overflowPunct/>
        <w:topLinePunct w:val="0"/>
        <w:autoSpaceDE/>
        <w:bidi w:val="0"/>
        <w:adjustRightInd/>
        <w:snapToGrid/>
        <w:spacing w:line="480" w:lineRule="auto"/>
        <w:ind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宋体" w:hAnsi="宋体" w:eastAsia="宋体" w:cs="宋体"/>
          <w:color w:val="auto"/>
          <w:kern w:val="0"/>
          <w:sz w:val="30"/>
          <w:szCs w:val="30"/>
          <w:lang w:val="en-US" w:eastAsia="zh-CN" w:bidi="ar-SA"/>
        </w:rPr>
        <w:t xml:space="preserve"> </w:t>
      </w:r>
      <w:r>
        <w:rPr>
          <w:rFonts w:hint="eastAsia" w:ascii="宋体" w:hAnsi="宋体" w:cs="宋体"/>
          <w:color w:val="auto"/>
          <w:kern w:val="0"/>
          <w:sz w:val="30"/>
          <w:szCs w:val="30"/>
          <w:lang w:val="en-US" w:eastAsia="zh-CN" w:bidi="ar-SA"/>
        </w:rPr>
        <w:t xml:space="preserve">  </w:t>
      </w:r>
      <w:r>
        <w:rPr>
          <w:rFonts w:hint="eastAsia" w:ascii="仿宋_GB2312" w:hAnsi="仿宋_GB2312" w:eastAsia="仿宋_GB2312" w:cs="仿宋_GB2312"/>
          <w:kern w:val="0"/>
          <w:sz w:val="30"/>
          <w:szCs w:val="30"/>
          <w:lang w:val="en-US" w:eastAsia="zh-CN" w:bidi="ar-SA"/>
        </w:rPr>
        <w:t xml:space="preserve"> 盈江县盏西镇中心学校设置9个科室：中心小学、团坡小学、芒冷小学、遮坎小学、双龙小学、烂泥箐小学、普关小学、东洪坝小学、扒欠小学。</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keepNext w:val="0"/>
        <w:keepLines w:val="0"/>
        <w:pageBreakBefore w:val="0"/>
        <w:kinsoku/>
        <w:wordWrap/>
        <w:overflowPunct/>
        <w:topLinePunct w:val="0"/>
        <w:autoSpaceDE/>
        <w:bidi w:val="0"/>
        <w:adjustRightInd/>
        <w:snapToGrid/>
        <w:spacing w:line="54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1、认真学习贯彻教育部《国家中长期教育改革和发展规划纲要》，紧紧围绕“学习纲要、提高素质、强化措施、提高质量”的办学目标，坚持“以师德立教坛，以管理促发展，以教学为中心，以质量赢人心，以特色创品牌”的工作思路，坚持“强化管理，巩固成果，提高质量，彰显特色”的工作方针，全面推进素质教育。 </w:t>
      </w:r>
    </w:p>
    <w:p>
      <w:pPr>
        <w:keepNext w:val="0"/>
        <w:keepLines w:val="0"/>
        <w:pageBreakBefore w:val="0"/>
        <w:kinsoku/>
        <w:wordWrap/>
        <w:overflowPunct/>
        <w:topLinePunct w:val="0"/>
        <w:autoSpaceDE/>
        <w:bidi w:val="0"/>
        <w:adjustRightInd/>
        <w:snapToGrid/>
        <w:spacing w:line="360" w:lineRule="auto"/>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加强党员队伍的管理与教育。要根据上级党委的年度工作计划要求，认真制定并落实好本支部的年度工作计划。要在保证党的常规工作正常化的基础上，不断加强党员的党性意识、宗旨意识、组织意识教育，创新民主评议党员的方式与形式。要加强对党员经常性的教育工作，组织党员到“党员示范岗”杨善洲基地观摩学习，围绕学校中心工作，做好教师的政治思想工作，切实发挥党支部的战斗堡垒作用。</w:t>
      </w:r>
    </w:p>
    <w:p>
      <w:pPr>
        <w:keepNext w:val="0"/>
        <w:keepLines w:val="0"/>
        <w:pageBreakBefore w:val="0"/>
        <w:kinsoku/>
        <w:wordWrap/>
        <w:overflowPunct/>
        <w:topLinePunct w:val="0"/>
        <w:autoSpaceDE/>
        <w:bidi w:val="0"/>
        <w:adjustRightInd/>
        <w:snapToGrid/>
        <w:spacing w:line="360" w:lineRule="auto"/>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发挥党员的先锋模范作用。进一步建立健全党员活动及考核记录，为党内评优工作提供可靠依据；“七一”期间表彰优秀党员。要围绕学校中心工作，结合教育教学实际，组织党员开展“党员教师示范课”、“党员教师课堂讲课赛”、“师德演讲比赛”等丰富多彩的主题实践活动。广大党员要亮出牌子、举起旗子、做出样子，争做教学能手、学科带头人、服务标兵，争当模范党员，切实发挥党员的先锋模范作用，为持续提升教育教学质量再立新功。</w:t>
      </w:r>
    </w:p>
    <w:p>
      <w:pPr>
        <w:keepNext w:val="0"/>
        <w:keepLines w:val="0"/>
        <w:pageBreakBefore w:val="0"/>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认真做好发展党员工作。制订本年度发展党员计划。努力做好优秀教师入党工作，引导入党积极分子靠拢党组织，为党组织补充新鲜血液奠定坚实基础。以在教学第一线青年骨干教师为发展党员的重点，加强对入党积极分子的经常性教育和入党前的强化教育。确定重点培养对象和发展对象，进一步做好培养教育考察工作。坚持“按照党员标准，成熟一个，发展一个”的要求，吸引更多的入党积极分子加入到党的组织中来，不断增强党组织的凝聚力。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年拟培养一名入党积极分子，转正两名预备党员。</w:t>
      </w:r>
    </w:p>
    <w:p>
      <w:pPr>
        <w:keepNext w:val="0"/>
        <w:keepLines w:val="0"/>
        <w:pageBreakBefore w:val="0"/>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 xml:space="preserve">加强教学常规管理。学校将继续贯彻新课程标准，开齐开足课程，不增加学生的课余负担，按照常规要求布置适量的作业，作业要求认真批改，及时并做好批改情况记载和讲评工作。学校将继续实行不定时推门听课制度，加大对课堂教学的管理力度。  2、以教学“六认真”管理为抓手，提高课堂教学水平。建立完善教师教学“六认真”工作考核有关规定，努力体现新课程精神，突出教师在备课、上课方面的个性体现和创新能力，确保课堂教学效率的提高，认认真真抓好集体备课，上好每一节家常课，开展教研组长“献课”继续推进“课堂教学质量年”活动。建立预约听课、邀请听课、推门听课等多种形式的听课评价机制，全面提高课堂教学质量。 </w:t>
      </w:r>
    </w:p>
    <w:p>
      <w:pPr>
        <w:keepNext w:val="0"/>
        <w:keepLines w:val="0"/>
        <w:pageBreakBefore w:val="0"/>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6、完善教科研常规。每位教师积极撰写教育教学论文、教育随笔，努力使教科研活动形成有序、无缝衔接。积极组织教师参加优秀“教学设计”、“教学课例”、“教育案例”等评选，形成良好的教育科研氛围。  </w:t>
      </w:r>
    </w:p>
    <w:p>
      <w:pPr>
        <w:keepNext w:val="0"/>
        <w:keepLines w:val="0"/>
        <w:pageBreakBefore w:val="0"/>
        <w:widowControl/>
        <w:kinsoku/>
        <w:wordWrap/>
        <w:overflowPunct/>
        <w:topLinePunct w:val="0"/>
        <w:autoSpaceDE/>
        <w:autoSpaceDN w:val="0"/>
        <w:bidi w:val="0"/>
        <w:adjustRightInd/>
        <w:snapToGrid/>
        <w:ind w:firstLine="600" w:firstLineChars="200"/>
        <w:jc w:val="both"/>
        <w:textAlignment w:val="auto"/>
        <w:outlineLvl w:val="9"/>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 xml:space="preserve"> 7</w:t>
      </w:r>
      <w:r>
        <w:rPr>
          <w:rFonts w:hint="eastAsia" w:ascii="仿宋_GB2312" w:hAnsi="仿宋_GB2312" w:eastAsia="仿宋_GB2312" w:cs="仿宋_GB2312"/>
          <w:color w:val="000000"/>
          <w:kern w:val="0"/>
          <w:sz w:val="30"/>
          <w:szCs w:val="30"/>
        </w:rPr>
        <w:t>、严格教学效果检测制度。要求各教师每章或每单元都要有达标测试，并根据测试情况制订相应的辅导计划，力求做到“单元清”。特别是薄弱学科和薄弱教师，要将测试卷及效果分析交学校主任和校长。</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152</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152</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145</w:t>
      </w:r>
      <w:r>
        <w:rPr>
          <w:rFonts w:hint="eastAsia" w:ascii="仿宋_GB2312" w:hAnsi="仿宋_GB2312" w:eastAsia="仿宋_GB2312" w:cs="仿宋_GB2312"/>
          <w:kern w:val="0"/>
          <w:sz w:val="30"/>
          <w:szCs w:val="30"/>
        </w:rPr>
        <w:t xml:space="preserve">人，其中： 财政全供养 </w:t>
      </w:r>
      <w:r>
        <w:rPr>
          <w:rFonts w:hint="eastAsia" w:ascii="仿宋_GB2312" w:hAnsi="仿宋_GB2312" w:eastAsia="仿宋_GB2312" w:cs="仿宋_GB2312"/>
          <w:kern w:val="0"/>
          <w:sz w:val="30"/>
          <w:szCs w:val="30"/>
          <w:lang w:val="en-US" w:eastAsia="zh-CN"/>
        </w:rPr>
        <w:t>145</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44</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44</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盈江县盏西镇中心学校</w:t>
      </w:r>
      <w:r>
        <w:rPr>
          <w:rFonts w:eastAsia="仿宋_GB2312"/>
          <w:kern w:val="0"/>
          <w:sz w:val="30"/>
          <w:szCs w:val="30"/>
        </w:rPr>
        <w:t>财务总收入</w:t>
      </w:r>
      <w:r>
        <w:rPr>
          <w:rFonts w:hint="eastAsia" w:eastAsia="仿宋_GB2312"/>
          <w:kern w:val="0"/>
          <w:sz w:val="30"/>
          <w:szCs w:val="30"/>
          <w:lang w:val="en-US" w:eastAsia="zh-CN"/>
        </w:rPr>
        <w:t>1845.56</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1845.56</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1845.56</w:t>
      </w:r>
      <w:r>
        <w:rPr>
          <w:rFonts w:eastAsia="仿宋_GB2312"/>
          <w:kern w:val="0"/>
          <w:sz w:val="30"/>
          <w:szCs w:val="30"/>
        </w:rPr>
        <w:t>万元，其中:本年收入</w:t>
      </w:r>
      <w:r>
        <w:rPr>
          <w:rFonts w:hint="eastAsia" w:eastAsia="仿宋_GB2312"/>
          <w:kern w:val="0"/>
          <w:sz w:val="30"/>
          <w:szCs w:val="30"/>
          <w:lang w:val="en-US" w:eastAsia="zh-CN"/>
        </w:rPr>
        <w:t>1845.56</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1845.56</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1845.56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1845.56</w:t>
      </w:r>
      <w:r>
        <w:rPr>
          <w:rFonts w:eastAsia="仿宋_GB2312"/>
          <w:kern w:val="0"/>
          <w:sz w:val="30"/>
          <w:szCs w:val="30"/>
        </w:rPr>
        <w:t>万元，其中，基本支出</w:t>
      </w:r>
      <w:r>
        <w:rPr>
          <w:rFonts w:hint="eastAsia" w:eastAsia="仿宋_GB2312"/>
          <w:kern w:val="0"/>
          <w:sz w:val="30"/>
          <w:szCs w:val="30"/>
          <w:lang w:val="en-US" w:eastAsia="zh-CN"/>
        </w:rPr>
        <w:t>1845.56</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教育支出-普通教育-小学教育1452.87万元，主要用于工资福利支出和日常学校运行运转。</w:t>
      </w:r>
    </w:p>
    <w:p>
      <w:pPr>
        <w:pStyle w:val="14"/>
        <w:keepNext w:val="0"/>
        <w:keepLines w:val="0"/>
        <w:pageBreakBefore w:val="0"/>
        <w:numPr>
          <w:ilvl w:val="0"/>
          <w:numId w:val="0"/>
        </w:numPr>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“2080502”社会保障和就业支出-行政事业单位离退休-事业单位单位离退休2.64万元，主要用于离退休人员公用经费支出。</w:t>
      </w:r>
    </w:p>
    <w:p>
      <w:pPr>
        <w:pStyle w:val="14"/>
        <w:keepNext w:val="0"/>
        <w:keepLines w:val="0"/>
        <w:pageBreakBefore w:val="0"/>
        <w:numPr>
          <w:ilvl w:val="0"/>
          <w:numId w:val="0"/>
        </w:numPr>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事业单位基本养老保险缴费支出232.37万元，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w:t>
      </w:r>
      <w:r>
        <w:rPr>
          <w:rFonts w:hint="eastAsia" w:ascii="仿宋_GB2312" w:hAnsi="仿宋_GB2312" w:eastAsia="仿宋_GB2312" w:cs="仿宋_GB2312"/>
          <w:color w:val="333333"/>
          <w:sz w:val="30"/>
          <w:szCs w:val="30"/>
          <w:shd w:val="clear" w:color="040000" w:fill="FFFFFF"/>
          <w:lang w:val="en-US" w:eastAsia="zh-CN"/>
        </w:rPr>
        <w:t>157.68</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color w:val="auto"/>
          <w:sz w:val="30"/>
          <w:szCs w:val="30"/>
          <w:lang w:val="en-US" w:eastAsia="zh-CN"/>
        </w:rPr>
        <w:t>2050202” 教育支出-普通教育-小学教育</w:t>
      </w:r>
      <w:r>
        <w:rPr>
          <w:rFonts w:hint="eastAsia" w:ascii="仿宋_GB2312" w:hAnsi="仿宋_GB2312" w:eastAsia="仿宋_GB2312" w:cs="仿宋_GB2312"/>
          <w:sz w:val="30"/>
          <w:szCs w:val="30"/>
          <w:lang w:val="en-US" w:eastAsia="zh-CN"/>
        </w:rPr>
        <w:t>1452.87</w:t>
      </w:r>
      <w:r>
        <w:rPr>
          <w:rFonts w:hint="eastAsia" w:ascii="仿宋_GB2312" w:hAnsi="仿宋_GB2312" w:eastAsia="仿宋_GB2312" w:cs="仿宋_GB2312"/>
          <w:color w:val="auto"/>
          <w:sz w:val="30"/>
          <w:szCs w:val="30"/>
          <w:lang w:val="en-US" w:eastAsia="zh-CN"/>
        </w:rPr>
        <w:t>万元，其中</w:t>
      </w:r>
      <w:r>
        <w:rPr>
          <w:rFonts w:hint="eastAsia" w:ascii="仿宋_GB2312" w:hAnsi="仿宋_GB2312" w:eastAsia="仿宋_GB2312" w:cs="仿宋_GB2312"/>
          <w:color w:val="auto"/>
          <w:kern w:val="0"/>
          <w:sz w:val="30"/>
          <w:szCs w:val="30"/>
        </w:rPr>
        <w:t>：基本支出</w:t>
      </w:r>
      <w:r>
        <w:rPr>
          <w:rFonts w:hint="eastAsia" w:ascii="仿宋_GB2312" w:hAnsi="仿宋_GB2312" w:eastAsia="仿宋_GB2312" w:cs="仿宋_GB2312"/>
          <w:sz w:val="30"/>
          <w:szCs w:val="30"/>
          <w:lang w:val="en-US" w:eastAsia="zh-CN"/>
        </w:rPr>
        <w:t>1452.87</w:t>
      </w:r>
      <w:r>
        <w:rPr>
          <w:rFonts w:hint="eastAsia" w:ascii="仿宋_GB2312" w:hAnsi="仿宋_GB2312" w:eastAsia="仿宋_GB2312" w:cs="仿宋_GB2312"/>
          <w:color w:val="auto"/>
          <w:kern w:val="0"/>
          <w:sz w:val="30"/>
          <w:szCs w:val="30"/>
        </w:rPr>
        <w:t>万元，主要用于301工资福利支出</w:t>
      </w:r>
      <w:r>
        <w:rPr>
          <w:rFonts w:hint="eastAsia" w:ascii="仿宋_GB2312" w:hAnsi="仿宋_GB2312" w:eastAsia="仿宋_GB2312" w:cs="仿宋_GB2312"/>
          <w:color w:val="auto"/>
          <w:kern w:val="0"/>
          <w:sz w:val="30"/>
          <w:szCs w:val="30"/>
          <w:lang w:val="en-US" w:eastAsia="zh-CN"/>
        </w:rPr>
        <w:t>1439.2</w:t>
      </w:r>
      <w:r>
        <w:rPr>
          <w:rFonts w:hint="eastAsia" w:ascii="仿宋_GB2312" w:hAnsi="仿宋_GB2312" w:eastAsia="仿宋_GB2312" w:cs="仿宋_GB2312"/>
          <w:color w:val="auto"/>
          <w:kern w:val="0"/>
          <w:sz w:val="30"/>
          <w:szCs w:val="30"/>
        </w:rPr>
        <w:t>万元，302商品和服务支出</w:t>
      </w:r>
      <w:r>
        <w:rPr>
          <w:rFonts w:hint="eastAsia" w:ascii="仿宋_GB2312" w:hAnsi="仿宋_GB2312" w:eastAsia="仿宋_GB2312" w:cs="仿宋_GB2312"/>
          <w:color w:val="auto"/>
          <w:kern w:val="0"/>
          <w:sz w:val="30"/>
          <w:szCs w:val="30"/>
          <w:lang w:val="en-US" w:eastAsia="zh-CN"/>
        </w:rPr>
        <w:t>8.63</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sz w:val="30"/>
          <w:szCs w:val="30"/>
          <w:lang w:val="en-US" w:eastAsia="zh-CN"/>
        </w:rPr>
        <w:t>主要用于</w:t>
      </w:r>
      <w:r>
        <w:rPr>
          <w:rFonts w:hint="eastAsia" w:ascii="仿宋_GB2312" w:hAnsi="仿宋_GB2312" w:eastAsia="仿宋_GB2312" w:cs="仿宋_GB2312"/>
          <w:color w:val="auto"/>
          <w:kern w:val="0"/>
          <w:sz w:val="30"/>
          <w:szCs w:val="30"/>
          <w:lang w:val="en-US" w:eastAsia="zh-CN"/>
        </w:rPr>
        <w:t>303对个人和家庭补助5.04万元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“2080502”社会保障和就业支出-行政事业单位离退休支出2.64万元，其中基本支出2.64万元，主要用于</w:t>
      </w:r>
      <w:r>
        <w:rPr>
          <w:rFonts w:hint="eastAsia" w:ascii="仿宋_GB2312" w:hAnsi="仿宋_GB2312" w:eastAsia="仿宋_GB2312" w:cs="仿宋_GB2312"/>
          <w:color w:val="auto"/>
          <w:kern w:val="0"/>
          <w:sz w:val="30"/>
          <w:szCs w:val="30"/>
          <w:lang w:val="en-US" w:eastAsia="zh-CN"/>
        </w:rPr>
        <w:t>3</w:t>
      </w:r>
      <w:r>
        <w:rPr>
          <w:rFonts w:hint="eastAsia" w:ascii="仿宋_GB2312" w:hAnsi="仿宋_GB2312" w:eastAsia="仿宋_GB2312" w:cs="仿宋_GB2312"/>
          <w:color w:val="auto"/>
          <w:kern w:val="0"/>
          <w:sz w:val="30"/>
          <w:szCs w:val="30"/>
        </w:rPr>
        <w:t>02商品和服务支出</w:t>
      </w:r>
      <w:r>
        <w:rPr>
          <w:rFonts w:hint="eastAsia" w:ascii="仿宋_GB2312" w:hAnsi="仿宋_GB2312" w:eastAsia="仿宋_GB2312" w:cs="仿宋_GB2312"/>
          <w:sz w:val="30"/>
          <w:szCs w:val="30"/>
          <w:lang w:val="en-US" w:eastAsia="zh-CN"/>
        </w:rPr>
        <w:t>2.64</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val="en-US" w:eastAsia="zh-CN"/>
        </w:rPr>
        <w:t>；项目支出0万元。</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kern w:val="0"/>
          <w:sz w:val="30"/>
          <w:szCs w:val="30"/>
          <w:lang w:val="en-US" w:eastAsia="zh-CN"/>
        </w:rPr>
        <w:t>“</w:t>
      </w:r>
      <w:r>
        <w:rPr>
          <w:rFonts w:hint="eastAsia" w:ascii="仿宋_GB2312" w:eastAsia="仿宋_GB2312"/>
          <w:color w:val="auto"/>
          <w:kern w:val="0"/>
          <w:sz w:val="30"/>
          <w:szCs w:val="30"/>
        </w:rPr>
        <w:t>2080505</w:t>
      </w:r>
      <w:r>
        <w:rPr>
          <w:rFonts w:hint="eastAsia" w:ascii="仿宋_GB2312" w:eastAsia="仿宋_GB2312"/>
          <w:color w:val="auto"/>
          <w:kern w:val="0"/>
          <w:sz w:val="30"/>
          <w:szCs w:val="30"/>
          <w:lang w:eastAsia="zh-CN"/>
        </w:rPr>
        <w:t>”</w:t>
      </w:r>
      <w:r>
        <w:rPr>
          <w:rFonts w:hint="eastAsia" w:ascii="仿宋_GB2312" w:eastAsia="仿宋_GB2312"/>
          <w:color w:val="auto"/>
          <w:kern w:val="0"/>
          <w:sz w:val="30"/>
          <w:szCs w:val="30"/>
        </w:rPr>
        <w:t xml:space="preserve"> 机关事业单位基本养老保险缴费支出</w:t>
      </w:r>
      <w:r>
        <w:rPr>
          <w:rFonts w:hint="eastAsia" w:ascii="仿宋_GB2312" w:hAnsi="仿宋_GB2312" w:eastAsia="仿宋_GB2312" w:cs="仿宋_GB2312"/>
          <w:sz w:val="30"/>
          <w:szCs w:val="30"/>
          <w:lang w:val="en-US" w:eastAsia="zh-CN"/>
        </w:rPr>
        <w:t>232.37</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sz w:val="30"/>
          <w:szCs w:val="30"/>
          <w:lang w:val="en-US" w:eastAsia="zh-CN"/>
        </w:rPr>
        <w:t>232.37</w:t>
      </w:r>
      <w:r>
        <w:rPr>
          <w:rFonts w:hint="eastAsia" w:ascii="仿宋_GB2312" w:hAnsi="仿宋_GB2312" w:eastAsia="仿宋_GB2312" w:cs="仿宋_GB2312"/>
          <w:color w:val="auto"/>
          <w:kern w:val="0"/>
          <w:sz w:val="30"/>
          <w:szCs w:val="30"/>
        </w:rPr>
        <w:t>万元，主要用于301工资福利支出中的</w:t>
      </w:r>
      <w:r>
        <w:rPr>
          <w:rFonts w:hint="eastAsia" w:ascii="仿宋_GB2312" w:eastAsia="仿宋_GB2312"/>
          <w:color w:val="auto"/>
          <w:kern w:val="0"/>
          <w:sz w:val="30"/>
          <w:szCs w:val="30"/>
        </w:rPr>
        <w:t>单位基本养老保险缴费支出</w:t>
      </w:r>
      <w:r>
        <w:rPr>
          <w:rFonts w:hint="eastAsia" w:ascii="仿宋_GB2312" w:hAnsi="仿宋_GB2312" w:eastAsia="仿宋_GB2312" w:cs="仿宋_GB2312"/>
          <w:sz w:val="30"/>
          <w:szCs w:val="30"/>
          <w:lang w:val="en-US" w:eastAsia="zh-CN"/>
        </w:rPr>
        <w:t>232.37</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楷体_GB2312" w:eastAsia="楷体_GB2312"/>
          <w:color w:val="auto"/>
          <w:kern w:val="0"/>
          <w:sz w:val="30"/>
          <w:szCs w:val="30"/>
        </w:rPr>
      </w:pPr>
      <w:r>
        <w:rPr>
          <w:rFonts w:hint="eastAsia" w:ascii="仿宋_GB2312" w:hAnsi="仿宋_GB2312" w:eastAsia="仿宋_GB2312" w:cs="仿宋_GB2312"/>
          <w:color w:val="auto"/>
          <w:sz w:val="30"/>
          <w:szCs w:val="30"/>
          <w:lang w:val="en-US" w:eastAsia="zh-CN"/>
        </w:rPr>
        <w:t xml:space="preserve">   “2210201”</w:t>
      </w:r>
      <w:r>
        <w:rPr>
          <w:rFonts w:hint="eastAsia" w:ascii="仿宋_GB2312" w:hAnsi="仿宋_GB2312" w:eastAsia="仿宋_GB2312" w:cs="仿宋_GB2312"/>
          <w:color w:val="auto"/>
          <w:sz w:val="30"/>
          <w:szCs w:val="30"/>
          <w:shd w:val="clear" w:color="040000" w:fill="FFFFFF"/>
        </w:rPr>
        <w:t>住房保障支出-住房改革支出</w:t>
      </w:r>
      <w:r>
        <w:rPr>
          <w:rFonts w:hint="eastAsia" w:ascii="仿宋_GB2312" w:hAnsi="仿宋_GB2312" w:eastAsia="仿宋_GB2312" w:cs="仿宋_GB2312"/>
          <w:color w:val="333333"/>
          <w:sz w:val="30"/>
          <w:szCs w:val="30"/>
          <w:shd w:val="clear" w:color="040000" w:fill="FFFFFF"/>
          <w:lang w:val="en-US" w:eastAsia="zh-CN"/>
        </w:rPr>
        <w:t>157.68</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color w:val="333333"/>
          <w:sz w:val="30"/>
          <w:szCs w:val="30"/>
          <w:shd w:val="clear" w:color="040000" w:fill="FFFFFF"/>
          <w:lang w:val="en-US" w:eastAsia="zh-CN"/>
        </w:rPr>
        <w:t>157.68</w:t>
      </w:r>
      <w:r>
        <w:rPr>
          <w:rFonts w:hint="eastAsia" w:ascii="仿宋_GB2312" w:hAnsi="仿宋_GB2312" w:eastAsia="仿宋_GB2312" w:cs="仿宋_GB2312"/>
          <w:color w:val="auto"/>
          <w:kern w:val="0"/>
          <w:sz w:val="30"/>
          <w:szCs w:val="30"/>
        </w:rPr>
        <w:t>万元，主要用于301工资福利支出中的住房公积金</w:t>
      </w:r>
      <w:r>
        <w:rPr>
          <w:rFonts w:hint="eastAsia" w:ascii="仿宋_GB2312" w:hAnsi="仿宋_GB2312" w:eastAsia="仿宋_GB2312" w:cs="仿宋_GB2312"/>
          <w:color w:val="333333"/>
          <w:sz w:val="30"/>
          <w:szCs w:val="30"/>
          <w:shd w:val="clear" w:color="040000" w:fill="FFFFFF"/>
          <w:lang w:val="en-US" w:eastAsia="zh-CN"/>
        </w:rPr>
        <w:t>157.68</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numPr>
          <w:ilvl w:val="0"/>
          <w:numId w:val="3"/>
        </w:numPr>
        <w:kinsoku/>
        <w:wordWrap/>
        <w:overflowPunct/>
        <w:topLinePunct w:val="0"/>
        <w:autoSpaceDE/>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eastAsia="仿宋_GB2312"/>
          <w:kern w:val="0"/>
          <w:sz w:val="30"/>
          <w:szCs w:val="30"/>
          <w:lang w:eastAsia="zh-CN"/>
        </w:rPr>
      </w:pPr>
      <w:r>
        <w:rPr>
          <w:rFonts w:hint="eastAsia" w:eastAsia="仿宋_GB2312"/>
          <w:kern w:val="0"/>
          <w:sz w:val="30"/>
          <w:szCs w:val="30"/>
          <w:lang w:eastAsia="zh-CN"/>
        </w:rPr>
        <w:t>无</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盏西镇中心学校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3.8</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1.80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2</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3.8</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1.80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1.80</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2.0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2.0</w:t>
      </w:r>
      <w:r>
        <w:rPr>
          <w:rFonts w:hint="eastAsia" w:ascii="仿宋_GB2312" w:eastAsia="仿宋_GB2312"/>
          <w:kern w:val="0"/>
          <w:sz w:val="30"/>
          <w:szCs w:val="30"/>
        </w:rPr>
        <w:t>万元持平。</w:t>
      </w:r>
    </w:p>
    <w:p>
      <w:pPr>
        <w:pStyle w:val="7"/>
        <w:keepNext w:val="0"/>
        <w:keepLines w:val="0"/>
        <w:pageBreakBefore w:val="0"/>
        <w:widowControl/>
        <w:suppressLineNumbers w:val="0"/>
        <w:kinsoku/>
        <w:wordWrap/>
        <w:overflowPunct/>
        <w:topLinePunct w:val="0"/>
        <w:autoSpaceDE/>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1845.56</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宋体" w:hAnsi="宋体" w:eastAsia="宋体" w:cs="宋体"/>
          <w:sz w:val="28"/>
          <w:szCs w:val="28"/>
          <w:lang w:val="en-US" w:eastAsia="zh-CN"/>
        </w:rPr>
        <w:t>1446.28</w:t>
      </w:r>
      <w:r>
        <w:rPr>
          <w:rFonts w:hint="eastAsia" w:ascii="仿宋_GB2312" w:hAnsi="仿宋_GB2312" w:eastAsia="仿宋_GB2312" w:cs="仿宋_GB2312"/>
          <w:kern w:val="0"/>
          <w:sz w:val="30"/>
          <w:szCs w:val="30"/>
          <w:lang w:val="en-US" w:eastAsia="zh-CN"/>
        </w:rPr>
        <w:t>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399.28万元，增加27.6%。增加原因：调增人员工资。</w:t>
      </w:r>
    </w:p>
    <w:p>
      <w:pPr>
        <w:keepNext w:val="0"/>
        <w:keepLines w:val="0"/>
        <w:pageBreakBefore w:val="0"/>
        <w:widowControl/>
        <w:numPr>
          <w:ilvl w:val="0"/>
          <w:numId w:val="5"/>
        </w:numPr>
        <w:kinsoku/>
        <w:wordWrap/>
        <w:overflowPunct/>
        <w:topLinePunct w:val="0"/>
        <w:autoSpaceDE/>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numPr>
          <w:ilvl w:val="0"/>
          <w:numId w:val="0"/>
        </w:numPr>
        <w:kinsoku/>
        <w:wordWrap/>
        <w:overflowPunct/>
        <w:topLinePunct w:val="0"/>
        <w:autoSpaceDE/>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盏西镇中心学校</w:t>
      </w:r>
      <w:r>
        <w:rPr>
          <w:rFonts w:hint="eastAsia" w:ascii="仿宋_GB2312" w:eastAsia="仿宋_GB2312"/>
          <w:kern w:val="0"/>
          <w:sz w:val="30"/>
          <w:szCs w:val="30"/>
        </w:rPr>
        <w:t>基本支出</w:t>
      </w:r>
      <w:r>
        <w:rPr>
          <w:rFonts w:hint="eastAsia" w:eastAsia="仿宋_GB2312"/>
          <w:kern w:val="0"/>
          <w:sz w:val="30"/>
          <w:szCs w:val="30"/>
          <w:lang w:val="en-US" w:eastAsia="zh-CN"/>
        </w:rPr>
        <w:t>1845.56</w:t>
      </w:r>
      <w:r>
        <w:rPr>
          <w:rFonts w:hint="eastAsia" w:ascii="仿宋_GB2312" w:eastAsia="仿宋_GB2312"/>
          <w:kern w:val="0"/>
          <w:sz w:val="30"/>
          <w:szCs w:val="30"/>
        </w:rPr>
        <w:t>万元与上年同期数</w:t>
      </w:r>
      <w:r>
        <w:rPr>
          <w:rFonts w:hint="eastAsia" w:ascii="宋体" w:hAnsi="宋体" w:eastAsia="宋体" w:cs="宋体"/>
          <w:sz w:val="28"/>
          <w:szCs w:val="28"/>
          <w:lang w:val="en-US" w:eastAsia="zh-CN"/>
        </w:rPr>
        <w:t>1446.28</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lang w:val="en-US" w:eastAsia="zh-CN"/>
        </w:rPr>
        <w:t>399.28</w:t>
      </w:r>
      <w:r>
        <w:rPr>
          <w:rFonts w:hint="eastAsia" w:ascii="仿宋_GB2312" w:eastAsia="仿宋_GB2312"/>
          <w:kern w:val="0"/>
          <w:sz w:val="30"/>
          <w:szCs w:val="30"/>
        </w:rPr>
        <w:t>万元增幅为</w:t>
      </w:r>
      <w:r>
        <w:rPr>
          <w:rFonts w:hint="eastAsia" w:ascii="仿宋_GB2312" w:eastAsia="仿宋_GB2312"/>
          <w:kern w:val="0"/>
          <w:sz w:val="30"/>
          <w:szCs w:val="30"/>
          <w:lang w:val="en-US" w:eastAsia="zh-CN"/>
        </w:rPr>
        <w:t>27.6</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盏西镇中心学校与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val="en-US" w:eastAsia="zh-CN"/>
        </w:rPr>
        <w:t xml:space="preserve">     </w:t>
      </w:r>
      <w:r>
        <w:rPr>
          <w:rFonts w:hint="eastAsia" w:ascii="仿宋_GB2312" w:eastAsia="仿宋_GB2312"/>
          <w:kern w:val="0"/>
          <w:sz w:val="30"/>
          <w:szCs w:val="30"/>
          <w:lang w:eastAsia="zh-CN"/>
        </w:rPr>
        <w:t>无</w:t>
      </w:r>
    </w:p>
    <w:p>
      <w:pPr>
        <w:keepNext w:val="0"/>
        <w:keepLines w:val="0"/>
        <w:pageBreakBefore w:val="0"/>
        <w:widowControl/>
        <w:numPr>
          <w:ilvl w:val="0"/>
          <w:numId w:val="6"/>
        </w:numPr>
        <w:kinsoku/>
        <w:wordWrap/>
        <w:overflowPunct/>
        <w:topLinePunct w:val="0"/>
        <w:autoSpaceDE/>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6"/>
        </w:numPr>
        <w:kinsoku/>
        <w:wordWrap/>
        <w:overflowPunct/>
        <w:topLinePunct w:val="0"/>
        <w:autoSpaceDE/>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 xml:space="preserve">    2019</w:t>
      </w:r>
      <w:r>
        <w:rPr>
          <w:rFonts w:eastAsia="仿宋_GB2312"/>
          <w:kern w:val="0"/>
          <w:sz w:val="30"/>
          <w:szCs w:val="30"/>
        </w:rPr>
        <w:t>年部门预算总支出</w:t>
      </w:r>
      <w:r>
        <w:rPr>
          <w:rFonts w:hint="eastAsia" w:eastAsia="仿宋_GB2312"/>
          <w:kern w:val="0"/>
          <w:sz w:val="30"/>
          <w:szCs w:val="30"/>
          <w:lang w:val="en-US" w:eastAsia="zh-CN"/>
        </w:rPr>
        <w:t>1845.56</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1845.56</w:t>
      </w:r>
      <w:r>
        <w:rPr>
          <w:rFonts w:eastAsia="仿宋_GB2312"/>
          <w:kern w:val="0"/>
          <w:sz w:val="30"/>
          <w:szCs w:val="30"/>
        </w:rPr>
        <w:t>万元，其中，基本支出</w:t>
      </w:r>
      <w:r>
        <w:rPr>
          <w:rFonts w:hint="eastAsia" w:eastAsia="仿宋_GB2312"/>
          <w:kern w:val="0"/>
          <w:sz w:val="30"/>
          <w:szCs w:val="30"/>
          <w:lang w:val="en-US" w:eastAsia="zh-CN"/>
        </w:rPr>
        <w:t>1845.56</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bookmarkEnd w:id="0"/>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abstractNum w:abstractNumId="5">
    <w:nsid w:val="5CC2B140"/>
    <w:multiLevelType w:val="singleLevel"/>
    <w:tmpl w:val="5CC2B140"/>
    <w:lvl w:ilvl="0" w:tentative="0">
      <w:start w:val="3"/>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1B4FAC"/>
    <w:rsid w:val="04CF1775"/>
    <w:rsid w:val="05616F12"/>
    <w:rsid w:val="06325B44"/>
    <w:rsid w:val="06E43398"/>
    <w:rsid w:val="07327EAB"/>
    <w:rsid w:val="07962714"/>
    <w:rsid w:val="084A3CB5"/>
    <w:rsid w:val="0AB77A2F"/>
    <w:rsid w:val="0EF01651"/>
    <w:rsid w:val="10A7385F"/>
    <w:rsid w:val="13F52A67"/>
    <w:rsid w:val="14594CAF"/>
    <w:rsid w:val="16C85A74"/>
    <w:rsid w:val="1A0B3DDD"/>
    <w:rsid w:val="1A685806"/>
    <w:rsid w:val="1C693514"/>
    <w:rsid w:val="1F6F02B1"/>
    <w:rsid w:val="207165AF"/>
    <w:rsid w:val="23085B53"/>
    <w:rsid w:val="23293A4E"/>
    <w:rsid w:val="23C6578F"/>
    <w:rsid w:val="242E2599"/>
    <w:rsid w:val="26BF2FF3"/>
    <w:rsid w:val="27E3128E"/>
    <w:rsid w:val="28D26D48"/>
    <w:rsid w:val="29F4749C"/>
    <w:rsid w:val="2B696D85"/>
    <w:rsid w:val="2D7B7E3A"/>
    <w:rsid w:val="2DA75286"/>
    <w:rsid w:val="2EBD0801"/>
    <w:rsid w:val="2FD25EA1"/>
    <w:rsid w:val="32F45D73"/>
    <w:rsid w:val="33E37726"/>
    <w:rsid w:val="369B6FF2"/>
    <w:rsid w:val="3781332A"/>
    <w:rsid w:val="39466C4F"/>
    <w:rsid w:val="39BF048F"/>
    <w:rsid w:val="3CC32D4E"/>
    <w:rsid w:val="43131F13"/>
    <w:rsid w:val="43C35C3E"/>
    <w:rsid w:val="45166B3A"/>
    <w:rsid w:val="457D0650"/>
    <w:rsid w:val="45AB2419"/>
    <w:rsid w:val="46D61E29"/>
    <w:rsid w:val="4A940EA9"/>
    <w:rsid w:val="4C672FD0"/>
    <w:rsid w:val="4FC334A8"/>
    <w:rsid w:val="515A348C"/>
    <w:rsid w:val="564C72BA"/>
    <w:rsid w:val="58042733"/>
    <w:rsid w:val="5825432A"/>
    <w:rsid w:val="58310B0B"/>
    <w:rsid w:val="5A2E4342"/>
    <w:rsid w:val="5AB4032D"/>
    <w:rsid w:val="5B4075FE"/>
    <w:rsid w:val="5C496FBB"/>
    <w:rsid w:val="5E7D384C"/>
    <w:rsid w:val="614F6F88"/>
    <w:rsid w:val="65756AF5"/>
    <w:rsid w:val="67D95CA6"/>
    <w:rsid w:val="67DD5DBE"/>
    <w:rsid w:val="68C77134"/>
    <w:rsid w:val="6A8C3BB7"/>
    <w:rsid w:val="6CAC668F"/>
    <w:rsid w:val="6DA47EEE"/>
    <w:rsid w:val="6FCD3E36"/>
    <w:rsid w:val="70B26591"/>
    <w:rsid w:val="724A4A01"/>
    <w:rsid w:val="72F37DB5"/>
    <w:rsid w:val="75F37398"/>
    <w:rsid w:val="79910928"/>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2019-04-29T10:07:04Z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