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ind w:firstLine="720" w:firstLineChars="200"/>
        <w:jc w:val="center"/>
        <w:textAlignment w:val="auto"/>
        <w:outlineLvl w:val="9"/>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lang w:eastAsia="zh-CN"/>
        </w:rPr>
        <w:t>盈江县支那乡中学</w:t>
      </w:r>
      <w:r>
        <w:rPr>
          <w:rFonts w:hint="eastAsia" w:ascii="方正小标宋简体" w:hAnsi="方正小标宋简体" w:eastAsia="方正小标宋简体" w:cs="方正小标宋简体"/>
          <w:sz w:val="36"/>
          <w:szCs w:val="36"/>
          <w:lang w:val="en-US" w:eastAsia="zh-CN"/>
        </w:rPr>
        <w:t>2019</w:t>
      </w:r>
      <w:r>
        <w:rPr>
          <w:rFonts w:hint="eastAsia" w:ascii="方正小标宋简体" w:hAnsi="方正小标宋简体" w:eastAsia="方正小标宋简体" w:cs="方正小标宋简体"/>
          <w:sz w:val="36"/>
          <w:szCs w:val="36"/>
        </w:rPr>
        <w:t>年</w:t>
      </w:r>
      <w:r>
        <w:rPr>
          <w:rFonts w:hint="eastAsia" w:ascii="方正小标宋简体" w:hAnsi="方正小标宋简体" w:eastAsia="方正小标宋简体" w:cs="方正小标宋简体"/>
          <w:sz w:val="36"/>
          <w:szCs w:val="36"/>
          <w:lang w:eastAsia="zh-CN"/>
        </w:rPr>
        <w:t>部门</w:t>
      </w:r>
    </w:p>
    <w:p>
      <w:pPr>
        <w:keepNext w:val="0"/>
        <w:keepLines w:val="0"/>
        <w:pageBreakBefore w:val="0"/>
        <w:kinsoku/>
        <w:wordWrap/>
        <w:overflowPunct/>
        <w:topLinePunct w:val="0"/>
        <w:autoSpaceDE/>
        <w:autoSpaceDN/>
        <w:bidi w:val="0"/>
        <w:adjustRightInd/>
        <w:snapToGrid/>
        <w:ind w:firstLine="720" w:firstLineChars="200"/>
        <w:jc w:val="center"/>
        <w:textAlignment w:val="auto"/>
        <w:outlineLvl w:val="9"/>
        <w:rPr>
          <w:rFonts w:hint="eastAsia" w:ascii="方正小标宋简体" w:eastAsia="方正小标宋简体"/>
          <w:sz w:val="36"/>
          <w:szCs w:val="36"/>
        </w:rPr>
      </w:pPr>
      <w:r>
        <w:rPr>
          <w:rFonts w:hint="eastAsia" w:ascii="方正小标宋简体" w:hAnsi="方正小标宋简体" w:eastAsia="方正小标宋简体" w:cs="方正小标宋简体"/>
          <w:sz w:val="36"/>
          <w:szCs w:val="36"/>
        </w:rPr>
        <w:t>预算</w:t>
      </w:r>
      <w:r>
        <w:rPr>
          <w:rFonts w:hint="eastAsia" w:ascii="方正小标宋简体" w:hAnsi="方正小标宋简体" w:eastAsia="方正小标宋简体" w:cs="方正小标宋简体"/>
          <w:sz w:val="36"/>
          <w:szCs w:val="36"/>
          <w:lang w:eastAsia="zh-CN"/>
        </w:rPr>
        <w:t>公开</w:t>
      </w:r>
      <w:r>
        <w:rPr>
          <w:rFonts w:hint="eastAsia" w:ascii="方正小标宋简体" w:eastAsia="方正小标宋简体"/>
          <w:sz w:val="36"/>
          <w:szCs w:val="36"/>
        </w:rPr>
        <w:t>目录</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黑体" w:hAnsi="黑体" w:eastAsia="黑体"/>
          <w:sz w:val="30"/>
          <w:szCs w:val="30"/>
        </w:rPr>
      </w:pP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黑体" w:hAnsi="黑体" w:eastAsia="黑体"/>
          <w:sz w:val="30"/>
          <w:szCs w:val="30"/>
        </w:rPr>
      </w:pPr>
      <w:r>
        <w:rPr>
          <w:rFonts w:hint="eastAsia" w:ascii="黑体" w:hAnsi="黑体" w:eastAsia="黑体"/>
          <w:sz w:val="30"/>
          <w:szCs w:val="30"/>
        </w:rPr>
        <w:t>第一部分</w:t>
      </w:r>
      <w:r>
        <w:rPr>
          <w:rFonts w:hint="eastAsia" w:ascii="黑体" w:hAnsi="黑体" w:eastAsia="黑体"/>
          <w:sz w:val="30"/>
          <w:szCs w:val="30"/>
          <w:lang w:val="en-US" w:eastAsia="zh-CN"/>
        </w:rPr>
        <w:t xml:space="preserve"> </w:t>
      </w:r>
      <w:r>
        <w:rPr>
          <w:rFonts w:hint="eastAsia" w:ascii="黑体" w:hAnsi="黑体" w:eastAsia="黑体"/>
          <w:sz w:val="30"/>
          <w:szCs w:val="30"/>
          <w:lang w:eastAsia="zh-CN"/>
        </w:rPr>
        <w:t>盈江县支那乡中学</w:t>
      </w:r>
      <w:r>
        <w:rPr>
          <w:rFonts w:hint="eastAsia" w:ascii="黑体" w:hAnsi="黑体" w:eastAsia="黑体"/>
          <w:sz w:val="30"/>
          <w:szCs w:val="30"/>
          <w:lang w:val="en-US" w:eastAsia="zh-CN"/>
        </w:rPr>
        <w:t>2019</w:t>
      </w:r>
      <w:r>
        <w:rPr>
          <w:rFonts w:hint="eastAsia" w:ascii="黑体" w:hAnsi="黑体" w:eastAsia="黑体"/>
          <w:sz w:val="30"/>
          <w:szCs w:val="30"/>
        </w:rPr>
        <w:t>年部门预算编制说明</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黑体" w:hAnsi="黑体" w:eastAsia="黑体"/>
          <w:sz w:val="30"/>
          <w:szCs w:val="30"/>
        </w:rPr>
      </w:pPr>
      <w:r>
        <w:rPr>
          <w:rFonts w:hint="eastAsia" w:ascii="黑体" w:hAnsi="黑体" w:eastAsia="黑体"/>
          <w:sz w:val="30"/>
          <w:szCs w:val="30"/>
        </w:rPr>
        <w:t xml:space="preserve">第二部分 </w:t>
      </w:r>
      <w:r>
        <w:rPr>
          <w:rFonts w:hint="eastAsia" w:ascii="黑体" w:hAnsi="黑体" w:eastAsia="黑体"/>
          <w:sz w:val="30"/>
          <w:szCs w:val="30"/>
          <w:lang w:eastAsia="zh-CN"/>
        </w:rPr>
        <w:t>盈江县支那乡中学</w:t>
      </w:r>
      <w:r>
        <w:rPr>
          <w:rFonts w:hint="eastAsia" w:ascii="黑体" w:hAnsi="黑体" w:eastAsia="黑体"/>
          <w:sz w:val="30"/>
          <w:szCs w:val="30"/>
          <w:lang w:val="en-US" w:eastAsia="zh-CN"/>
        </w:rPr>
        <w:t>2019</w:t>
      </w:r>
      <w:r>
        <w:rPr>
          <w:rFonts w:hint="eastAsia" w:ascii="黑体" w:hAnsi="黑体" w:eastAsia="黑体"/>
          <w:sz w:val="30"/>
          <w:szCs w:val="30"/>
        </w:rPr>
        <w:t>年部门预算表</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八、财政拨款支出明细表（按经济科目分类）</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Times New Roman" w:hAnsi="Times New Roman" w:eastAsia="仿宋_GB2312"/>
          <w:sz w:val="30"/>
          <w:szCs w:val="30"/>
        </w:rPr>
      </w:pPr>
      <w:r>
        <w:rPr>
          <w:rFonts w:hint="eastAsia" w:ascii="Times New Roman" w:hAnsi="Times New Roman" w:eastAsia="仿宋_GB2312"/>
          <w:sz w:val="30"/>
          <w:szCs w:val="30"/>
        </w:rPr>
        <w:t>十、</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本级项目支出绩效目标表（本次下达）</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Times New Roman" w:hAnsi="Times New Roman" w:eastAsia="仿宋_GB2312"/>
          <w:sz w:val="30"/>
          <w:szCs w:val="30"/>
        </w:rPr>
      </w:pPr>
      <w:r>
        <w:rPr>
          <w:rFonts w:hint="eastAsia" w:ascii="Times New Roman" w:hAnsi="Times New Roman" w:eastAsia="仿宋_GB2312"/>
          <w:sz w:val="30"/>
          <w:szCs w:val="30"/>
        </w:rPr>
        <w:t>十一、</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本级项目支出绩效目标表（另文下达）</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Times New Roman" w:hAnsi="Times New Roman" w:eastAsia="仿宋_GB2312"/>
          <w:sz w:val="30"/>
          <w:szCs w:val="30"/>
        </w:rPr>
      </w:pPr>
      <w:r>
        <w:rPr>
          <w:rFonts w:hint="eastAsia" w:ascii="Times New Roman" w:hAnsi="Times New Roman" w:eastAsia="仿宋_GB2312"/>
          <w:sz w:val="30"/>
          <w:szCs w:val="30"/>
        </w:rPr>
        <w:t>十二、</w:t>
      </w:r>
      <w:r>
        <w:rPr>
          <w:rFonts w:hint="eastAsia" w:eastAsia="仿宋_GB2312"/>
          <w:sz w:val="30"/>
          <w:szCs w:val="30"/>
          <w:lang w:eastAsia="zh-CN"/>
        </w:rPr>
        <w:t>县</w:t>
      </w:r>
      <w:r>
        <w:rPr>
          <w:rFonts w:hint="eastAsia" w:ascii="Times New Roman" w:hAnsi="Times New Roman" w:eastAsia="仿宋_GB2312"/>
          <w:sz w:val="30"/>
          <w:szCs w:val="30"/>
        </w:rPr>
        <w:t>对下转移支付绩效目标表</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ascii="Times New Roman" w:hAnsi="Times New Roman" w:eastAsia="仿宋_GB2312"/>
          <w:sz w:val="30"/>
          <w:szCs w:val="30"/>
        </w:rPr>
      </w:pPr>
      <w:r>
        <w:rPr>
          <w:rFonts w:hint="eastAsia" w:ascii="Times New Roman" w:hAnsi="Times New Roman" w:eastAsia="仿宋_GB2312"/>
          <w:sz w:val="30"/>
          <w:szCs w:val="30"/>
        </w:rPr>
        <w:t>十三、部门政府采购情况表</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ascii="Times New Roman" w:hAnsi="Times New Roman" w:eastAsia="仿宋_GB2312"/>
          <w:sz w:val="30"/>
          <w:szCs w:val="30"/>
        </w:rPr>
      </w:pPr>
    </w:p>
    <w:p>
      <w:pPr>
        <w:keepNext w:val="0"/>
        <w:keepLines w:val="0"/>
        <w:pageBreakBefore w:val="0"/>
        <w:widowControl/>
        <w:kinsoku/>
        <w:wordWrap/>
        <w:overflowPunct/>
        <w:topLinePunct w:val="0"/>
        <w:autoSpaceDE/>
        <w:autoSpaceDN/>
        <w:bidi w:val="0"/>
        <w:adjustRightInd/>
        <w:snapToGrid/>
        <w:ind w:firstLine="720" w:firstLineChars="200"/>
        <w:jc w:val="both"/>
        <w:textAlignment w:val="auto"/>
        <w:outlineLvl w:val="9"/>
        <w:rPr>
          <w:rFonts w:ascii="方正小标宋简体" w:eastAsia="方正小标宋简体"/>
          <w:kern w:val="0"/>
          <w:sz w:val="36"/>
          <w:szCs w:val="36"/>
        </w:rPr>
      </w:pPr>
      <w:r>
        <w:rPr>
          <w:rFonts w:hint="eastAsia" w:ascii="方正小标宋简体" w:eastAsia="方正小标宋简体"/>
          <w:kern w:val="0"/>
          <w:sz w:val="36"/>
          <w:szCs w:val="36"/>
          <w:lang w:eastAsia="zh-CN"/>
        </w:rPr>
        <w:t>盈江县支那乡中学</w:t>
      </w:r>
      <w:r>
        <w:rPr>
          <w:rFonts w:hint="eastAsia" w:ascii="方正小标宋简体" w:eastAsia="方正小标宋简体"/>
          <w:kern w:val="0"/>
          <w:sz w:val="36"/>
          <w:szCs w:val="36"/>
          <w:lang w:val="en-US" w:eastAsia="zh-CN"/>
        </w:rPr>
        <w:t>2019</w:t>
      </w:r>
      <w:r>
        <w:rPr>
          <w:rFonts w:hint="eastAsia" w:ascii="方正小标宋简体" w:eastAsia="方正小标宋简体"/>
          <w:kern w:val="0"/>
          <w:sz w:val="36"/>
          <w:szCs w:val="36"/>
        </w:rPr>
        <w:t>年部门预算编制说明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kern w:val="0"/>
          <w:sz w:val="30"/>
          <w:szCs w:val="30"/>
        </w:rPr>
      </w:pPr>
      <w:r>
        <w:rPr>
          <w:rFonts w:hint="eastAsia" w:ascii="仿宋_GB2312" w:hAnsi="仿宋_GB2312" w:eastAsia="仿宋_GB2312" w:cs="仿宋_GB2312"/>
          <w:b w:val="0"/>
          <w:bCs w:val="0"/>
          <w:kern w:val="0"/>
          <w:sz w:val="30"/>
          <w:szCs w:val="30"/>
        </w:rPr>
        <w:t>根据《</w:t>
      </w:r>
      <w:r>
        <w:rPr>
          <w:rFonts w:hint="eastAsia" w:ascii="仿宋_GB2312" w:hAnsi="仿宋_GB2312" w:eastAsia="仿宋_GB2312" w:cs="仿宋_GB2312"/>
          <w:b w:val="0"/>
          <w:bCs w:val="0"/>
          <w:kern w:val="0"/>
          <w:sz w:val="30"/>
          <w:szCs w:val="30"/>
          <w:lang w:eastAsia="zh-CN"/>
        </w:rPr>
        <w:t>盈江县财政局</w:t>
      </w:r>
      <w:r>
        <w:rPr>
          <w:rFonts w:hint="eastAsia" w:ascii="仿宋_GB2312" w:hAnsi="仿宋_GB2312" w:eastAsia="仿宋_GB2312" w:cs="仿宋_GB2312"/>
          <w:b w:val="0"/>
          <w:bCs w:val="0"/>
          <w:kern w:val="0"/>
          <w:sz w:val="30"/>
          <w:szCs w:val="30"/>
        </w:rPr>
        <w:t>关于</w:t>
      </w:r>
      <w:r>
        <w:rPr>
          <w:rFonts w:hint="eastAsia" w:ascii="仿宋_GB2312" w:hAnsi="仿宋_GB2312" w:eastAsia="仿宋_GB2312" w:cs="仿宋_GB2312"/>
          <w:b w:val="0"/>
          <w:bCs w:val="0"/>
          <w:kern w:val="0"/>
          <w:sz w:val="30"/>
          <w:szCs w:val="30"/>
          <w:lang w:eastAsia="zh-CN"/>
        </w:rPr>
        <w:t>盈江县支那乡中学</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年部门预算的批复》（</w:t>
      </w:r>
      <w:r>
        <w:rPr>
          <w:rFonts w:hint="eastAsia" w:ascii="仿宋_GB2312" w:hAnsi="仿宋_GB2312" w:eastAsia="仿宋_GB2312" w:cs="仿宋_GB2312"/>
          <w:b w:val="0"/>
          <w:bCs w:val="0"/>
          <w:kern w:val="0"/>
          <w:sz w:val="30"/>
          <w:szCs w:val="30"/>
          <w:lang w:eastAsia="zh-CN"/>
        </w:rPr>
        <w:t>盈财预分指</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w:t>
      </w:r>
      <w:r>
        <w:rPr>
          <w:rFonts w:hint="eastAsia" w:ascii="仿宋_GB2312" w:hAnsi="仿宋_GB2312" w:eastAsia="仿宋_GB2312" w:cs="仿宋_GB2312"/>
          <w:b w:val="0"/>
          <w:bCs w:val="0"/>
          <w:kern w:val="0"/>
          <w:sz w:val="30"/>
          <w:szCs w:val="30"/>
          <w:lang w:val="en-US" w:eastAsia="zh-CN"/>
        </w:rPr>
        <w:t>14</w:t>
      </w:r>
      <w:r>
        <w:rPr>
          <w:rFonts w:hint="eastAsia" w:ascii="仿宋_GB2312" w:hAnsi="仿宋_GB2312" w:eastAsia="仿宋_GB2312" w:cs="仿宋_GB2312"/>
          <w:b w:val="0"/>
          <w:bCs w:val="0"/>
          <w:kern w:val="0"/>
          <w:sz w:val="30"/>
          <w:szCs w:val="30"/>
        </w:rPr>
        <w:t>号），按照预算管理的相关规定，</w:t>
      </w:r>
      <w:r>
        <w:rPr>
          <w:rFonts w:hint="eastAsia" w:ascii="仿宋_GB2312" w:hAnsi="仿宋_GB2312" w:eastAsia="仿宋_GB2312" w:cs="仿宋_GB2312"/>
          <w:b w:val="0"/>
          <w:bCs w:val="0"/>
          <w:kern w:val="0"/>
          <w:sz w:val="30"/>
          <w:szCs w:val="30"/>
          <w:lang w:eastAsia="zh-CN"/>
        </w:rPr>
        <w:t>盈江县支那乡中学</w:t>
      </w:r>
      <w:r>
        <w:rPr>
          <w:rFonts w:hint="eastAsia" w:ascii="仿宋_GB2312" w:hAnsi="仿宋_GB2312" w:eastAsia="仿宋_GB2312" w:cs="仿宋_GB2312"/>
          <w:b w:val="0"/>
          <w:bCs w:val="0"/>
          <w:kern w:val="0"/>
          <w:sz w:val="30"/>
          <w:szCs w:val="30"/>
        </w:rPr>
        <w:t>部门预算编制实行全口径预算管理，收入和支出全部纳入预算管理。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一、基本职能及主要工作</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b/>
          <w:kern w:val="0"/>
          <w:sz w:val="30"/>
          <w:szCs w:val="30"/>
        </w:rPr>
      </w:pPr>
      <w:r>
        <w:rPr>
          <w:rFonts w:hint="eastAsia" w:ascii="楷体_GB2312" w:eastAsia="楷体_GB2312"/>
          <w:kern w:val="0"/>
          <w:sz w:val="30"/>
          <w:szCs w:val="30"/>
        </w:rPr>
        <w:t>（一）部门主要职责</w:t>
      </w:r>
      <w:bookmarkStart w:id="2" w:name="_GoBack"/>
      <w:bookmarkEnd w:id="2"/>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根据盈发（2012）21号文件《贯彻国家和云南省中长期教育改革和发展规划纲要的实施意见》规定，主要职能是：全面推进素质教育，大力发展学前教育，巩固提高义务教育发展水平，稳步发展高中教育，加快发展职业教育和成人继续教育，推进</w:t>
      </w:r>
      <w:r>
        <w:rPr>
          <w:rFonts w:hint="eastAsia" w:ascii="仿宋_GB2312" w:hAnsi="仿宋_GB2312" w:eastAsia="仿宋_GB2312" w:cs="仿宋_GB2312"/>
          <w:kern w:val="0"/>
          <w:sz w:val="30"/>
          <w:szCs w:val="30"/>
          <w:lang w:eastAsia="zh-CN"/>
        </w:rPr>
        <w:t>特殊教育</w:t>
      </w:r>
      <w:r>
        <w:rPr>
          <w:rFonts w:hint="eastAsia" w:ascii="仿宋_GB2312" w:hAnsi="仿宋_GB2312" w:eastAsia="仿宋_GB2312" w:cs="仿宋_GB2312"/>
          <w:kern w:val="0"/>
          <w:sz w:val="30"/>
          <w:szCs w:val="30"/>
        </w:rPr>
        <w:t>发展，高度重视民族教育，规范发展民办教育，加强教育合作与交流。</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（二）机构设置情况</w:t>
      </w:r>
    </w:p>
    <w:p>
      <w:pPr>
        <w:keepNext w:val="0"/>
        <w:keepLines w:val="0"/>
        <w:pageBreakBefore w:val="0"/>
        <w:widowControl/>
        <w:kinsoku/>
        <w:wordWrap/>
        <w:overflowPunct/>
        <w:topLinePunct w:val="0"/>
        <w:autoSpaceDE/>
        <w:autoSpaceDN/>
        <w:bidi w:val="0"/>
        <w:adjustRightInd/>
        <w:snapToGrid/>
        <w:ind w:firstLine="560" w:firstLineChars="200"/>
        <w:jc w:val="both"/>
        <w:textAlignment w:val="auto"/>
        <w:outlineLvl w:val="9"/>
        <w:rPr>
          <w:rFonts w:hint="eastAsia" w:ascii="仿宋" w:hAnsi="仿宋" w:eastAsia="仿宋" w:cs="仿宋"/>
          <w:kern w:val="0"/>
          <w:sz w:val="30"/>
          <w:szCs w:val="30"/>
          <w:lang w:val="en-US" w:eastAsia="zh-CN"/>
        </w:rPr>
      </w:pPr>
      <w:r>
        <w:rPr>
          <w:rFonts w:hint="eastAsia" w:ascii="仿宋_GB2312" w:hAnsi="仿宋_GB2312" w:eastAsia="仿宋_GB2312" w:cs="仿宋_GB2312"/>
          <w:color w:val="auto"/>
          <w:kern w:val="0"/>
          <w:sz w:val="28"/>
          <w:szCs w:val="28"/>
          <w:lang w:val="en-US" w:eastAsia="zh-CN" w:bidi="ar-SA"/>
        </w:rPr>
        <w:t>盈江县支那乡中学设置4个科室：</w:t>
      </w:r>
      <w:r>
        <w:rPr>
          <w:rFonts w:hint="eastAsia" w:ascii="仿宋" w:hAnsi="仿宋" w:eastAsia="仿宋" w:cs="仿宋"/>
          <w:color w:val="auto"/>
          <w:sz w:val="30"/>
          <w:szCs w:val="30"/>
          <w:lang w:val="en-US" w:eastAsia="zh-CN"/>
        </w:rPr>
        <w:t>办公室、教务处、政教处、财务室</w:t>
      </w:r>
      <w:r>
        <w:rPr>
          <w:rFonts w:hint="eastAsia" w:ascii="仿宋" w:hAnsi="仿宋" w:eastAsia="仿宋" w:cs="仿宋"/>
          <w:color w:val="auto"/>
          <w:kern w:val="0"/>
          <w:sz w:val="30"/>
          <w:szCs w:val="30"/>
          <w:lang w:val="en-US" w:eastAsia="zh-CN" w:bidi="ar-SA"/>
        </w:rPr>
        <w:t>。</w:t>
      </w:r>
    </w:p>
    <w:p>
      <w:pPr>
        <w:keepNext w:val="0"/>
        <w:keepLines w:val="0"/>
        <w:pageBreakBefore w:val="0"/>
        <w:widowControl/>
        <w:numPr>
          <w:ilvl w:val="0"/>
          <w:numId w:val="1"/>
        </w:numPr>
        <w:kinsoku/>
        <w:wordWrap/>
        <w:overflowPunct/>
        <w:topLinePunct w:val="0"/>
        <w:autoSpaceDE/>
        <w:autoSpaceDN/>
        <w:bidi w:val="0"/>
        <w:adjustRightInd/>
        <w:snapToGrid/>
        <w:ind w:firstLine="600" w:firstLineChars="200"/>
        <w:jc w:val="both"/>
        <w:textAlignment w:val="auto"/>
        <w:outlineLvl w:val="9"/>
        <w:rPr>
          <w:rFonts w:ascii="楷体_GB2312" w:eastAsia="楷体_GB2312"/>
          <w:color w:val="auto"/>
          <w:kern w:val="0"/>
          <w:sz w:val="30"/>
          <w:szCs w:val="30"/>
        </w:rPr>
      </w:pPr>
      <w:r>
        <w:rPr>
          <w:rFonts w:ascii="楷体_GB2312" w:eastAsia="楷体_GB2312"/>
          <w:color w:val="auto"/>
          <w:kern w:val="0"/>
          <w:sz w:val="30"/>
          <w:szCs w:val="30"/>
        </w:rPr>
        <w:t>重点工作概述</w:t>
      </w:r>
    </w:p>
    <w:p>
      <w:pPr>
        <w:keepNext w:val="0"/>
        <w:keepLines w:val="0"/>
        <w:pageBreakBefore w:val="0"/>
        <w:widowControl/>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楷体_GB2312" w:eastAsia="楷体_GB2312"/>
          <w:color w:val="auto"/>
          <w:kern w:val="0"/>
          <w:sz w:val="30"/>
          <w:szCs w:val="30"/>
          <w:lang w:val="en-US" w:eastAsia="zh-CN"/>
        </w:rPr>
      </w:pPr>
      <w:r>
        <w:rPr>
          <w:rFonts w:hint="eastAsia" w:ascii="楷体_GB2312" w:eastAsia="楷体_GB2312"/>
          <w:color w:val="auto"/>
          <w:kern w:val="0"/>
          <w:sz w:val="30"/>
          <w:szCs w:val="30"/>
          <w:lang w:val="en-US" w:eastAsia="zh-CN"/>
        </w:rPr>
        <w:t xml:space="preserve">    </w:t>
      </w:r>
      <w:r>
        <w:rPr>
          <w:rFonts w:hint="eastAsia" w:ascii="楷体_GB2312" w:eastAsia="楷体_GB2312"/>
          <w:color w:val="000000" w:themeColor="text1"/>
          <w:kern w:val="0"/>
          <w:sz w:val="30"/>
          <w:szCs w:val="30"/>
          <w:lang w:val="en-US" w:eastAsia="zh-CN"/>
        </w:rPr>
        <w:t>本年度重点工作如下：</w:t>
      </w:r>
    </w:p>
    <w:p>
      <w:pPr>
        <w:keepNext w:val="0"/>
        <w:keepLines w:val="0"/>
        <w:pageBreakBefore w:val="0"/>
        <w:widowControl w:val="0"/>
        <w:kinsoku/>
        <w:wordWrap/>
        <w:overflowPunct/>
        <w:topLinePunct w:val="0"/>
        <w:autoSpaceDE/>
        <w:autoSpaceDN/>
        <w:bidi w:val="0"/>
        <w:adjustRightInd/>
        <w:snapToGrid/>
        <w:spacing w:line="540" w:lineRule="exact"/>
        <w:ind w:firstLine="600" w:firstLineChars="200"/>
        <w:jc w:val="both"/>
        <w:textAlignment w:val="auto"/>
        <w:outlineLvl w:val="9"/>
        <w:rPr>
          <w:rFonts w:hint="eastAsia" w:ascii="仿宋_GB2312" w:hAnsi="仿宋_GB2312" w:eastAsia="仿宋_GB2312" w:cs="仿宋_GB2312"/>
          <w:b w:val="0"/>
          <w:bCs w:val="0"/>
          <w:sz w:val="30"/>
          <w:szCs w:val="30"/>
        </w:rPr>
      </w:pP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b w:val="0"/>
          <w:bCs w:val="0"/>
          <w:sz w:val="30"/>
          <w:szCs w:val="30"/>
        </w:rPr>
        <w:t>德育工作。一是</w:t>
      </w:r>
      <w:r>
        <w:rPr>
          <w:rFonts w:hint="eastAsia" w:ascii="仿宋_GB2312" w:hAnsi="仿宋_GB2312" w:eastAsia="仿宋_GB2312" w:cs="仿宋_GB2312"/>
          <w:b w:val="0"/>
          <w:bCs w:val="0"/>
          <w:color w:val="000000"/>
          <w:sz w:val="30"/>
          <w:szCs w:val="30"/>
        </w:rPr>
        <w:t>德育教育是分不开的，是贯彻落实“以德治国”方略的重要举措，是提高学校教育教学成绩的有力保障。开展内容丰富多彩的活动，积极探索以课堂教学为主阵地，以活动为载体，以传统文化、校园文化为依托的德育教育模式，坚持不懈地对师生开展德育教育。二是明确</w:t>
      </w:r>
      <w:r>
        <w:rPr>
          <w:rFonts w:hint="eastAsia" w:ascii="仿宋_GB2312" w:hAnsi="仿宋_GB2312" w:eastAsia="仿宋_GB2312" w:cs="仿宋_GB2312"/>
          <w:b w:val="0"/>
          <w:bCs w:val="0"/>
          <w:sz w:val="30"/>
          <w:szCs w:val="30"/>
        </w:rPr>
        <w:t>以德树人、教书育人为工作目标。</w:t>
      </w:r>
      <w:r>
        <w:rPr>
          <w:rFonts w:hint="eastAsia" w:ascii="仿宋_GB2312" w:hAnsi="仿宋_GB2312" w:eastAsia="仿宋_GB2312" w:cs="仿宋_GB2312"/>
          <w:b w:val="0"/>
          <w:bCs w:val="0"/>
          <w:color w:val="000000"/>
          <w:sz w:val="30"/>
          <w:szCs w:val="30"/>
        </w:rPr>
        <w:t>抓师德师风建设，努力提高教师队伍的素质。致力于建设一支品德高尚、奉献教育、业务素养高的教师队伍。</w:t>
      </w:r>
      <w:r>
        <w:rPr>
          <w:rFonts w:hint="eastAsia" w:ascii="仿宋_GB2312" w:hAnsi="仿宋_GB2312" w:eastAsia="仿宋_GB2312" w:cs="仿宋_GB2312"/>
          <w:b w:val="0"/>
          <w:bCs w:val="0"/>
          <w:sz w:val="30"/>
          <w:szCs w:val="30"/>
        </w:rPr>
        <w:t>积极探索学科课程渗透德育的途径，在思品、语文、历史等学科中进行德育教育。提高文明学校创建水平，加强文明学校管理，培育“善行校园”。三是开展形式多样的教育活动，利用团委、工会等组织为领导，夯实育人载体，活动育人。认真</w:t>
      </w:r>
      <w:r>
        <w:rPr>
          <w:rFonts w:hint="eastAsia" w:ascii="仿宋_GB2312" w:hAnsi="仿宋_GB2312" w:eastAsia="仿宋_GB2312" w:cs="仿宋_GB2312"/>
          <w:b w:val="0"/>
          <w:bCs w:val="0"/>
          <w:color w:val="000000"/>
          <w:sz w:val="30"/>
          <w:szCs w:val="30"/>
        </w:rPr>
        <w:t>组织好“五·四</w:t>
      </w:r>
      <w:r>
        <w:rPr>
          <w:rFonts w:hint="eastAsia" w:ascii="仿宋_GB2312" w:hAnsi="仿宋_GB2312" w:eastAsia="仿宋_GB2312" w:cs="仿宋_GB2312"/>
          <w:color w:val="000000"/>
          <w:sz w:val="30"/>
          <w:szCs w:val="30"/>
        </w:rPr>
        <w:t>”晚会、</w:t>
      </w:r>
      <w:r>
        <w:rPr>
          <w:rFonts w:hint="eastAsia" w:ascii="仿宋_GB2312" w:hAnsi="仿宋_GB2312" w:eastAsia="仿宋_GB2312" w:cs="仿宋_GB2312"/>
          <w:color w:val="000000"/>
          <w:sz w:val="30"/>
          <w:szCs w:val="30"/>
          <w:lang w:eastAsia="zh-CN"/>
        </w:rPr>
        <w:t>“</w:t>
      </w:r>
      <w:r>
        <w:rPr>
          <w:rFonts w:hint="eastAsia" w:ascii="仿宋_GB2312" w:hAnsi="仿宋_GB2312" w:eastAsia="仿宋_GB2312" w:cs="仿宋_GB2312"/>
          <w:color w:val="000000"/>
          <w:sz w:val="30"/>
          <w:szCs w:val="30"/>
        </w:rPr>
        <w:t>元旦</w:t>
      </w:r>
      <w:r>
        <w:rPr>
          <w:rFonts w:hint="eastAsia" w:ascii="仿宋_GB2312" w:hAnsi="仿宋_GB2312" w:eastAsia="仿宋_GB2312" w:cs="仿宋_GB2312"/>
          <w:color w:val="000000"/>
          <w:sz w:val="30"/>
          <w:szCs w:val="30"/>
          <w:lang w:eastAsia="zh-CN"/>
        </w:rPr>
        <w:t>”</w:t>
      </w:r>
      <w:r>
        <w:rPr>
          <w:rFonts w:hint="eastAsia" w:ascii="仿宋_GB2312" w:hAnsi="仿宋_GB2312" w:eastAsia="仿宋_GB2312" w:cs="仿宋_GB2312"/>
          <w:color w:val="000000"/>
          <w:sz w:val="30"/>
          <w:szCs w:val="30"/>
        </w:rPr>
        <w:t>晚会等活动，为学生的兴趣发展和展示自我风采搭建有力平台</w:t>
      </w:r>
      <w:r>
        <w:rPr>
          <w:rFonts w:hint="eastAsia" w:ascii="仿宋_GB2312" w:hAnsi="仿宋_GB2312" w:eastAsia="仿宋_GB2312" w:cs="仿宋_GB2312"/>
          <w:color w:val="000000"/>
          <w:sz w:val="30"/>
          <w:szCs w:val="30"/>
          <w:lang w:eastAsia="zh-CN"/>
        </w:rPr>
        <w:t>。</w:t>
      </w:r>
      <w:r>
        <w:rPr>
          <w:rFonts w:hint="eastAsia" w:ascii="仿宋_GB2312" w:hAnsi="仿宋_GB2312" w:eastAsia="仿宋_GB2312" w:cs="仿宋_GB2312"/>
          <w:color w:val="000000"/>
          <w:sz w:val="30"/>
          <w:szCs w:val="30"/>
        </w:rPr>
        <w:t>开展“三生教育”、“行善教育”、“感恩教育”、“法制教育”和“禁毒防艾”“廉政文化进校园”“社会主义核心价值观教育”等主题活动，引导学生讲诚信、懂感恩、有爱心、有进取心，敢于拼搏和敢于胜利的精神，做到了学生德育工作的知行统一。</w:t>
      </w:r>
      <w:r>
        <w:rPr>
          <w:rFonts w:hint="eastAsia" w:ascii="仿宋_GB2312" w:hAnsi="仿宋_GB2312" w:eastAsia="仿宋_GB2312" w:cs="仿宋_GB2312"/>
          <w:b w:val="0"/>
          <w:bCs w:val="0"/>
          <w:color w:val="000000"/>
          <w:sz w:val="30"/>
          <w:szCs w:val="30"/>
        </w:rPr>
        <w:t>四是</w:t>
      </w:r>
      <w:r>
        <w:rPr>
          <w:rFonts w:hint="eastAsia" w:ascii="仿宋_GB2312" w:hAnsi="仿宋_GB2312" w:eastAsia="仿宋_GB2312" w:cs="仿宋_GB2312"/>
          <w:b w:val="0"/>
          <w:bCs w:val="0"/>
          <w:sz w:val="30"/>
          <w:szCs w:val="30"/>
        </w:rPr>
        <w:t>重</w:t>
      </w:r>
      <w:r>
        <w:rPr>
          <w:rFonts w:hint="eastAsia" w:ascii="仿宋_GB2312" w:hAnsi="仿宋_GB2312" w:eastAsia="仿宋_GB2312" w:cs="仿宋_GB2312"/>
          <w:sz w:val="30"/>
          <w:szCs w:val="30"/>
        </w:rPr>
        <w:t>视和加强校园文化建设，进一步绿化美化校园，环境育人。</w:t>
      </w:r>
      <w:r>
        <w:rPr>
          <w:rFonts w:hint="eastAsia" w:ascii="仿宋_GB2312" w:hAnsi="仿宋_GB2312" w:eastAsia="仿宋_GB2312" w:cs="仿宋_GB2312"/>
          <w:color w:val="000000"/>
          <w:sz w:val="30"/>
          <w:szCs w:val="30"/>
        </w:rPr>
        <w:t>把“善”融入到</w:t>
      </w:r>
      <w:r>
        <w:rPr>
          <w:rFonts w:hint="eastAsia" w:ascii="仿宋_GB2312" w:hAnsi="仿宋_GB2312" w:eastAsia="仿宋_GB2312" w:cs="仿宋_GB2312"/>
          <w:color w:val="000000"/>
          <w:sz w:val="30"/>
          <w:szCs w:val="30"/>
          <w:lang w:eastAsia="zh-CN"/>
        </w:rPr>
        <w:t>学校</w:t>
      </w:r>
      <w:r>
        <w:rPr>
          <w:rFonts w:hint="eastAsia" w:ascii="仿宋_GB2312" w:hAnsi="仿宋_GB2312" w:eastAsia="仿宋_GB2312" w:cs="仿宋_GB2312"/>
          <w:color w:val="000000"/>
          <w:sz w:val="30"/>
          <w:szCs w:val="30"/>
        </w:rPr>
        <w:t>德育教育</w:t>
      </w:r>
      <w:r>
        <w:rPr>
          <w:rFonts w:hint="eastAsia" w:ascii="仿宋_GB2312" w:hAnsi="仿宋_GB2312" w:eastAsia="仿宋_GB2312" w:cs="仿宋_GB2312"/>
          <w:color w:val="000000"/>
          <w:sz w:val="30"/>
          <w:szCs w:val="30"/>
          <w:lang w:eastAsia="zh-CN"/>
        </w:rPr>
        <w:t>工作</w:t>
      </w:r>
      <w:r>
        <w:rPr>
          <w:rFonts w:hint="eastAsia" w:ascii="仿宋_GB2312" w:hAnsi="仿宋_GB2312" w:eastAsia="仿宋_GB2312" w:cs="仿宋_GB2312"/>
          <w:color w:val="000000"/>
          <w:sz w:val="30"/>
          <w:szCs w:val="30"/>
        </w:rPr>
        <w:t>中，积极实施以傣、景颇、傈僳三种民族舞蹈为主的大课间活动。</w:t>
      </w:r>
      <w:r>
        <w:rPr>
          <w:rFonts w:hint="eastAsia" w:ascii="仿宋_GB2312" w:hAnsi="仿宋_GB2312" w:eastAsia="仿宋_GB2312" w:cs="仿宋_GB2312"/>
          <w:sz w:val="30"/>
          <w:szCs w:val="30"/>
        </w:rPr>
        <w:t>在学校建</w:t>
      </w:r>
      <w:r>
        <w:rPr>
          <w:rFonts w:hint="eastAsia" w:ascii="仿宋_GB2312" w:hAnsi="仿宋_GB2312" w:eastAsia="仿宋_GB2312" w:cs="仿宋_GB2312"/>
          <w:sz w:val="30"/>
          <w:szCs w:val="30"/>
          <w:lang w:eastAsia="zh-CN"/>
        </w:rPr>
        <w:t>设</w:t>
      </w:r>
      <w:r>
        <w:rPr>
          <w:rFonts w:hint="eastAsia" w:ascii="仿宋_GB2312" w:hAnsi="仿宋_GB2312" w:eastAsia="仿宋_GB2312" w:cs="仿宋_GB2312"/>
          <w:sz w:val="30"/>
          <w:szCs w:val="30"/>
        </w:rPr>
        <w:t>上，彰显学校文化，强调实用、美观、和谐，功能标识清晰醒目，赋予它隐性教育功能，学生随时随地都受到感化和教育；同时，在公共场所布置名人名言和学生作品，富有时代感和感召力，赋予学习气息，着眼于潜移默化地熏陶，激励学生的上进。</w:t>
      </w:r>
      <w:r>
        <w:rPr>
          <w:rFonts w:hint="eastAsia" w:ascii="仿宋_GB2312" w:hAnsi="仿宋_GB2312" w:eastAsia="仿宋_GB2312" w:cs="仿宋_GB2312"/>
          <w:b w:val="0"/>
          <w:bCs w:val="0"/>
          <w:sz w:val="30"/>
          <w:szCs w:val="30"/>
        </w:rPr>
        <w:t>五是认真开展学校体育、卫生、安全教育工作。通过冬运会、卫生评比</w:t>
      </w:r>
      <w:r>
        <w:rPr>
          <w:rFonts w:hint="eastAsia" w:ascii="仿宋_GB2312" w:hAnsi="仿宋_GB2312" w:eastAsia="仿宋_GB2312" w:cs="仿宋_GB2312"/>
          <w:b w:val="0"/>
          <w:bCs w:val="0"/>
          <w:sz w:val="30"/>
          <w:szCs w:val="30"/>
          <w:lang w:eastAsia="zh-CN"/>
        </w:rPr>
        <w:t>、</w:t>
      </w:r>
      <w:r>
        <w:rPr>
          <w:rFonts w:hint="eastAsia" w:ascii="仿宋_GB2312" w:hAnsi="仿宋_GB2312" w:eastAsia="仿宋_GB2312" w:cs="仿宋_GB2312"/>
          <w:b w:val="0"/>
          <w:bCs w:val="0"/>
          <w:sz w:val="30"/>
          <w:szCs w:val="30"/>
        </w:rPr>
        <w:t>主题班会、年级会开展形式多样的健康教育活动、安全教育、国防教育和民族团结教育，营造各民族相互离不开，相互发展的氛围。六是加强学校党支部</w:t>
      </w:r>
      <w:r>
        <w:rPr>
          <w:rFonts w:hint="eastAsia" w:ascii="仿宋_GB2312" w:hAnsi="仿宋_GB2312" w:eastAsia="仿宋_GB2312" w:cs="仿宋_GB2312"/>
          <w:b w:val="0"/>
          <w:bCs w:val="0"/>
          <w:sz w:val="30"/>
          <w:szCs w:val="30"/>
          <w:lang w:eastAsia="zh-CN"/>
        </w:rPr>
        <w:t>、</w:t>
      </w:r>
      <w:r>
        <w:rPr>
          <w:rFonts w:hint="eastAsia" w:ascii="仿宋_GB2312" w:hAnsi="仿宋_GB2312" w:eastAsia="仿宋_GB2312" w:cs="仿宋_GB2312"/>
          <w:b w:val="0"/>
          <w:bCs w:val="0"/>
          <w:sz w:val="30"/>
          <w:szCs w:val="30"/>
        </w:rPr>
        <w:t>团委、工会</w:t>
      </w:r>
      <w:r>
        <w:rPr>
          <w:rFonts w:hint="eastAsia" w:ascii="仿宋_GB2312" w:hAnsi="仿宋_GB2312" w:eastAsia="仿宋_GB2312" w:cs="仿宋_GB2312"/>
          <w:b w:val="0"/>
          <w:bCs w:val="0"/>
          <w:sz w:val="30"/>
          <w:szCs w:val="30"/>
          <w:lang w:eastAsia="zh-CN"/>
        </w:rPr>
        <w:t>等的建设</w:t>
      </w:r>
      <w:r>
        <w:rPr>
          <w:rFonts w:hint="eastAsia" w:ascii="仿宋_GB2312" w:hAnsi="仿宋_GB2312" w:eastAsia="仿宋_GB2312" w:cs="仿宋_GB2312"/>
          <w:b w:val="0"/>
          <w:bCs w:val="0"/>
          <w:sz w:val="30"/>
          <w:szCs w:val="30"/>
        </w:rPr>
        <w:t>工作，深入开展</w:t>
      </w:r>
      <w:r>
        <w:rPr>
          <w:rFonts w:hint="eastAsia" w:ascii="仿宋_GB2312" w:hAnsi="仿宋_GB2312" w:eastAsia="仿宋_GB2312" w:cs="仿宋_GB2312"/>
          <w:b w:val="0"/>
          <w:bCs w:val="0"/>
          <w:sz w:val="30"/>
          <w:szCs w:val="30"/>
          <w:lang w:eastAsia="zh-CN"/>
        </w:rPr>
        <w:t>党的群众路线教育实践活动</w:t>
      </w:r>
      <w:r>
        <w:rPr>
          <w:rFonts w:hint="eastAsia" w:ascii="仿宋_GB2312" w:hAnsi="仿宋_GB2312" w:eastAsia="仿宋_GB2312" w:cs="仿宋_GB2312"/>
          <w:b w:val="0"/>
          <w:bCs w:val="0"/>
          <w:sz w:val="30"/>
          <w:szCs w:val="30"/>
        </w:rPr>
        <w:t>和</w:t>
      </w:r>
      <w:r>
        <w:rPr>
          <w:rFonts w:hint="eastAsia" w:ascii="仿宋_GB2312" w:hAnsi="仿宋_GB2312" w:eastAsia="仿宋_GB2312" w:cs="仿宋_GB2312"/>
          <w:b w:val="0"/>
          <w:bCs w:val="0"/>
          <w:sz w:val="30"/>
          <w:szCs w:val="30"/>
          <w:lang w:eastAsia="zh-CN"/>
        </w:rPr>
        <w:t>“两学一做”学习教育</w:t>
      </w:r>
      <w:r>
        <w:rPr>
          <w:rFonts w:hint="eastAsia" w:ascii="仿宋_GB2312" w:hAnsi="仿宋_GB2312" w:eastAsia="仿宋_GB2312" w:cs="仿宋_GB2312"/>
          <w:b w:val="0"/>
          <w:bCs w:val="0"/>
          <w:sz w:val="30"/>
          <w:szCs w:val="30"/>
        </w:rPr>
        <w:t>，加强和改进工作作风，积极营造风清气正的育人环境，利用校园广播、主题班会广泛开展“崇尚科学、拒绝邪教”活动和法治教育，维护学校稳定。组织开展形式多样的活动，有力的促进了师生的团结进取，丰富了校园文化生活。</w:t>
      </w:r>
    </w:p>
    <w:p>
      <w:pPr>
        <w:keepNext w:val="0"/>
        <w:keepLines w:val="0"/>
        <w:pageBreakBefore w:val="0"/>
        <w:widowControl w:val="0"/>
        <w:kinsoku/>
        <w:wordWrap/>
        <w:overflowPunct/>
        <w:topLinePunct w:val="0"/>
        <w:autoSpaceDE/>
        <w:autoSpaceDN/>
        <w:bidi w:val="0"/>
        <w:adjustRightInd/>
        <w:snapToGrid/>
        <w:spacing w:line="540" w:lineRule="exact"/>
        <w:ind w:firstLine="600" w:firstLineChars="200"/>
        <w:jc w:val="both"/>
        <w:textAlignment w:val="auto"/>
        <w:outlineLvl w:val="9"/>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lang w:val="en-US" w:eastAsia="zh-CN"/>
        </w:rPr>
        <w:t>2、</w:t>
      </w:r>
      <w:r>
        <w:rPr>
          <w:rFonts w:hint="eastAsia" w:ascii="仿宋_GB2312" w:hAnsi="仿宋_GB2312" w:eastAsia="仿宋_GB2312" w:cs="仿宋_GB2312"/>
          <w:b w:val="0"/>
          <w:bCs w:val="0"/>
          <w:sz w:val="30"/>
          <w:szCs w:val="30"/>
        </w:rPr>
        <w:t>安全工作。一是校园安全不容忽视，始终把创建平安</w:t>
      </w:r>
      <w:r>
        <w:rPr>
          <w:rFonts w:hint="eastAsia" w:ascii="仿宋_GB2312" w:hAnsi="仿宋_GB2312" w:eastAsia="仿宋_GB2312" w:cs="仿宋_GB2312"/>
          <w:sz w:val="30"/>
          <w:szCs w:val="30"/>
        </w:rPr>
        <w:t>和谐校园作为一项重要工作常抓不懈，多次组织教师排查校舍安全，食堂食品安全，创建平安和谐校园，联系派出所整治校园周边环境。</w:t>
      </w:r>
      <w:r>
        <w:rPr>
          <w:rFonts w:hint="eastAsia" w:ascii="仿宋_GB2312" w:hAnsi="仿宋_GB2312" w:eastAsia="仿宋_GB2312" w:cs="仿宋_GB2312"/>
          <w:b w:val="0"/>
          <w:bCs w:val="0"/>
          <w:sz w:val="30"/>
          <w:szCs w:val="30"/>
        </w:rPr>
        <w:t>二是扎实开展综治维稳宣传月活动，每学期开学第一周开展“校园安全活动周”，与班主任签订《安全责任书》，利用校会、晨会、班会、板报、升旗仪式等各种形式进行安全教育，以此强化师生的安全意识。三是制定相应的各类安全应急预案，切实加强校园治安防控体系建设，把安全和教学工作紧密在一起，认真组织学生开展防震、防火、防溺水等应急演练。四是校园安全领导小组定期开展学校</w:t>
      </w:r>
      <w:r>
        <w:rPr>
          <w:rFonts w:hint="eastAsia" w:ascii="仿宋_GB2312" w:hAnsi="仿宋_GB2312" w:eastAsia="仿宋_GB2312" w:cs="仿宋_GB2312"/>
          <w:sz w:val="30"/>
          <w:szCs w:val="30"/>
        </w:rPr>
        <w:t>安全隐患大排查、大整治行动，配合有关部门开展校园及周边社会治安综合治理工作，及时排查并整治化解影响校园安全、隐患及矛盾纠纷</w:t>
      </w:r>
      <w:r>
        <w:rPr>
          <w:rFonts w:hint="eastAsia" w:ascii="仿宋_GB2312" w:hAnsi="仿宋_GB2312" w:eastAsia="仿宋_GB2312" w:cs="仿宋_GB2312"/>
          <w:b w:val="0"/>
          <w:bCs w:val="0"/>
          <w:sz w:val="30"/>
          <w:szCs w:val="30"/>
        </w:rPr>
        <w:t>。五是认真落实全校学生资助政策，做好学生资助公示制度和学生资助档案制度，严厉查处虚报学生学籍、擅自调整资助范围、降低资助标准、重复领取资助金等违纪违规行为，做到公开、公正的财务制度。</w:t>
      </w:r>
    </w:p>
    <w:p>
      <w:pPr>
        <w:keepNext w:val="0"/>
        <w:keepLines w:val="0"/>
        <w:pageBreakBefore w:val="0"/>
        <w:widowControl w:val="0"/>
        <w:kinsoku/>
        <w:wordWrap/>
        <w:overflowPunct/>
        <w:topLinePunct w:val="0"/>
        <w:autoSpaceDE/>
        <w:autoSpaceDN/>
        <w:bidi w:val="0"/>
        <w:adjustRightInd/>
        <w:snapToGrid/>
        <w:spacing w:line="540" w:lineRule="exact"/>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b w:val="0"/>
          <w:bCs w:val="0"/>
          <w:sz w:val="30"/>
          <w:szCs w:val="30"/>
          <w:lang w:val="en-US" w:eastAsia="zh-CN"/>
        </w:rPr>
        <w:t>3、</w:t>
      </w:r>
      <w:r>
        <w:rPr>
          <w:rFonts w:hint="eastAsia" w:ascii="仿宋_GB2312" w:hAnsi="仿宋_GB2312" w:eastAsia="仿宋_GB2312" w:cs="仿宋_GB2312"/>
          <w:b w:val="0"/>
          <w:bCs w:val="0"/>
          <w:sz w:val="30"/>
          <w:szCs w:val="30"/>
        </w:rPr>
        <w:t>县域内义务教育基本均衡达标工作。一是认真落实0-18岁人口文化状况，按时、准确、规范上报教育事业统计报表、学生学籍信息系统、</w:t>
      </w:r>
      <w:bookmarkStart w:id="0" w:name="OLE_LINK2"/>
      <w:r>
        <w:rPr>
          <w:rFonts w:hint="eastAsia" w:ascii="仿宋_GB2312" w:hAnsi="仿宋_GB2312" w:eastAsia="仿宋_GB2312" w:cs="仿宋_GB2312"/>
          <w:b w:val="0"/>
          <w:bCs w:val="0"/>
          <w:sz w:val="30"/>
          <w:szCs w:val="30"/>
        </w:rPr>
        <w:t>营养改善计划系统数据</w:t>
      </w:r>
      <w:bookmarkEnd w:id="0"/>
      <w:r>
        <w:rPr>
          <w:rFonts w:hint="eastAsia" w:ascii="仿宋_GB2312" w:hAnsi="仿宋_GB2312" w:eastAsia="仿宋_GB2312" w:cs="仿宋_GB2312"/>
          <w:b w:val="0"/>
          <w:bCs w:val="0"/>
          <w:sz w:val="30"/>
          <w:szCs w:val="30"/>
        </w:rPr>
        <w:t>，出现辍学学生，及时更新学生生活补助、营养改善计划等表册数据。二是全力做好学</w:t>
      </w:r>
      <w:r>
        <w:rPr>
          <w:rFonts w:hint="eastAsia" w:ascii="仿宋_GB2312" w:hAnsi="仿宋_GB2312" w:eastAsia="仿宋_GB2312" w:cs="仿宋_GB2312"/>
          <w:sz w:val="30"/>
          <w:szCs w:val="30"/>
        </w:rPr>
        <w:t>校“控辍保学“工作，积极主动配合乡</w:t>
      </w:r>
      <w:r>
        <w:rPr>
          <w:rFonts w:hint="eastAsia" w:ascii="仿宋_GB2312" w:hAnsi="仿宋_GB2312" w:eastAsia="仿宋_GB2312" w:cs="仿宋_GB2312"/>
          <w:sz w:val="30"/>
          <w:szCs w:val="30"/>
          <w:lang w:eastAsia="zh-CN"/>
        </w:rPr>
        <w:t>政</w:t>
      </w:r>
      <w:r>
        <w:rPr>
          <w:rFonts w:hint="eastAsia" w:ascii="仿宋_GB2312" w:hAnsi="仿宋_GB2312" w:eastAsia="仿宋_GB2312" w:cs="仿宋_GB2312"/>
          <w:sz w:val="30"/>
          <w:szCs w:val="30"/>
        </w:rPr>
        <w:t>府做好，动员流失学生返校工作。</w:t>
      </w:r>
    </w:p>
    <w:p>
      <w:pPr>
        <w:keepNext w:val="0"/>
        <w:keepLines w:val="0"/>
        <w:pageBreakBefore w:val="0"/>
        <w:widowControl w:val="0"/>
        <w:kinsoku/>
        <w:wordWrap/>
        <w:overflowPunct/>
        <w:topLinePunct w:val="0"/>
        <w:autoSpaceDE/>
        <w:autoSpaceDN/>
        <w:bidi w:val="0"/>
        <w:adjustRightInd/>
        <w:snapToGrid/>
        <w:spacing w:line="540" w:lineRule="exact"/>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教师队伍建设工作。</w:t>
      </w:r>
      <w:r>
        <w:rPr>
          <w:rFonts w:hint="eastAsia" w:ascii="仿宋_GB2312" w:hAnsi="仿宋_GB2312" w:eastAsia="仿宋_GB2312" w:cs="仿宋_GB2312"/>
          <w:b/>
          <w:bCs/>
          <w:sz w:val="30"/>
          <w:szCs w:val="30"/>
        </w:rPr>
        <w:t>一</w:t>
      </w:r>
      <w:r>
        <w:rPr>
          <w:rFonts w:hint="eastAsia" w:ascii="仿宋_GB2312" w:hAnsi="仿宋_GB2312" w:eastAsia="仿宋_GB2312" w:cs="仿宋_GB2312"/>
          <w:b w:val="0"/>
          <w:bCs w:val="0"/>
          <w:sz w:val="30"/>
          <w:szCs w:val="30"/>
        </w:rPr>
        <w:t>是重视学校领导班子和教师队伍建设，有计划培养骨干教师，组织校长、领导班子、专任教师参加各级各部门开展的各种培训。二是做好教师职</w:t>
      </w:r>
      <w:r>
        <w:rPr>
          <w:rFonts w:hint="eastAsia" w:ascii="仿宋_GB2312" w:hAnsi="仿宋_GB2312" w:eastAsia="仿宋_GB2312" w:cs="仿宋_GB2312"/>
          <w:sz w:val="30"/>
          <w:szCs w:val="30"/>
        </w:rPr>
        <w:t>称晋升和年终考核工作、不断完善教师绩效分配制改革工作。制定并修改了《盈江县</w:t>
      </w:r>
      <w:r>
        <w:rPr>
          <w:rFonts w:hint="eastAsia" w:ascii="仿宋_GB2312" w:hAnsi="仿宋_GB2312" w:eastAsia="仿宋_GB2312" w:cs="仿宋_GB2312"/>
          <w:sz w:val="30"/>
          <w:szCs w:val="30"/>
          <w:lang w:eastAsia="zh-CN"/>
        </w:rPr>
        <w:t>支那乡中学</w:t>
      </w:r>
      <w:r>
        <w:rPr>
          <w:rFonts w:hint="eastAsia" w:ascii="仿宋_GB2312" w:hAnsi="仿宋_GB2312" w:eastAsia="仿宋_GB2312" w:cs="仿宋_GB2312"/>
          <w:sz w:val="30"/>
          <w:szCs w:val="30"/>
        </w:rPr>
        <w:t>绩效考核方案》、《盈江县</w:t>
      </w:r>
      <w:r>
        <w:rPr>
          <w:rFonts w:hint="eastAsia" w:ascii="仿宋_GB2312" w:hAnsi="仿宋_GB2312" w:eastAsia="仿宋_GB2312" w:cs="仿宋_GB2312"/>
          <w:sz w:val="30"/>
          <w:szCs w:val="30"/>
          <w:lang w:eastAsia="zh-CN"/>
        </w:rPr>
        <w:t>支那乡中学</w:t>
      </w:r>
      <w:r>
        <w:rPr>
          <w:rFonts w:hint="eastAsia" w:ascii="仿宋_GB2312" w:hAnsi="仿宋_GB2312" w:eastAsia="仿宋_GB2312" w:cs="仿宋_GB2312"/>
          <w:sz w:val="30"/>
          <w:szCs w:val="30"/>
        </w:rPr>
        <w:t>教学质量奖金分配方案》，积极做好在岗教师的聘用工作，不断完善聘用合同和聘书。</w:t>
      </w:r>
    </w:p>
    <w:p>
      <w:pPr>
        <w:keepNext w:val="0"/>
        <w:keepLines w:val="0"/>
        <w:pageBreakBefore w:val="0"/>
        <w:widowControl w:val="0"/>
        <w:kinsoku/>
        <w:wordWrap/>
        <w:overflowPunct/>
        <w:topLinePunct w:val="0"/>
        <w:autoSpaceDE/>
        <w:autoSpaceDN/>
        <w:bidi w:val="0"/>
        <w:adjustRightInd/>
        <w:snapToGrid/>
        <w:spacing w:line="540" w:lineRule="exact"/>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sz w:val="30"/>
          <w:szCs w:val="30"/>
        </w:rPr>
        <w:t>教育教学工作</w:t>
      </w:r>
      <w:r>
        <w:rPr>
          <w:rFonts w:hint="eastAsia" w:ascii="仿宋_GB2312" w:hAnsi="仿宋_GB2312" w:eastAsia="仿宋_GB2312" w:cs="仿宋_GB2312"/>
          <w:b w:val="0"/>
          <w:bCs w:val="0"/>
          <w:sz w:val="30"/>
          <w:szCs w:val="30"/>
        </w:rPr>
        <w:t>。一是积极完成国培、省培计划指标任务，参训率和参训合格率达到100%。二是理化生演示分组实验达到要求。三是各功能室管理制度健全，达到义务教育均衡发展要求标准，落实分管领导，专职兼职管理人员长期稳定，岗位职责明确；账、册、表、卡填写规范，痕迹记录真实可靠；课时开出达标；实验经费投入有保障。及时添置设备和维护。仪器设备全部入柜、上架，顺序存放分类科学合理，认真对照《实验室安全工作年检表》进行每学期一次的安全检查，有校领导参与，并签字，危险药品有专柜管理。四是课程</w:t>
      </w:r>
      <w:r>
        <w:rPr>
          <w:rFonts w:hint="eastAsia" w:ascii="仿宋_GB2312" w:hAnsi="仿宋_GB2312" w:eastAsia="仿宋_GB2312" w:cs="仿宋_GB2312"/>
          <w:sz w:val="30"/>
          <w:szCs w:val="30"/>
        </w:rPr>
        <w:t>设置科学合理，教学管理制度健全。课程设置严格按照《云南省义务教育7—9年级课程设置及课时安排意见》规定，我校</w:t>
      </w:r>
      <w:r>
        <w:rPr>
          <w:rFonts w:hint="eastAsia" w:ascii="仿宋_GB2312" w:hAnsi="仿宋_GB2312" w:eastAsia="仿宋_GB2312" w:cs="仿宋_GB2312"/>
          <w:kern w:val="0"/>
          <w:sz w:val="30"/>
          <w:szCs w:val="30"/>
        </w:rPr>
        <w:t>成立了课堂教学督查小组，班子成员对教师的课堂教学进行了有效督查。同时鼓励教师之间互相听课，互相学习，取长补短，共同提高，每次听课过后都及时进行交流，并认真填写听课记录。</w:t>
      </w:r>
      <w:r>
        <w:rPr>
          <w:rFonts w:hint="eastAsia" w:ascii="仿宋_GB2312" w:hAnsi="仿宋_GB2312" w:eastAsia="仿宋_GB2312" w:cs="仿宋_GB2312"/>
          <w:sz w:val="30"/>
          <w:szCs w:val="30"/>
        </w:rPr>
        <w:t>积极推进学校课堂教学改革，认真开展各种备课活动，教案（教学）设计符合新课程理念和学校课改模式要求；各学科组有计划的开展集体备课。</w:t>
      </w:r>
      <w:r>
        <w:rPr>
          <w:rFonts w:hint="eastAsia" w:ascii="仿宋_GB2312" w:hAnsi="仿宋_GB2312" w:eastAsia="仿宋_GB2312" w:cs="仿宋_GB2312"/>
          <w:b w:val="0"/>
          <w:bCs w:val="0"/>
          <w:sz w:val="30"/>
          <w:szCs w:val="30"/>
        </w:rPr>
        <w:t>五是搞活课堂，课堂教学效果明显。本学年在全校教师中开展了每人每学期上一节公开课的教学活动，积极组织教师参与“一师一优课，一课一名师”晒课活动。六是科学合理布置作业，认真做好课外辅导。规范课外作业的布置量，要求教师做好课后的辅导工作，制定了《盈江县</w:t>
      </w:r>
      <w:r>
        <w:rPr>
          <w:rFonts w:hint="eastAsia" w:ascii="仿宋_GB2312" w:hAnsi="仿宋_GB2312" w:eastAsia="仿宋_GB2312" w:cs="仿宋_GB2312"/>
          <w:b w:val="0"/>
          <w:bCs w:val="0"/>
          <w:sz w:val="30"/>
          <w:szCs w:val="30"/>
          <w:lang w:eastAsia="zh-CN"/>
        </w:rPr>
        <w:t>支那乡中学</w:t>
      </w:r>
      <w:r>
        <w:rPr>
          <w:rFonts w:hint="eastAsia" w:ascii="仿宋_GB2312" w:hAnsi="仿宋_GB2312" w:eastAsia="仿宋_GB2312" w:cs="仿宋_GB2312"/>
          <w:b w:val="0"/>
          <w:bCs w:val="0"/>
          <w:sz w:val="30"/>
          <w:szCs w:val="30"/>
        </w:rPr>
        <w:t>“培优补差”实施方案》，指导教师对学生进行有针对性的课外辅导。七是认真抓好学科质量</w:t>
      </w:r>
      <w:bookmarkStart w:id="1" w:name="OLE_LINK4"/>
      <w:r>
        <w:rPr>
          <w:rFonts w:hint="eastAsia" w:ascii="仿宋_GB2312" w:hAnsi="仿宋_GB2312" w:eastAsia="仿宋_GB2312" w:cs="仿宋_GB2312"/>
          <w:b w:val="0"/>
          <w:bCs w:val="0"/>
          <w:sz w:val="30"/>
          <w:szCs w:val="30"/>
        </w:rPr>
        <w:t>监测</w:t>
      </w:r>
      <w:bookmarkEnd w:id="1"/>
      <w:r>
        <w:rPr>
          <w:rFonts w:hint="eastAsia" w:ascii="仿宋_GB2312" w:hAnsi="仿宋_GB2312" w:eastAsia="仿宋_GB2312" w:cs="仿宋_GB2312"/>
          <w:b w:val="0"/>
          <w:bCs w:val="0"/>
          <w:sz w:val="30"/>
          <w:szCs w:val="30"/>
        </w:rPr>
        <w:t>工作。每次监测后及时召开年级质量分析会和学生表彰会，从教学成绩中的各项指标认真分析学生成绩，提出合理的教学措施。八是抓实校本教研，加大教师业务培训，促进</w:t>
      </w:r>
      <w:r>
        <w:rPr>
          <w:rFonts w:hint="eastAsia" w:ascii="仿宋_GB2312" w:hAnsi="仿宋_GB2312" w:eastAsia="仿宋_GB2312" w:cs="仿宋_GB2312"/>
          <w:sz w:val="30"/>
          <w:szCs w:val="30"/>
        </w:rPr>
        <w:t xml:space="preserve">新教师成长。完善各项制度，积极采取措施加强教师培训。   </w:t>
      </w:r>
    </w:p>
    <w:p>
      <w:pPr>
        <w:keepNext w:val="0"/>
        <w:keepLines w:val="0"/>
        <w:pageBreakBefore w:val="0"/>
        <w:widowControl w:val="0"/>
        <w:kinsoku/>
        <w:wordWrap/>
        <w:overflowPunct/>
        <w:topLinePunct w:val="0"/>
        <w:autoSpaceDE/>
        <w:autoSpaceDN/>
        <w:bidi w:val="0"/>
        <w:adjustRightInd/>
        <w:snapToGrid/>
        <w:spacing w:line="540" w:lineRule="exact"/>
        <w:ind w:firstLine="60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rPr>
        <w:t>其他工作。</w:t>
      </w:r>
      <w:r>
        <w:rPr>
          <w:rFonts w:hint="eastAsia" w:ascii="仿宋_GB2312" w:hAnsi="仿宋_GB2312" w:eastAsia="仿宋_GB2312" w:cs="仿宋_GB2312"/>
          <w:b w:val="0"/>
          <w:bCs w:val="0"/>
          <w:sz w:val="30"/>
          <w:szCs w:val="30"/>
        </w:rPr>
        <w:t>一是加强学校党组织建设，认真开展“两学一做”学习教育和党规党章进课堂工作，坚持党风廉政建设，教职工无师德失范事件与现象发生。二是计划立即拆除学校D级危房一栋（676㎡），认真做好老旧及受损校舍的维修加固工作。大力抓好校园安全，督促改薄项目工程建设进度。三是有学校领导分管、专人负责学校勤工俭学管理工作。四是制定“七五”年度普法计划，利用国旗下的讲话、校园广播、主题班会、团员活动等在学校开展形式多样的法制宣传教育活动；规范教育收费和教育活动，坚决杜绝乱收费行为。五是积极按照计划开展学校督导评估，配合上级推进督学责任区检查工作。六是积极配合青少年学生活动中心，积极参加放风筝比赛等课外实践活动。七是配</w:t>
      </w:r>
      <w:r>
        <w:rPr>
          <w:rFonts w:hint="eastAsia" w:ascii="仿宋_GB2312" w:hAnsi="仿宋_GB2312" w:eastAsia="仿宋_GB2312" w:cs="仿宋_GB2312"/>
          <w:bCs/>
          <w:sz w:val="30"/>
          <w:szCs w:val="30"/>
        </w:rPr>
        <w:t>合盏西职成教服务中心开展培训工作，学校青爱小屋协助参与。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二、预算单位基本情况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我</w:t>
      </w:r>
      <w:r>
        <w:rPr>
          <w:rFonts w:hint="eastAsia" w:ascii="仿宋_GB2312" w:hAnsi="仿宋_GB2312" w:eastAsia="仿宋_GB2312" w:cs="仿宋_GB2312"/>
          <w:kern w:val="0"/>
          <w:sz w:val="30"/>
          <w:szCs w:val="30"/>
          <w:lang w:eastAsia="zh-CN"/>
        </w:rPr>
        <w:t>单位</w:t>
      </w:r>
      <w:r>
        <w:rPr>
          <w:rFonts w:hint="eastAsia" w:ascii="仿宋_GB2312" w:hAnsi="仿宋_GB2312" w:eastAsia="仿宋_GB2312" w:cs="仿宋_GB2312"/>
          <w:kern w:val="0"/>
          <w:sz w:val="30"/>
          <w:szCs w:val="30"/>
        </w:rPr>
        <w:t>编制</w:t>
      </w:r>
      <w:r>
        <w:rPr>
          <w:rFonts w:hint="eastAsia" w:ascii="仿宋_GB2312" w:hAnsi="仿宋_GB2312" w:eastAsia="仿宋_GB2312" w:cs="仿宋_GB2312"/>
          <w:kern w:val="0"/>
          <w:sz w:val="30"/>
          <w:szCs w:val="30"/>
          <w:lang w:val="en-US" w:eastAsia="zh-CN"/>
        </w:rPr>
        <w:t>2019</w:t>
      </w:r>
      <w:r>
        <w:rPr>
          <w:rFonts w:hint="eastAsia" w:ascii="仿宋_GB2312" w:hAnsi="仿宋_GB2312" w:eastAsia="仿宋_GB2312" w:cs="仿宋_GB2312"/>
          <w:kern w:val="0"/>
          <w:sz w:val="30"/>
          <w:szCs w:val="30"/>
        </w:rPr>
        <w:t>年部门预算单位共</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个。其中：财政全供给单位</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个；部分供给单位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个；特殊供给单位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个；自收自支单位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个。财政全供给单位中行政单</w:t>
      </w:r>
      <w:r>
        <w:rPr>
          <w:rFonts w:hint="eastAsia" w:ascii="仿宋_GB2312" w:hAnsi="仿宋_GB2312" w:eastAsia="仿宋_GB2312" w:cs="仿宋_GB2312"/>
          <w:kern w:val="0"/>
          <w:sz w:val="30"/>
          <w:szCs w:val="30"/>
          <w:lang w:eastAsia="zh-CN"/>
        </w:rPr>
        <w:t>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个；事业单位</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个；非参公管理事业单位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个。截止20</w:t>
      </w:r>
      <w:r>
        <w:rPr>
          <w:rFonts w:hint="eastAsia" w:ascii="仿宋_GB2312" w:hAnsi="仿宋_GB2312" w:eastAsia="仿宋_GB2312" w:cs="仿宋_GB2312"/>
          <w:kern w:val="0"/>
          <w:sz w:val="30"/>
          <w:szCs w:val="30"/>
          <w:lang w:val="en-US" w:eastAsia="zh-CN"/>
        </w:rPr>
        <w:t>18</w:t>
      </w:r>
      <w:r>
        <w:rPr>
          <w:rFonts w:hint="eastAsia" w:ascii="仿宋_GB2312" w:hAnsi="仿宋_GB2312" w:eastAsia="仿宋_GB2312" w:cs="仿宋_GB2312"/>
          <w:kern w:val="0"/>
          <w:sz w:val="30"/>
          <w:szCs w:val="30"/>
        </w:rPr>
        <w:t>年11月统计，部门基本情况如下：</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在职人员编制</w:t>
      </w:r>
      <w:r>
        <w:rPr>
          <w:rFonts w:hint="eastAsia" w:ascii="仿宋_GB2312" w:hAnsi="仿宋_GB2312" w:eastAsia="仿宋_GB2312" w:cs="仿宋_GB2312"/>
          <w:kern w:val="0"/>
          <w:sz w:val="30"/>
          <w:szCs w:val="30"/>
          <w:lang w:val="en-US" w:eastAsia="zh-CN"/>
        </w:rPr>
        <w:t>49</w:t>
      </w:r>
      <w:r>
        <w:rPr>
          <w:rFonts w:hint="eastAsia" w:ascii="仿宋_GB2312" w:hAnsi="仿宋_GB2312" w:eastAsia="仿宋_GB2312" w:cs="仿宋_GB2312"/>
          <w:kern w:val="0"/>
          <w:sz w:val="30"/>
          <w:szCs w:val="30"/>
        </w:rPr>
        <w:t xml:space="preserve">人，其中：行政编制 </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人，事业编制</w:t>
      </w:r>
      <w:r>
        <w:rPr>
          <w:rFonts w:hint="eastAsia" w:ascii="仿宋_GB2312" w:hAnsi="仿宋_GB2312" w:eastAsia="仿宋_GB2312" w:cs="仿宋_GB2312"/>
          <w:kern w:val="0"/>
          <w:sz w:val="30"/>
          <w:szCs w:val="30"/>
          <w:lang w:val="en-US" w:eastAsia="zh-CN"/>
        </w:rPr>
        <w:t>49</w:t>
      </w:r>
      <w:r>
        <w:rPr>
          <w:rFonts w:hint="eastAsia" w:ascii="仿宋_GB2312" w:hAnsi="仿宋_GB2312" w:eastAsia="仿宋_GB2312" w:cs="仿宋_GB2312"/>
          <w:kern w:val="0"/>
          <w:sz w:val="30"/>
          <w:szCs w:val="30"/>
        </w:rPr>
        <w:t>人。在职实有</w:t>
      </w:r>
      <w:r>
        <w:rPr>
          <w:rFonts w:hint="eastAsia" w:ascii="仿宋_GB2312" w:hAnsi="仿宋_GB2312" w:eastAsia="仿宋_GB2312" w:cs="仿宋_GB2312"/>
          <w:kern w:val="0"/>
          <w:sz w:val="30"/>
          <w:szCs w:val="30"/>
          <w:lang w:val="en-US" w:eastAsia="zh-CN"/>
        </w:rPr>
        <w:t>48</w:t>
      </w:r>
      <w:r>
        <w:rPr>
          <w:rFonts w:hint="eastAsia" w:ascii="仿宋_GB2312" w:hAnsi="仿宋_GB2312" w:eastAsia="仿宋_GB2312" w:cs="仿宋_GB2312"/>
          <w:kern w:val="0"/>
          <w:sz w:val="30"/>
          <w:szCs w:val="30"/>
        </w:rPr>
        <w:t xml:space="preserve">人，其中： 财政全供养 </w:t>
      </w:r>
      <w:r>
        <w:rPr>
          <w:rFonts w:hint="eastAsia" w:ascii="仿宋_GB2312" w:hAnsi="仿宋_GB2312" w:eastAsia="仿宋_GB2312" w:cs="仿宋_GB2312"/>
          <w:kern w:val="0"/>
          <w:sz w:val="30"/>
          <w:szCs w:val="30"/>
          <w:lang w:val="en-US" w:eastAsia="zh-CN"/>
        </w:rPr>
        <w:t>48</w:t>
      </w:r>
      <w:r>
        <w:rPr>
          <w:rFonts w:hint="eastAsia" w:ascii="仿宋_GB2312" w:hAnsi="仿宋_GB2312" w:eastAsia="仿宋_GB2312" w:cs="仿宋_GB2312"/>
          <w:kern w:val="0"/>
          <w:sz w:val="30"/>
          <w:szCs w:val="30"/>
        </w:rPr>
        <w:t>人，财政部分供养</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人，非财政供养</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 xml:space="preserve">离退休人员 </w:t>
      </w:r>
      <w:r>
        <w:rPr>
          <w:rFonts w:hint="eastAsia" w:ascii="仿宋_GB2312" w:hAnsi="仿宋_GB2312" w:eastAsia="仿宋_GB2312" w:cs="仿宋_GB2312"/>
          <w:color w:val="000000" w:themeColor="text1"/>
          <w:kern w:val="0"/>
          <w:sz w:val="30"/>
          <w:szCs w:val="30"/>
          <w:lang w:val="en-US" w:eastAsia="zh-CN"/>
        </w:rPr>
        <w:t>3</w:t>
      </w:r>
      <w:r>
        <w:rPr>
          <w:rFonts w:hint="eastAsia" w:ascii="仿宋_GB2312" w:hAnsi="仿宋_GB2312" w:eastAsia="仿宋_GB2312" w:cs="仿宋_GB2312"/>
          <w:color w:val="000000" w:themeColor="text1"/>
          <w:kern w:val="0"/>
          <w:sz w:val="30"/>
          <w:szCs w:val="30"/>
        </w:rPr>
        <w:t>人，其中： 离休</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 xml:space="preserve"> 人，退休</w:t>
      </w:r>
      <w:r>
        <w:rPr>
          <w:rFonts w:hint="eastAsia" w:ascii="仿宋_GB2312" w:hAnsi="仿宋_GB2312" w:eastAsia="仿宋_GB2312" w:cs="仿宋_GB2312"/>
          <w:color w:val="000000" w:themeColor="text1"/>
          <w:kern w:val="0"/>
          <w:sz w:val="30"/>
          <w:szCs w:val="30"/>
          <w:lang w:val="en-US" w:eastAsia="zh-CN"/>
        </w:rPr>
        <w:t xml:space="preserve"> 3</w:t>
      </w:r>
      <w:r>
        <w:rPr>
          <w:rFonts w:hint="eastAsia" w:ascii="仿宋_GB2312" w:hAnsi="仿宋_GB2312" w:eastAsia="仿宋_GB2312" w:cs="仿宋_GB2312"/>
          <w:color w:val="000000" w:themeColor="text1"/>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车辆编制</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辆，实有车辆</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三、预算单位收入情况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（一）部门财务收入情况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年</w:t>
      </w:r>
      <w:r>
        <w:rPr>
          <w:rFonts w:hint="eastAsia" w:eastAsia="仿宋_GB2312"/>
          <w:kern w:val="0"/>
          <w:sz w:val="30"/>
          <w:szCs w:val="30"/>
          <w:lang w:eastAsia="zh-CN"/>
        </w:rPr>
        <w:t>盈江县支那乡中学</w:t>
      </w:r>
      <w:r>
        <w:rPr>
          <w:rFonts w:eastAsia="仿宋_GB2312"/>
          <w:kern w:val="0"/>
          <w:sz w:val="30"/>
          <w:szCs w:val="30"/>
        </w:rPr>
        <w:t>财务总收入</w:t>
      </w:r>
      <w:r>
        <w:rPr>
          <w:rFonts w:hint="eastAsia" w:eastAsia="仿宋_GB2312"/>
          <w:kern w:val="0"/>
          <w:sz w:val="30"/>
          <w:szCs w:val="30"/>
          <w:lang w:val="en-US" w:eastAsia="zh-CN"/>
        </w:rPr>
        <w:t>592.09</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592.09</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0</w:t>
      </w:r>
      <w:r>
        <w:rPr>
          <w:rFonts w:hint="eastAsia" w:eastAsia="仿宋_GB2312"/>
          <w:kern w:val="0"/>
          <w:sz w:val="30"/>
          <w:szCs w:val="30"/>
        </w:rPr>
        <w:t>万元</w:t>
      </w:r>
      <w:r>
        <w:rPr>
          <w:rFonts w:eastAsia="仿宋_GB2312"/>
          <w:kern w:val="0"/>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（二）财政拨款收入情况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年部门财政拨款收入 </w:t>
      </w:r>
      <w:r>
        <w:rPr>
          <w:rFonts w:hint="eastAsia" w:eastAsia="仿宋_GB2312"/>
          <w:kern w:val="0"/>
          <w:sz w:val="30"/>
          <w:szCs w:val="30"/>
          <w:lang w:val="en-US" w:eastAsia="zh-CN"/>
        </w:rPr>
        <w:t>592.09</w:t>
      </w:r>
      <w:r>
        <w:rPr>
          <w:rFonts w:eastAsia="仿宋_GB2312"/>
          <w:kern w:val="0"/>
          <w:sz w:val="30"/>
          <w:szCs w:val="30"/>
        </w:rPr>
        <w:t>万元，其中:本年收入</w:t>
      </w:r>
      <w:r>
        <w:rPr>
          <w:rFonts w:hint="eastAsia" w:eastAsia="仿宋_GB2312"/>
          <w:kern w:val="0"/>
          <w:sz w:val="30"/>
          <w:szCs w:val="30"/>
          <w:lang w:val="en-US" w:eastAsia="zh-CN"/>
        </w:rPr>
        <w:t>592.09</w:t>
      </w:r>
      <w:r>
        <w:rPr>
          <w:rFonts w:eastAsia="仿宋_GB2312"/>
          <w:kern w:val="0"/>
          <w:sz w:val="30"/>
          <w:szCs w:val="30"/>
        </w:rPr>
        <w:t>万元，上年结转</w:t>
      </w:r>
      <w:r>
        <w:rPr>
          <w:rFonts w:hint="eastAsia" w:eastAsia="仿宋_GB2312"/>
          <w:kern w:val="0"/>
          <w:sz w:val="30"/>
          <w:szCs w:val="30"/>
          <w:lang w:val="en-US" w:eastAsia="zh-CN"/>
        </w:rPr>
        <w:t>0</w:t>
      </w:r>
      <w:r>
        <w:rPr>
          <w:rFonts w:eastAsia="仿宋_GB2312"/>
          <w:kern w:val="0"/>
          <w:sz w:val="30"/>
          <w:szCs w:val="30"/>
        </w:rPr>
        <w:t>万元。本年收入中，一般公共预算财政拨款</w:t>
      </w:r>
      <w:r>
        <w:rPr>
          <w:rFonts w:hint="eastAsia" w:eastAsia="仿宋_GB2312"/>
          <w:kern w:val="0"/>
          <w:sz w:val="30"/>
          <w:szCs w:val="30"/>
          <w:lang w:val="en-US" w:eastAsia="zh-CN"/>
        </w:rPr>
        <w:t>592.09</w:t>
      </w:r>
      <w:r>
        <w:rPr>
          <w:rFonts w:eastAsia="仿宋_GB2312"/>
          <w:kern w:val="0"/>
          <w:sz w:val="30"/>
          <w:szCs w:val="30"/>
        </w:rPr>
        <w:t>万元（本级财力</w:t>
      </w:r>
      <w:r>
        <w:rPr>
          <w:rFonts w:hint="eastAsia" w:eastAsia="仿宋_GB2312"/>
          <w:kern w:val="0"/>
          <w:sz w:val="30"/>
          <w:szCs w:val="30"/>
          <w:lang w:val="en-US" w:eastAsia="zh-CN"/>
        </w:rPr>
        <w:t>592.09</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numPr>
          <w:ilvl w:val="0"/>
          <w:numId w:val="2"/>
        </w:numPr>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预算单位支出情况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年部门预算总支出 </w:t>
      </w:r>
      <w:r>
        <w:rPr>
          <w:rFonts w:hint="eastAsia" w:eastAsia="仿宋_GB2312"/>
          <w:kern w:val="0"/>
          <w:sz w:val="30"/>
          <w:szCs w:val="30"/>
          <w:lang w:val="en-US" w:eastAsia="zh-CN"/>
        </w:rPr>
        <w:t>592.09</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592.09</w:t>
      </w:r>
      <w:r>
        <w:rPr>
          <w:rFonts w:eastAsia="仿宋_GB2312"/>
          <w:kern w:val="0"/>
          <w:sz w:val="30"/>
          <w:szCs w:val="30"/>
        </w:rPr>
        <w:t>万元，其中，基本支出</w:t>
      </w:r>
      <w:r>
        <w:rPr>
          <w:rFonts w:hint="eastAsia" w:eastAsia="仿宋_GB2312"/>
          <w:kern w:val="0"/>
          <w:sz w:val="30"/>
          <w:szCs w:val="30"/>
          <w:lang w:val="en-US" w:eastAsia="zh-CN"/>
        </w:rPr>
        <w:t>592.09</w:t>
      </w:r>
      <w:r>
        <w:rPr>
          <w:rFonts w:eastAsia="仿宋_GB2312"/>
          <w:kern w:val="0"/>
          <w:sz w:val="30"/>
          <w:szCs w:val="30"/>
        </w:rPr>
        <w:t>万元，项目支出</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“2050203” 教育支出-普通教育-中学教育465.91万元，主要用于工资福利支出和日常学校运行运转。</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“2080502”社会保障和就业支出-行政事业单位离退休-事业单位离退休0.18万元，主要用于离退休人员公用经费支出。</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333333"/>
          <w:sz w:val="30"/>
          <w:szCs w:val="30"/>
          <w:shd w:val="clear" w:color="040000" w:fill="FFFFFF"/>
          <w:lang w:val="en-US" w:eastAsia="zh-CN"/>
        </w:rPr>
      </w:pPr>
      <w:r>
        <w:rPr>
          <w:rFonts w:hint="eastAsia" w:ascii="仿宋_GB2312" w:hAnsi="仿宋_GB2312" w:eastAsia="仿宋_GB2312" w:cs="仿宋_GB2312"/>
          <w:sz w:val="30"/>
          <w:szCs w:val="30"/>
          <w:lang w:val="en-US" w:eastAsia="zh-CN"/>
        </w:rPr>
        <w:t>“2080505”社会保障和就业支出-行政事业单位离退休- 事业单位基本养老保险缴费支出74.93万元，</w:t>
      </w:r>
      <w:r>
        <w:rPr>
          <w:rFonts w:hint="eastAsia" w:ascii="仿宋_GB2312" w:hAnsi="仿宋_GB2312" w:eastAsia="仿宋_GB2312" w:cs="仿宋_GB2312"/>
          <w:color w:val="333333"/>
          <w:sz w:val="30"/>
          <w:szCs w:val="30"/>
          <w:shd w:val="clear" w:color="040000" w:fill="FFFFFF"/>
        </w:rPr>
        <w:t>主要反映单位缴交的养老保险支出。</w:t>
      </w:r>
    </w:p>
    <w:p>
      <w:pPr>
        <w:pStyle w:val="6"/>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right="0"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“2210201”</w:t>
      </w:r>
      <w:r>
        <w:rPr>
          <w:rFonts w:hint="eastAsia" w:ascii="仿宋_GB2312" w:hAnsi="仿宋_GB2312" w:eastAsia="仿宋_GB2312" w:cs="仿宋_GB2312"/>
          <w:color w:val="333333"/>
          <w:sz w:val="30"/>
          <w:szCs w:val="30"/>
          <w:shd w:val="clear" w:color="040000" w:fill="FFFFFF"/>
        </w:rPr>
        <w:t>住房保障支出-住房改革支出-住房公积金</w:t>
      </w:r>
      <w:r>
        <w:rPr>
          <w:rFonts w:hint="eastAsia" w:ascii="仿宋_GB2312" w:hAnsi="仿宋_GB2312" w:eastAsia="仿宋_GB2312" w:cs="仿宋_GB2312"/>
          <w:color w:val="333333"/>
          <w:sz w:val="30"/>
          <w:szCs w:val="30"/>
          <w:shd w:val="clear" w:color="040000" w:fill="FFFFFF"/>
          <w:lang w:val="en-US" w:eastAsia="zh-CN"/>
        </w:rPr>
        <w:t>51.07</w:t>
      </w:r>
      <w:r>
        <w:rPr>
          <w:rFonts w:hint="eastAsia" w:ascii="仿宋_GB2312" w:hAnsi="仿宋_GB2312" w:eastAsia="仿宋_GB2312" w:cs="仿宋_GB2312"/>
          <w:color w:val="333333"/>
          <w:sz w:val="30"/>
          <w:szCs w:val="30"/>
          <w:shd w:val="clear" w:color="040000" w:fill="FFFFFF"/>
        </w:rPr>
        <w:t>万元，主要用于单位住房公积金支出。</w:t>
      </w:r>
    </w:p>
    <w:p>
      <w:pPr>
        <w:keepNext w:val="0"/>
        <w:keepLines w:val="0"/>
        <w:pageBreakBefore w:val="0"/>
        <w:widowControl/>
        <w:numPr>
          <w:ilvl w:val="0"/>
          <w:numId w:val="3"/>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pStyle w:val="6"/>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333333"/>
          <w:sz w:val="30"/>
          <w:szCs w:val="30"/>
          <w:shd w:val="clear" w:color="040000" w:fill="FFFFFF"/>
          <w:lang w:val="en-US" w:eastAsia="zh-CN"/>
        </w:rPr>
      </w:pPr>
      <w:r>
        <w:rPr>
          <w:rFonts w:hint="eastAsia" w:ascii="仿宋_GB2312" w:hAnsi="仿宋_GB2312" w:eastAsia="仿宋_GB2312" w:cs="仿宋_GB2312"/>
          <w:kern w:val="0"/>
          <w:sz w:val="30"/>
          <w:szCs w:val="30"/>
        </w:rPr>
        <w:t xml:space="preserve"> </w:t>
      </w:r>
      <w:r>
        <w:rPr>
          <w:rFonts w:hint="eastAsia" w:ascii="仿宋_GB2312" w:hAnsi="仿宋_GB2312" w:eastAsia="仿宋_GB2312" w:cs="仿宋_GB2312"/>
          <w:color w:val="333333"/>
          <w:sz w:val="30"/>
          <w:szCs w:val="30"/>
          <w:shd w:val="clear" w:color="040000" w:fill="FFFFFF"/>
          <w:lang w:val="en-US" w:eastAsia="zh-CN"/>
        </w:rPr>
        <w:t>2050203初中教育465.91万元，其中:基本支出465.91万元，主要用于301工资福利支出463.11万元，302商品和服务支出2.80万元；项目支出0万元。</w:t>
      </w:r>
    </w:p>
    <w:p>
      <w:pPr>
        <w:pStyle w:val="6"/>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333333"/>
          <w:sz w:val="30"/>
          <w:szCs w:val="30"/>
          <w:shd w:val="clear" w:color="040000" w:fill="FFFFFF"/>
          <w:lang w:val="en-US" w:eastAsia="zh-CN"/>
        </w:rPr>
      </w:pPr>
      <w:r>
        <w:rPr>
          <w:rFonts w:hint="eastAsia" w:ascii="仿宋_GB2312" w:hAnsi="仿宋_GB2312" w:eastAsia="仿宋_GB2312" w:cs="仿宋_GB2312"/>
          <w:color w:val="333333"/>
          <w:sz w:val="30"/>
          <w:szCs w:val="30"/>
          <w:shd w:val="clear" w:color="040000" w:fill="FFFFFF"/>
          <w:lang w:val="en-US" w:eastAsia="zh-CN"/>
        </w:rPr>
        <w:t>2080502事业单位离退休0.18万元，其中:基本支出0.18万元，主要用于302商品和服务支出0.18万元；项目支出0万元。</w:t>
      </w:r>
    </w:p>
    <w:p>
      <w:pPr>
        <w:pStyle w:val="6"/>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333333"/>
          <w:sz w:val="30"/>
          <w:szCs w:val="30"/>
          <w:shd w:val="clear" w:color="040000" w:fill="FFFFFF"/>
          <w:lang w:val="en-US" w:eastAsia="zh-CN"/>
        </w:rPr>
      </w:pPr>
      <w:r>
        <w:rPr>
          <w:rFonts w:hint="eastAsia" w:ascii="仿宋_GB2312" w:hAnsi="仿宋_GB2312" w:eastAsia="仿宋_GB2312" w:cs="仿宋_GB2312"/>
          <w:color w:val="333333"/>
          <w:sz w:val="30"/>
          <w:szCs w:val="30"/>
          <w:shd w:val="clear" w:color="040000" w:fill="FFFFFF"/>
          <w:lang w:val="en-US" w:eastAsia="zh-CN"/>
        </w:rPr>
        <w:t>2080505机关事业单位基本养老保险缴费支出74.93万元，其中:基本支出74.93万元，主要用于301工资和福利支出74.93万元；项目支出0万元。</w:t>
      </w:r>
    </w:p>
    <w:p>
      <w:pPr>
        <w:pStyle w:val="6"/>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333333"/>
          <w:sz w:val="30"/>
          <w:szCs w:val="30"/>
          <w:shd w:val="clear" w:color="040000" w:fill="FFFFFF"/>
          <w:lang w:val="en-US" w:eastAsia="zh-CN"/>
        </w:rPr>
      </w:pPr>
      <w:r>
        <w:rPr>
          <w:rFonts w:hint="eastAsia" w:ascii="仿宋_GB2312" w:hAnsi="仿宋_GB2312" w:eastAsia="仿宋_GB2312" w:cs="仿宋_GB2312"/>
          <w:color w:val="333333"/>
          <w:sz w:val="30"/>
          <w:szCs w:val="30"/>
          <w:shd w:val="clear" w:color="040000" w:fill="FFFFFF"/>
          <w:lang w:val="en-US" w:eastAsia="zh-CN"/>
        </w:rPr>
        <w:t>2210201住房公积金51.07万元，其中:基本支出51.07万元，主要用于301工资和福利支出51.07万元；项目支出0万元。</w:t>
      </w:r>
    </w:p>
    <w:p>
      <w:pPr>
        <w:keepNext w:val="0"/>
        <w:keepLines w:val="0"/>
        <w:pageBreakBefore w:val="0"/>
        <w:widowControl/>
        <w:numPr>
          <w:ilvl w:val="0"/>
          <w:numId w:val="4"/>
        </w:numPr>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lang w:eastAsia="zh-CN"/>
        </w:rPr>
        <w:t>县</w:t>
      </w:r>
      <w:r>
        <w:rPr>
          <w:rFonts w:ascii="黑体" w:hAnsi="黑体" w:eastAsia="黑体"/>
          <w:kern w:val="0"/>
          <w:sz w:val="30"/>
          <w:szCs w:val="30"/>
        </w:rPr>
        <w:t>对下</w:t>
      </w:r>
      <w:r>
        <w:rPr>
          <w:rFonts w:hint="eastAsia" w:ascii="黑体" w:hAnsi="黑体" w:eastAsia="黑体"/>
          <w:kern w:val="0"/>
          <w:sz w:val="30"/>
          <w:szCs w:val="30"/>
        </w:rPr>
        <w:t>专</w:t>
      </w:r>
      <w:r>
        <w:rPr>
          <w:rFonts w:ascii="黑体" w:hAnsi="黑体" w:eastAsia="黑体"/>
          <w:kern w:val="0"/>
          <w:sz w:val="30"/>
          <w:szCs w:val="30"/>
        </w:rPr>
        <w:t>项转移支付情况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本单位2019年无</w:t>
      </w:r>
      <w:r>
        <w:rPr>
          <w:rFonts w:hint="eastAsia" w:ascii="仿宋_GB2312" w:hAnsi="仿宋_GB2312" w:eastAsia="仿宋_GB2312" w:cs="仿宋_GB2312"/>
          <w:kern w:val="0"/>
          <w:sz w:val="30"/>
          <w:szCs w:val="30"/>
          <w:lang w:eastAsia="zh-CN"/>
        </w:rPr>
        <w:t>县</w:t>
      </w:r>
      <w:r>
        <w:rPr>
          <w:rFonts w:hint="eastAsia" w:ascii="仿宋_GB2312" w:hAnsi="仿宋_GB2312" w:eastAsia="仿宋_GB2312" w:cs="仿宋_GB2312"/>
          <w:kern w:val="0"/>
          <w:sz w:val="30"/>
          <w:szCs w:val="30"/>
        </w:rPr>
        <w:t>对下</w:t>
      </w:r>
      <w:r>
        <w:rPr>
          <w:rFonts w:hint="eastAsia" w:ascii="仿宋_GB2312" w:hAnsi="仿宋_GB2312" w:eastAsia="仿宋_GB2312" w:cs="仿宋_GB2312"/>
          <w:kern w:val="0"/>
          <w:sz w:val="30"/>
          <w:szCs w:val="30"/>
          <w:lang w:eastAsia="zh-CN"/>
        </w:rPr>
        <w:t>专项</w:t>
      </w:r>
      <w:r>
        <w:rPr>
          <w:rFonts w:hint="eastAsia" w:ascii="仿宋_GB2312" w:hAnsi="仿宋_GB2312" w:eastAsia="仿宋_GB2312" w:cs="仿宋_GB2312"/>
          <w:kern w:val="0"/>
          <w:sz w:val="30"/>
          <w:szCs w:val="30"/>
        </w:rPr>
        <w:t>转移支付</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六、政府采购预算情况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eastAsia="仿宋_GB2312"/>
          <w:kern w:val="0"/>
          <w:sz w:val="30"/>
          <w:szCs w:val="30"/>
          <w:lang w:val="en-US" w:eastAsia="zh-CN"/>
        </w:rPr>
      </w:pPr>
      <w:r>
        <w:rPr>
          <w:rFonts w:hint="eastAsia" w:eastAsia="仿宋_GB2312"/>
          <w:kern w:val="0"/>
          <w:sz w:val="30"/>
          <w:szCs w:val="30"/>
          <w:lang w:val="en-US" w:eastAsia="zh-CN"/>
        </w:rPr>
        <w:t>无</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ascii="黑体" w:hAnsi="黑体" w:eastAsia="黑体"/>
          <w:kern w:val="0"/>
          <w:sz w:val="30"/>
          <w:szCs w:val="30"/>
        </w:rPr>
        <w:t>七、预算收支增减变化情况说明</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outlineLvl w:val="9"/>
        <w:rPr>
          <w:rFonts w:hint="eastAsia" w:ascii="楷体_GB2312" w:eastAsia="楷体_GB2312"/>
          <w:kern w:val="0"/>
          <w:sz w:val="30"/>
          <w:szCs w:val="30"/>
        </w:rPr>
      </w:pPr>
      <w:r>
        <w:rPr>
          <w:rFonts w:hint="eastAsia" w:ascii="楷体_GB2312" w:eastAsia="楷体_GB2312"/>
          <w:kern w:val="0"/>
          <w:sz w:val="30"/>
          <w:szCs w:val="30"/>
        </w:rPr>
        <w:t>部门“三公”经费增减变化情况及原因说明</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atLeast"/>
        <w:ind w:left="0" w:right="0" w:firstLine="600" w:firstLineChars="200"/>
        <w:jc w:val="both"/>
        <w:textAlignment w:val="auto"/>
        <w:outlineLvl w:val="9"/>
        <w:rPr>
          <w:rFonts w:hint="eastAsia" w:ascii="仿宋_GB2312" w:eastAsia="仿宋_GB2312"/>
          <w:kern w:val="0"/>
          <w:sz w:val="30"/>
          <w:szCs w:val="30"/>
        </w:rPr>
      </w:pPr>
      <w:r>
        <w:rPr>
          <w:rFonts w:hint="eastAsia" w:ascii="仿宋_GB2312" w:eastAsia="仿宋_GB2312"/>
          <w:kern w:val="0"/>
          <w:sz w:val="30"/>
          <w:szCs w:val="30"/>
        </w:rPr>
        <w:t>2019年盈江县</w:t>
      </w:r>
      <w:r>
        <w:rPr>
          <w:rFonts w:hint="eastAsia" w:ascii="仿宋_GB2312" w:eastAsia="仿宋_GB2312"/>
          <w:kern w:val="0"/>
          <w:sz w:val="30"/>
          <w:szCs w:val="30"/>
          <w:lang w:eastAsia="zh-CN"/>
        </w:rPr>
        <w:t>支那乡中学</w:t>
      </w:r>
      <w:r>
        <w:rPr>
          <w:rFonts w:hint="eastAsia" w:ascii="仿宋_GB2312" w:eastAsia="仿宋_GB2312"/>
          <w:kern w:val="0"/>
          <w:sz w:val="30"/>
          <w:szCs w:val="30"/>
        </w:rPr>
        <w:t>“三公”经费预算数为</w:t>
      </w:r>
      <w:r>
        <w:rPr>
          <w:rFonts w:hint="eastAsia" w:ascii="仿宋_GB2312" w:eastAsia="仿宋_GB2312"/>
          <w:kern w:val="0"/>
          <w:sz w:val="30"/>
          <w:szCs w:val="30"/>
          <w:lang w:val="en-US" w:eastAsia="zh-CN"/>
        </w:rPr>
        <w:t>0.69</w:t>
      </w:r>
      <w:r>
        <w:rPr>
          <w:rFonts w:hint="eastAsia" w:ascii="仿宋_GB2312" w:eastAsia="仿宋_GB2312"/>
          <w:kern w:val="0"/>
          <w:sz w:val="30"/>
          <w:szCs w:val="30"/>
        </w:rPr>
        <w:t>万元，其中：因公出国（境）费用0万元、公务接待费</w:t>
      </w:r>
      <w:r>
        <w:rPr>
          <w:rFonts w:hint="eastAsia" w:ascii="仿宋_GB2312" w:eastAsia="仿宋_GB2312"/>
          <w:kern w:val="0"/>
          <w:sz w:val="30"/>
          <w:szCs w:val="30"/>
          <w:lang w:val="en-US" w:eastAsia="zh-CN"/>
        </w:rPr>
        <w:t>0.69</w:t>
      </w:r>
      <w:r>
        <w:rPr>
          <w:rFonts w:hint="eastAsia" w:ascii="仿宋_GB2312" w:eastAsia="仿宋_GB2312"/>
          <w:kern w:val="0"/>
          <w:sz w:val="30"/>
          <w:szCs w:val="30"/>
        </w:rPr>
        <w:t>万元、公务用车购置及运行费</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万元,其中:公务用车购置费0万元、公务用车运行费</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万元。与上年</w:t>
      </w:r>
      <w:r>
        <w:rPr>
          <w:rFonts w:hint="eastAsia" w:ascii="仿宋_GB2312" w:eastAsia="仿宋_GB2312"/>
          <w:kern w:val="0"/>
          <w:sz w:val="30"/>
          <w:szCs w:val="30"/>
          <w:lang w:eastAsia="zh-CN"/>
        </w:rPr>
        <w:t>“</w:t>
      </w:r>
      <w:r>
        <w:rPr>
          <w:rFonts w:hint="eastAsia" w:ascii="仿宋_GB2312" w:eastAsia="仿宋_GB2312"/>
          <w:kern w:val="0"/>
          <w:sz w:val="30"/>
          <w:szCs w:val="30"/>
        </w:rPr>
        <w:t>三公”经费预算数</w:t>
      </w:r>
      <w:r>
        <w:rPr>
          <w:rFonts w:hint="eastAsia" w:ascii="仿宋_GB2312" w:eastAsia="仿宋_GB2312"/>
          <w:kern w:val="0"/>
          <w:sz w:val="30"/>
          <w:szCs w:val="30"/>
          <w:lang w:val="en-US" w:eastAsia="zh-CN"/>
        </w:rPr>
        <w:t>0.69</w:t>
      </w:r>
      <w:r>
        <w:rPr>
          <w:rFonts w:hint="eastAsia" w:ascii="仿宋_GB2312" w:eastAsia="仿宋_GB2312"/>
          <w:kern w:val="0"/>
          <w:sz w:val="30"/>
          <w:szCs w:val="30"/>
        </w:rPr>
        <w:t>万元相比持平。其中:因公出国（境）费用0万元与上年预算数0万元持平，公务接待费</w:t>
      </w:r>
      <w:r>
        <w:rPr>
          <w:rFonts w:hint="eastAsia" w:ascii="仿宋_GB2312" w:eastAsia="仿宋_GB2312"/>
          <w:kern w:val="0"/>
          <w:sz w:val="30"/>
          <w:szCs w:val="30"/>
          <w:lang w:val="en-US" w:eastAsia="zh-CN"/>
        </w:rPr>
        <w:t>0.69</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0.69</w:t>
      </w:r>
      <w:r>
        <w:rPr>
          <w:rFonts w:hint="eastAsia" w:ascii="仿宋_GB2312" w:eastAsia="仿宋_GB2312"/>
          <w:kern w:val="0"/>
          <w:sz w:val="30"/>
          <w:szCs w:val="30"/>
        </w:rPr>
        <w:t>万元持平，公务用车购置及运行费</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w:t>
      </w:r>
      <w:r>
        <w:rPr>
          <w:rFonts w:hint="eastAsia" w:ascii="仿宋_GB2312" w:eastAsia="仿宋_GB2312"/>
          <w:kern w:val="0"/>
          <w:sz w:val="30"/>
          <w:szCs w:val="30"/>
          <w:lang w:eastAsia="zh-CN"/>
        </w:rPr>
        <w:t>，</w:t>
      </w:r>
      <w:r>
        <w:rPr>
          <w:rFonts w:hint="eastAsia" w:ascii="仿宋_GB2312" w:eastAsia="仿宋_GB2312"/>
          <w:kern w:val="0"/>
          <w:sz w:val="30"/>
          <w:szCs w:val="30"/>
        </w:rPr>
        <w:t>其中:公务用车购置费0万元、公务用车运行费</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万元持平。</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FF0000"/>
          <w:sz w:val="30"/>
          <w:szCs w:val="30"/>
          <w:lang w:eastAsia="zh-CN"/>
        </w:rPr>
      </w:pPr>
      <w:r>
        <w:rPr>
          <w:rFonts w:hint="eastAsia" w:ascii="楷体" w:hAnsi="楷体" w:eastAsia="楷体" w:cs="楷体"/>
          <w:kern w:val="0"/>
          <w:sz w:val="30"/>
          <w:szCs w:val="30"/>
        </w:rPr>
        <w:t>（二）</w:t>
      </w:r>
      <w:r>
        <w:rPr>
          <w:rFonts w:hint="eastAsia" w:ascii="仿宋_GB2312" w:hAnsi="仿宋_GB2312" w:eastAsia="仿宋_GB2312" w:cs="仿宋_GB2312"/>
          <w:sz w:val="30"/>
          <w:szCs w:val="30"/>
        </w:rPr>
        <w:t>基本支出情况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FF0000"/>
          <w:sz w:val="30"/>
          <w:szCs w:val="30"/>
          <w:lang w:eastAsia="zh-CN"/>
        </w:rPr>
      </w:pPr>
      <w:r>
        <w:rPr>
          <w:rFonts w:hint="eastAsia" w:ascii="仿宋_GB2312" w:hAnsi="仿宋_GB2312" w:eastAsia="仿宋_GB2312" w:cs="仿宋_GB2312"/>
          <w:kern w:val="0"/>
          <w:sz w:val="30"/>
          <w:szCs w:val="30"/>
          <w:lang w:val="en-US" w:eastAsia="zh-CN"/>
        </w:rPr>
        <w:t>2019年部门预算收入592.09</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，比上年预算数</w:t>
      </w:r>
      <w:r>
        <w:rPr>
          <w:rFonts w:hint="eastAsia" w:ascii="仿宋_GB2312" w:hAnsi="仿宋_GB2312" w:eastAsia="仿宋_GB2312" w:cs="仿宋_GB2312"/>
          <w:kern w:val="0"/>
          <w:sz w:val="30"/>
          <w:szCs w:val="30"/>
          <w:lang w:val="en-US" w:eastAsia="zh-CN"/>
        </w:rPr>
        <w:t>491.25万元</w:t>
      </w:r>
      <w:r>
        <w:rPr>
          <w:rFonts w:hint="eastAsia" w:ascii="仿宋_GB2312" w:hAnsi="仿宋_GB2312" w:eastAsia="仿宋_GB2312" w:cs="仿宋_GB2312"/>
          <w:kern w:val="0"/>
          <w:sz w:val="30"/>
          <w:szCs w:val="30"/>
          <w:lang w:eastAsia="zh-CN"/>
        </w:rPr>
        <w:t>增加</w:t>
      </w:r>
      <w:r>
        <w:rPr>
          <w:rFonts w:hint="eastAsia" w:ascii="仿宋_GB2312" w:hAnsi="仿宋_GB2312" w:eastAsia="仿宋_GB2312" w:cs="仿宋_GB2312"/>
          <w:kern w:val="0"/>
          <w:sz w:val="30"/>
          <w:szCs w:val="30"/>
          <w:lang w:val="en-US" w:eastAsia="zh-CN"/>
        </w:rPr>
        <w:t>100.84万元，增加20.53%。增加原因：调增人员工资。</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楷体" w:hAnsi="楷体" w:eastAsia="楷体" w:cs="楷体"/>
          <w:kern w:val="0"/>
          <w:sz w:val="30"/>
          <w:szCs w:val="30"/>
        </w:rPr>
        <w:t>（三）</w:t>
      </w:r>
      <w:r>
        <w:rPr>
          <w:rFonts w:hint="eastAsia" w:ascii="仿宋_GB2312" w:hAnsi="仿宋_GB2312" w:eastAsia="仿宋_GB2312" w:cs="仿宋_GB2312"/>
          <w:sz w:val="30"/>
          <w:szCs w:val="30"/>
        </w:rPr>
        <w:t>项目支出情况</w:t>
      </w:r>
    </w:p>
    <w:p>
      <w:pPr>
        <w:pStyle w:val="14"/>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年盈江县</w:t>
      </w:r>
      <w:r>
        <w:rPr>
          <w:rFonts w:hint="eastAsia" w:ascii="仿宋_GB2312" w:hAnsi="仿宋_GB2312" w:eastAsia="仿宋_GB2312" w:cs="仿宋_GB2312"/>
          <w:sz w:val="30"/>
          <w:szCs w:val="30"/>
          <w:lang w:eastAsia="zh-CN"/>
        </w:rPr>
        <w:t>支那乡中学无</w:t>
      </w:r>
      <w:r>
        <w:rPr>
          <w:rFonts w:hint="eastAsia" w:ascii="仿宋_GB2312" w:hAnsi="仿宋_GB2312" w:eastAsia="仿宋_GB2312" w:cs="仿宋_GB2312"/>
          <w:sz w:val="30"/>
          <w:szCs w:val="30"/>
        </w:rPr>
        <w:t>项目支出</w:t>
      </w:r>
      <w:r>
        <w:rPr>
          <w:rFonts w:hint="eastAsia" w:ascii="仿宋_GB2312" w:hAnsi="仿宋_GB2312" w:eastAsia="仿宋_GB2312" w:cs="仿宋_GB2312"/>
          <w:sz w:val="30"/>
          <w:szCs w:val="30"/>
          <w:lang w:eastAsia="zh-CN"/>
        </w:rPr>
        <w:t>预算</w:t>
      </w:r>
      <w:r>
        <w:rPr>
          <w:rFonts w:hint="eastAsia" w:ascii="仿宋_GB2312" w:hAnsi="仿宋_GB2312" w:eastAsia="仿宋_GB2312" w:cs="仿宋_GB2312"/>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（一）专业名词解释</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1.财政拨款（补助）收入指财政部门当年拨付的资金。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2.事业收入指事业单位开展业务活动取得的收入。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3.事业单位经营收入指事业单位在业务活动之外开展非独立核算经营活动取得的收入。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4.其他收入指预算单位在“财政拨款收入”、“事业收入”、“经营收入”之外取得的收入。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5.基本支出指为保障机构正常运转、完成日常工作任务而发生的人员支出和公用支出。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6.项目支出指在基本支出之外为完成相关行政任务和事业发展目标所发生的支出。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7.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8.“三公”经费包括因公出国（境）费、公务用车购置及运行费、公务接待费。其中：因公出国（境）费，指单位工作人员公务出国（境）的住宿费、</w:t>
      </w:r>
      <w:r>
        <w:rPr>
          <w:rFonts w:hint="eastAsia" w:ascii="仿宋_GB2312" w:hAnsi="仿宋_GB2312" w:eastAsia="仿宋_GB2312" w:cs="仿宋_GB2312"/>
          <w:color w:val="333333"/>
          <w:kern w:val="0"/>
          <w:sz w:val="30"/>
          <w:szCs w:val="30"/>
          <w:lang w:eastAsia="zh-CN" w:bidi="ar"/>
        </w:rPr>
        <w:t>差</w:t>
      </w:r>
      <w:r>
        <w:rPr>
          <w:rFonts w:hint="eastAsia" w:ascii="仿宋_GB2312" w:hAnsi="仿宋_GB2312" w:eastAsia="仿宋_GB2312" w:cs="仿宋_GB2312"/>
          <w:color w:val="333333"/>
          <w:kern w:val="0"/>
          <w:sz w:val="30"/>
          <w:szCs w:val="30"/>
          <w:lang w:bidi="ar"/>
        </w:rPr>
        <w:t xml:space="preserve">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9.一般公共预算是对以税收为主体的财政收入，安排用于保障和改善民生、推动经济社会发展、维护国家安全、维护国家机构正常运转等方面的收支预算。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10.非税收入是各级政府及其所属部门和单位依法利用行政权力、政府信誉、国家资源、国有资产或提供特定公共服务征收、收取、提取、募集的除税收和政府债务收入以外的财政收入。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11.工资福利支出反映单位开支的在职职工和编制外长期聘用人员的各类劳动报酬，以及为上述人员缴纳的各项社会保险费等。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12.商品和服务支出反映单位购买商品和服务的支出（不包括用于购置固定资产的支出、战略性和应急储备支出）。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13.对个人和家庭的补助反映政府用于对个人和家庭的补助支出。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lang w:bidi="ar"/>
        </w:rPr>
        <w:t>14.政府采购是指各级国家机关、事业单位和团体组织，使用财政性资金采购依法制定的集中采购目录以内的或者采购限额标准以上的货物、工程和服务的行为。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lang w:eastAsia="zh-CN"/>
        </w:rPr>
        <w:t>机关</w:t>
      </w:r>
      <w:r>
        <w:rPr>
          <w:rFonts w:ascii="楷体_GB2312" w:eastAsia="楷体_GB2312"/>
          <w:kern w:val="0"/>
          <w:sz w:val="30"/>
          <w:szCs w:val="30"/>
        </w:rPr>
        <w:t>运行经费安排</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eastAsia="仿宋_GB2312"/>
          <w:kern w:val="0"/>
          <w:sz w:val="30"/>
          <w:szCs w:val="30"/>
          <w:lang w:val="en-US" w:eastAsia="zh-CN"/>
        </w:rPr>
      </w:pPr>
      <w:r>
        <w:rPr>
          <w:rFonts w:hint="eastAsia" w:ascii="仿宋_GB2312" w:eastAsia="仿宋_GB2312"/>
          <w:kern w:val="0"/>
          <w:sz w:val="30"/>
          <w:szCs w:val="30"/>
          <w:lang w:val="en-US" w:eastAsia="zh-CN"/>
        </w:rPr>
        <w:t>无</w:t>
      </w:r>
    </w:p>
    <w:p>
      <w:pPr>
        <w:keepNext w:val="0"/>
        <w:keepLines w:val="0"/>
        <w:pageBreakBefore w:val="0"/>
        <w:widowControl/>
        <w:numPr>
          <w:ilvl w:val="0"/>
          <w:numId w:val="6"/>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国有资产占用情况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eastAsia="仿宋_GB2312"/>
          <w:kern w:val="0"/>
          <w:sz w:val="30"/>
          <w:szCs w:val="30"/>
        </w:rPr>
      </w:pPr>
      <w:r>
        <w:rPr>
          <w:rFonts w:hint="eastAsia" w:ascii="楷体_GB2312" w:eastAsia="楷体_GB2312"/>
          <w:kern w:val="0"/>
          <w:sz w:val="30"/>
          <w:szCs w:val="30"/>
        </w:rPr>
        <w:t xml:space="preserve"> </w:t>
      </w:r>
      <w:r>
        <w:rPr>
          <w:rFonts w:hint="eastAsia" w:ascii="仿宋_GB2312" w:eastAsia="仿宋_GB2312"/>
          <w:kern w:val="0"/>
          <w:sz w:val="30"/>
          <w:szCs w:val="30"/>
        </w:rPr>
        <w:t>鉴于截至2019年12月31日的国有资产占有使用情况需在完成2019年决算编制后才能统计汇总相关数据，因此，将在公开</w:t>
      </w:r>
      <w:r>
        <w:rPr>
          <w:rFonts w:hint="eastAsia" w:ascii="仿宋_GB2312" w:eastAsia="仿宋_GB2312"/>
          <w:kern w:val="0"/>
          <w:sz w:val="30"/>
          <w:szCs w:val="30"/>
          <w:lang w:val="en-US" w:eastAsia="zh-CN"/>
        </w:rPr>
        <w:t>2019</w:t>
      </w:r>
      <w:r>
        <w:rPr>
          <w:rFonts w:hint="eastAsia" w:ascii="仿宋_GB2312" w:eastAsia="仿宋_GB2312"/>
          <w:kern w:val="0"/>
          <w:sz w:val="30"/>
          <w:szCs w:val="30"/>
        </w:rPr>
        <w:t>年度部门决算时一并公开部门截至2019年12月31日的国有资产占有使用情况。</w:t>
      </w:r>
    </w:p>
    <w:p>
      <w:pPr>
        <w:keepNext w:val="0"/>
        <w:keepLines w:val="0"/>
        <w:pageBreakBefore w:val="0"/>
        <w:widowControl/>
        <w:numPr>
          <w:ilvl w:val="0"/>
          <w:numId w:val="6"/>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本部门预算绩效情况说明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年部门预算总支出 </w:t>
      </w:r>
      <w:r>
        <w:rPr>
          <w:rFonts w:hint="eastAsia" w:eastAsia="仿宋_GB2312"/>
          <w:kern w:val="0"/>
          <w:sz w:val="30"/>
          <w:szCs w:val="30"/>
          <w:lang w:val="en-US" w:eastAsia="zh-CN"/>
        </w:rPr>
        <w:t>592.09</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592.09</w:t>
      </w:r>
      <w:r>
        <w:rPr>
          <w:rFonts w:eastAsia="仿宋_GB2312"/>
          <w:kern w:val="0"/>
          <w:sz w:val="30"/>
          <w:szCs w:val="30"/>
        </w:rPr>
        <w:t>万元，其中，基本支出</w:t>
      </w:r>
      <w:r>
        <w:rPr>
          <w:rFonts w:hint="eastAsia" w:eastAsia="仿宋_GB2312"/>
          <w:kern w:val="0"/>
          <w:sz w:val="30"/>
          <w:szCs w:val="30"/>
          <w:lang w:val="en-US" w:eastAsia="zh-CN"/>
        </w:rPr>
        <w:t>592.09</w:t>
      </w:r>
      <w:r>
        <w:rPr>
          <w:rFonts w:eastAsia="仿宋_GB2312"/>
          <w:kern w:val="0"/>
          <w:sz w:val="30"/>
          <w:szCs w:val="30"/>
        </w:rPr>
        <w:t>万元，</w:t>
      </w:r>
      <w:r>
        <w:rPr>
          <w:rFonts w:hint="eastAsia" w:ascii="仿宋_GB2312" w:eastAsia="仿宋_GB2312"/>
          <w:kern w:val="0"/>
          <w:sz w:val="30"/>
          <w:szCs w:val="30"/>
        </w:rPr>
        <w:t>主要用于发放职工工资，</w:t>
      </w:r>
      <w:r>
        <w:rPr>
          <w:rFonts w:hint="eastAsia" w:ascii="仿宋_GB2312" w:hAnsi="仿宋_GB2312" w:eastAsia="仿宋_GB2312" w:cs="仿宋_GB2312"/>
          <w:kern w:val="0"/>
          <w:sz w:val="30"/>
          <w:szCs w:val="30"/>
        </w:rPr>
        <w:t>归口管理的</w:t>
      </w:r>
      <w:r>
        <w:rPr>
          <w:rFonts w:hint="eastAsia" w:ascii="仿宋_GB2312" w:hAnsi="仿宋_GB2312" w:eastAsia="仿宋_GB2312" w:cs="仿宋_GB2312"/>
          <w:kern w:val="0"/>
          <w:sz w:val="30"/>
          <w:szCs w:val="30"/>
          <w:lang w:eastAsia="zh-CN"/>
        </w:rPr>
        <w:t>事业</w:t>
      </w:r>
      <w:r>
        <w:rPr>
          <w:rFonts w:hint="eastAsia" w:ascii="仿宋_GB2312" w:hAnsi="仿宋_GB2312" w:eastAsia="仿宋_GB2312" w:cs="仿宋_GB2312"/>
          <w:kern w:val="0"/>
          <w:sz w:val="30"/>
          <w:szCs w:val="30"/>
        </w:rPr>
        <w:t>单位离退休、</w:t>
      </w:r>
      <w:r>
        <w:rPr>
          <w:rFonts w:hint="eastAsia" w:ascii="仿宋_GB2312" w:eastAsia="仿宋_GB2312"/>
          <w:kern w:val="0"/>
          <w:sz w:val="30"/>
          <w:szCs w:val="30"/>
        </w:rPr>
        <w:t>基本养老保险缴费，住房公积金，支付公用经费确保机构正常运转</w:t>
      </w:r>
      <w:r>
        <w:rPr>
          <w:rFonts w:hint="eastAsia" w:ascii="仿宋_GB2312" w:eastAsia="仿宋_GB2312"/>
          <w:kern w:val="0"/>
          <w:sz w:val="30"/>
          <w:szCs w:val="30"/>
          <w:lang w:eastAsia="zh-CN"/>
        </w:rPr>
        <w:t>；</w:t>
      </w:r>
      <w:r>
        <w:rPr>
          <w:rFonts w:eastAsia="仿宋_GB2312"/>
          <w:kern w:val="0"/>
          <w:sz w:val="30"/>
          <w:szCs w:val="30"/>
        </w:rPr>
        <w:t>项目支出</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eastAsia="仿宋_GB2312"/>
          <w:kern w:val="0"/>
          <w:sz w:val="30"/>
          <w:szCs w:val="30"/>
        </w:rPr>
      </w:pP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2010601030101010101"/>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3DA9B9"/>
    <w:multiLevelType w:val="singleLevel"/>
    <w:tmpl w:val="5C3DA9B9"/>
    <w:lvl w:ilvl="0" w:tentative="0">
      <w:start w:val="3"/>
      <w:numFmt w:val="chineseCounting"/>
      <w:suff w:val="nothing"/>
      <w:lvlText w:val="（%1）"/>
      <w:lvlJc w:val="left"/>
    </w:lvl>
  </w:abstractNum>
  <w:abstractNum w:abstractNumId="1">
    <w:nsid w:val="5C47BA42"/>
    <w:multiLevelType w:val="singleLevel"/>
    <w:tmpl w:val="5C47BA42"/>
    <w:lvl w:ilvl="0" w:tentative="0">
      <w:start w:val="2"/>
      <w:numFmt w:val="chineseCounting"/>
      <w:suff w:val="nothing"/>
      <w:lvlText w:val="（%1）"/>
      <w:lvlJc w:val="left"/>
    </w:lvl>
  </w:abstractNum>
  <w:abstractNum w:abstractNumId="2">
    <w:nsid w:val="5C47DBBF"/>
    <w:multiLevelType w:val="singleLevel"/>
    <w:tmpl w:val="5C47DBBF"/>
    <w:lvl w:ilvl="0" w:tentative="0">
      <w:start w:val="4"/>
      <w:numFmt w:val="chineseCounting"/>
      <w:suff w:val="nothing"/>
      <w:lvlText w:val="%1、"/>
      <w:lvlJc w:val="left"/>
    </w:lvl>
  </w:abstractNum>
  <w:abstractNum w:abstractNumId="3">
    <w:nsid w:val="5C47DC0A"/>
    <w:multiLevelType w:val="singleLevel"/>
    <w:tmpl w:val="5C47DC0A"/>
    <w:lvl w:ilvl="0" w:tentative="0">
      <w:start w:val="5"/>
      <w:numFmt w:val="chineseCounting"/>
      <w:suff w:val="nothing"/>
      <w:lvlText w:val="%1、"/>
      <w:lvlJc w:val="left"/>
    </w:lvl>
  </w:abstractNum>
  <w:abstractNum w:abstractNumId="4">
    <w:nsid w:val="5CB6EB83"/>
    <w:multiLevelType w:val="singleLevel"/>
    <w:tmpl w:val="5CB6EB83"/>
    <w:lvl w:ilvl="0" w:tentative="0">
      <w:start w:val="1"/>
      <w:numFmt w:val="chineseCounting"/>
      <w:suff w:val="nothing"/>
      <w:lvlText w:val="（%1）"/>
      <w:lvlJc w:val="left"/>
    </w:lvl>
  </w:abstractNum>
  <w:abstractNum w:abstractNumId="5">
    <w:nsid w:val="5CC00BD1"/>
    <w:multiLevelType w:val="singleLevel"/>
    <w:tmpl w:val="5CC00BD1"/>
    <w:lvl w:ilvl="0" w:tentative="0">
      <w:start w:val="3"/>
      <w:numFmt w:val="chineseCounting"/>
      <w:suff w:val="nothing"/>
      <w:lvlText w:val="（%1）"/>
      <w:lvlJc w:val="left"/>
    </w:lvl>
  </w:abstractNum>
  <w:num w:numId="1">
    <w:abstractNumId w:val="5"/>
  </w:num>
  <w:num w:numId="2">
    <w:abstractNumId w:val="2"/>
  </w:num>
  <w:num w:numId="3">
    <w:abstractNumId w:val="1"/>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83"/>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3CD50E7"/>
    <w:rsid w:val="03F0214E"/>
    <w:rsid w:val="04CF1775"/>
    <w:rsid w:val="05616F12"/>
    <w:rsid w:val="06325B44"/>
    <w:rsid w:val="06AD5770"/>
    <w:rsid w:val="06E43398"/>
    <w:rsid w:val="084A3CB5"/>
    <w:rsid w:val="08720DD2"/>
    <w:rsid w:val="08AD7F84"/>
    <w:rsid w:val="08DE4C3B"/>
    <w:rsid w:val="0AB77A2F"/>
    <w:rsid w:val="0D3C5318"/>
    <w:rsid w:val="0DE84274"/>
    <w:rsid w:val="0E813326"/>
    <w:rsid w:val="0F9E69D6"/>
    <w:rsid w:val="0FE10BC9"/>
    <w:rsid w:val="13F52A67"/>
    <w:rsid w:val="14594CAF"/>
    <w:rsid w:val="152D15DF"/>
    <w:rsid w:val="16115D37"/>
    <w:rsid w:val="163608B0"/>
    <w:rsid w:val="16C85A74"/>
    <w:rsid w:val="19A77E4D"/>
    <w:rsid w:val="1A0B3DDD"/>
    <w:rsid w:val="1A685806"/>
    <w:rsid w:val="1C7E3F3A"/>
    <w:rsid w:val="1F8F64D4"/>
    <w:rsid w:val="207165AF"/>
    <w:rsid w:val="209D2413"/>
    <w:rsid w:val="23293A4E"/>
    <w:rsid w:val="23C6578F"/>
    <w:rsid w:val="242E2599"/>
    <w:rsid w:val="24F17871"/>
    <w:rsid w:val="25111A52"/>
    <w:rsid w:val="252035D8"/>
    <w:rsid w:val="26337376"/>
    <w:rsid w:val="26641C66"/>
    <w:rsid w:val="26BF2FF3"/>
    <w:rsid w:val="27E3128E"/>
    <w:rsid w:val="284C24ED"/>
    <w:rsid w:val="28D26D48"/>
    <w:rsid w:val="28ED429B"/>
    <w:rsid w:val="29895E37"/>
    <w:rsid w:val="29F4749C"/>
    <w:rsid w:val="2A8A571A"/>
    <w:rsid w:val="2B696D85"/>
    <w:rsid w:val="2C54569B"/>
    <w:rsid w:val="2D5E2E44"/>
    <w:rsid w:val="2D7B7E3A"/>
    <w:rsid w:val="2DA75286"/>
    <w:rsid w:val="2E384FDD"/>
    <w:rsid w:val="2F222EB0"/>
    <w:rsid w:val="2FD25EA1"/>
    <w:rsid w:val="32841515"/>
    <w:rsid w:val="33233469"/>
    <w:rsid w:val="33E37726"/>
    <w:rsid w:val="369B6FF2"/>
    <w:rsid w:val="384741CD"/>
    <w:rsid w:val="39466C4F"/>
    <w:rsid w:val="39BF048F"/>
    <w:rsid w:val="3A075486"/>
    <w:rsid w:val="3A8C77EA"/>
    <w:rsid w:val="3B3D0D86"/>
    <w:rsid w:val="3CC32D4E"/>
    <w:rsid w:val="3DD73D51"/>
    <w:rsid w:val="40894D80"/>
    <w:rsid w:val="416E2FBB"/>
    <w:rsid w:val="41EF4030"/>
    <w:rsid w:val="43131F13"/>
    <w:rsid w:val="43C35C3E"/>
    <w:rsid w:val="4493595E"/>
    <w:rsid w:val="45166B3A"/>
    <w:rsid w:val="45D223E6"/>
    <w:rsid w:val="46D61E29"/>
    <w:rsid w:val="48136B0B"/>
    <w:rsid w:val="4A940EA9"/>
    <w:rsid w:val="4BD131C5"/>
    <w:rsid w:val="4C0C5C17"/>
    <w:rsid w:val="4FC334A8"/>
    <w:rsid w:val="4FD855BC"/>
    <w:rsid w:val="51337AB3"/>
    <w:rsid w:val="515A348C"/>
    <w:rsid w:val="55933F37"/>
    <w:rsid w:val="564C72BA"/>
    <w:rsid w:val="573B1277"/>
    <w:rsid w:val="5825432A"/>
    <w:rsid w:val="58310B0B"/>
    <w:rsid w:val="5A0E0E81"/>
    <w:rsid w:val="5A792BCF"/>
    <w:rsid w:val="5AB4032D"/>
    <w:rsid w:val="5B1D08A0"/>
    <w:rsid w:val="5BAE4432"/>
    <w:rsid w:val="5D16509F"/>
    <w:rsid w:val="5DC96A80"/>
    <w:rsid w:val="5E7D384C"/>
    <w:rsid w:val="6077766D"/>
    <w:rsid w:val="63C978BE"/>
    <w:rsid w:val="64247F27"/>
    <w:rsid w:val="64ED47E4"/>
    <w:rsid w:val="65756AF5"/>
    <w:rsid w:val="67D95CA6"/>
    <w:rsid w:val="67DD5DBE"/>
    <w:rsid w:val="68C77134"/>
    <w:rsid w:val="6A8C3BB7"/>
    <w:rsid w:val="6B7C64C5"/>
    <w:rsid w:val="6CAC668F"/>
    <w:rsid w:val="6D527F25"/>
    <w:rsid w:val="6DA47EEE"/>
    <w:rsid w:val="6FCD3E36"/>
    <w:rsid w:val="717D23FD"/>
    <w:rsid w:val="724A4A01"/>
    <w:rsid w:val="72F37DB5"/>
    <w:rsid w:val="735C0CD3"/>
    <w:rsid w:val="75F37398"/>
    <w:rsid w:val="75FA56E9"/>
    <w:rsid w:val="776B70A8"/>
    <w:rsid w:val="782636F4"/>
    <w:rsid w:val="7941023E"/>
    <w:rsid w:val="79910928"/>
    <w:rsid w:val="7B1E5394"/>
    <w:rsid w:val="7EBB41C0"/>
    <w:rsid w:val="7F6B63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rPr>
      <w:sz w:val="24"/>
    </w:rPr>
  </w:style>
  <w:style w:type="paragraph" w:styleId="7">
    <w:name w:val="annotation subject"/>
    <w:basedOn w:val="2"/>
    <w:next w:val="2"/>
    <w:semiHidden/>
    <w:qFormat/>
    <w:uiPriority w:val="0"/>
    <w:rPr>
      <w:b/>
      <w:bCs/>
    </w:rPr>
  </w:style>
  <w:style w:type="character" w:styleId="10">
    <w:name w:val="Hyperlink"/>
    <w:basedOn w:val="9"/>
    <w:unhideWhenUsed/>
    <w:qFormat/>
    <w:uiPriority w:val="0"/>
    <w:rPr>
      <w:color w:val="0000FF"/>
      <w:u w:val="single"/>
    </w:rPr>
  </w:style>
  <w:style w:type="character" w:styleId="11">
    <w:name w:val="annotation reference"/>
    <w:semiHidden/>
    <w:qFormat/>
    <w:uiPriority w:val="0"/>
    <w:rPr>
      <w:sz w:val="21"/>
      <w:szCs w:val="21"/>
    </w:rPr>
  </w:style>
  <w:style w:type="paragraph" w:customStyle="1" w:styleId="12">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3">
    <w:name w:val="Normal (Web)"/>
    <w:basedOn w:val="1"/>
    <w:qFormat/>
    <w:uiPriority w:val="0"/>
    <w:pPr>
      <w:jc w:val="left"/>
    </w:pPr>
    <w:rPr>
      <w:kern w:val="0"/>
      <w:sz w:val="24"/>
    </w:rPr>
  </w:style>
  <w:style w:type="paragraph" w:customStyle="1" w:styleId="14">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TotalTime>10</TotalTime>
  <ScaleCrop>false</ScaleCrop>
  <LinksUpToDate>false</LinksUpToDate>
  <CharactersWithSpaces>1255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杨世妍</cp:lastModifiedBy>
  <cp:lastPrinted>2018-01-31T03:32:00Z</cp:lastPrinted>
  <dcterms:modified xsi:type="dcterms:W3CDTF">2024-07-15T02:10:42Z</dcterms:modified>
  <dc:title>年部门预算编制说明</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930795A5E5A94272BCF6F936FDAB539E</vt:lpwstr>
  </property>
</Properties>
</file>