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监督索引号53312300336000000</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盈江县教育局</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年部门预算汇总公开</w:t>
      </w:r>
      <w:r>
        <w:rPr>
          <w:rFonts w:hint="eastAsia" w:ascii="宋体" w:hAnsi="宋体" w:eastAsia="宋体" w:cs="宋体"/>
          <w:i w:val="0"/>
          <w:caps w:val="0"/>
          <w:color w:val="333333"/>
          <w:spacing w:val="0"/>
          <w:sz w:val="21"/>
          <w:szCs w:val="21"/>
        </w:rPr>
        <w:t>目录</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 </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第一部分</w:t>
      </w:r>
      <w:r>
        <w:rPr>
          <w:rFonts w:hint="eastAsia" w:ascii="宋体" w:hAnsi="宋体" w:eastAsia="宋体" w:cs="宋体"/>
          <w:i w:val="0"/>
          <w:caps w:val="0"/>
          <w:color w:val="333333"/>
          <w:spacing w:val="0"/>
          <w:sz w:val="21"/>
          <w:szCs w:val="21"/>
        </w:rPr>
        <w:t> </w:t>
      </w:r>
      <w:r>
        <w:rPr>
          <w:rFonts w:hint="eastAsia" w:ascii="宋体" w:hAnsi="宋体" w:eastAsia="宋体" w:cs="宋体"/>
          <w:i w:val="0"/>
          <w:caps w:val="0"/>
          <w:color w:val="333333"/>
          <w:spacing w:val="0"/>
          <w:sz w:val="24"/>
          <w:szCs w:val="24"/>
        </w:rPr>
        <w:t>盈江县教育局</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年部门预算汇总编制说明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第二部分</w:t>
      </w:r>
      <w:r>
        <w:rPr>
          <w:rFonts w:hint="eastAsia" w:ascii="宋体" w:hAnsi="宋体" w:eastAsia="宋体" w:cs="宋体"/>
          <w:i w:val="0"/>
          <w:caps w:val="0"/>
          <w:color w:val="333333"/>
          <w:spacing w:val="0"/>
          <w:sz w:val="21"/>
          <w:szCs w:val="21"/>
        </w:rPr>
        <w:t> </w:t>
      </w:r>
      <w:r>
        <w:rPr>
          <w:rFonts w:hint="eastAsia" w:ascii="宋体" w:hAnsi="宋体" w:eastAsia="宋体" w:cs="宋体"/>
          <w:i w:val="0"/>
          <w:caps w:val="0"/>
          <w:color w:val="333333"/>
          <w:spacing w:val="0"/>
          <w:sz w:val="24"/>
          <w:szCs w:val="24"/>
        </w:rPr>
        <w:t>盈江县教育局</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年部门汇总预算表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一、部门财务收支总体情况表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六、部门基本支出情况表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八、财政拨款支出明细表（按经济科目分类）</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九、部门一般公共预算</w:t>
      </w:r>
      <w:r>
        <w:rPr>
          <w:rFonts w:hint="eastAsia" w:ascii="宋体" w:hAnsi="宋体" w:eastAsia="宋体" w:cs="宋体"/>
          <w:i w:val="0"/>
          <w:caps w:val="0"/>
          <w:color w:val="333333"/>
          <w:spacing w:val="0"/>
          <w:sz w:val="21"/>
          <w:szCs w:val="21"/>
        </w:rPr>
        <w:t>“三公”经费支出情况表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十、县本级项目支出绩效目标表（本次下达）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十一、县本级项目支出绩效目标表（另文下达）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十二、县对下转移支付绩效目标表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十三、部门政府采购情况表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 </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盈江县教育局</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年部门预算汇总编制说明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 </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一、基本职能及主要工作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（一）部门主要职责</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根据盈发（</w:t>
      </w:r>
      <w:r>
        <w:rPr>
          <w:rFonts w:hint="eastAsia" w:ascii="宋体" w:hAnsi="宋体" w:eastAsia="宋体" w:cs="宋体"/>
          <w:i w:val="0"/>
          <w:caps w:val="0"/>
          <w:color w:val="333333"/>
          <w:spacing w:val="0"/>
          <w:sz w:val="21"/>
          <w:szCs w:val="21"/>
        </w:rPr>
        <w:t>2012</w:t>
      </w:r>
      <w:r>
        <w:rPr>
          <w:rFonts w:hint="eastAsia" w:ascii="宋体" w:hAnsi="宋体" w:eastAsia="宋体" w:cs="宋体"/>
          <w:i w:val="0"/>
          <w:caps w:val="0"/>
          <w:color w:val="333333"/>
          <w:spacing w:val="0"/>
          <w:sz w:val="24"/>
          <w:szCs w:val="24"/>
        </w:rPr>
        <w:t>）</w:t>
      </w:r>
      <w:r>
        <w:rPr>
          <w:rFonts w:ascii="Calibri" w:hAnsi="Calibri" w:eastAsia="宋体" w:cs="Calibri"/>
          <w:i w:val="0"/>
          <w:caps w:val="0"/>
          <w:color w:val="333333"/>
          <w:spacing w:val="0"/>
          <w:sz w:val="24"/>
          <w:szCs w:val="24"/>
        </w:rPr>
        <w:t>21</w:t>
      </w:r>
      <w:r>
        <w:rPr>
          <w:rFonts w:hint="eastAsia" w:ascii="宋体" w:hAnsi="宋体" w:eastAsia="宋体" w:cs="宋体"/>
          <w:i w:val="0"/>
          <w:caps w:val="0"/>
          <w:color w:val="333333"/>
          <w:spacing w:val="0"/>
          <w:sz w:val="24"/>
          <w:szCs w:val="24"/>
        </w:rPr>
        <w:t>号文件《贯彻国家和云南省中长期教育改革和发展规划纲要的实施意见》规定，主要职能是：全面推进素质教育，大力发展学前教育，巩固提高义务教育发展水平，稳步发展高中教育，加快发展职业教育和成人继续教育，推进特殊教育发展，高度重视民族教育，规范发展民办教育，加强教育合作与交流。</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（二）机构设置情况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纳入</w:t>
      </w:r>
      <w:r>
        <w:rPr>
          <w:rFonts w:hint="eastAsia" w:ascii="宋体" w:hAnsi="宋体" w:eastAsia="宋体" w:cs="宋体"/>
          <w:i w:val="0"/>
          <w:caps w:val="0"/>
          <w:color w:val="333333"/>
          <w:spacing w:val="0"/>
          <w:sz w:val="21"/>
          <w:szCs w:val="21"/>
        </w:rPr>
        <w:t>2018</w:t>
      </w:r>
      <w:r>
        <w:rPr>
          <w:rFonts w:hint="eastAsia" w:ascii="宋体" w:hAnsi="宋体" w:eastAsia="宋体" w:cs="宋体"/>
          <w:i w:val="0"/>
          <w:caps w:val="0"/>
          <w:color w:val="333333"/>
          <w:spacing w:val="0"/>
          <w:sz w:val="24"/>
          <w:szCs w:val="24"/>
        </w:rPr>
        <w:t>年部门预算编报的单位共</w:t>
      </w:r>
      <w:r>
        <w:rPr>
          <w:rFonts w:hint="default" w:ascii="Calibri" w:hAnsi="Calibri" w:eastAsia="宋体" w:cs="Calibri"/>
          <w:i w:val="0"/>
          <w:caps w:val="0"/>
          <w:color w:val="333333"/>
          <w:spacing w:val="0"/>
          <w:sz w:val="24"/>
          <w:szCs w:val="24"/>
        </w:rPr>
        <w:t>39</w:t>
      </w:r>
      <w:r>
        <w:rPr>
          <w:rFonts w:hint="eastAsia" w:ascii="宋体" w:hAnsi="宋体" w:eastAsia="宋体" w:cs="宋体"/>
          <w:i w:val="0"/>
          <w:caps w:val="0"/>
          <w:color w:val="333333"/>
          <w:spacing w:val="0"/>
          <w:sz w:val="24"/>
          <w:szCs w:val="24"/>
        </w:rPr>
        <w:t>个，分别是：盈江县教育局机关，盈江县教育科研中心，盈江县第一初级中学，盈江县第一高级中学，盈江县第一小学，盈江县旧城民族中学，盈江县旧城镇中心学校，盈江县卡场镇九年一贯制学校，盈江县芒章乡中心学校，盈江县</w:t>
      </w:r>
      <w:bookmarkStart w:id="0" w:name="_GoBack"/>
      <w:bookmarkEnd w:id="0"/>
      <w:r>
        <w:rPr>
          <w:rFonts w:hint="eastAsia" w:ascii="宋体" w:hAnsi="宋体" w:eastAsia="宋体" w:cs="宋体"/>
          <w:i w:val="0"/>
          <w:caps w:val="0"/>
          <w:color w:val="333333"/>
          <w:spacing w:val="0"/>
          <w:sz w:val="24"/>
          <w:szCs w:val="24"/>
        </w:rPr>
        <w:t>芒章乡中学，盈江县勐弄乡九年一贯制学校，盈江县民族完全中学，盈江县民族小学，盈江县民族中学，盈江县那邦镇中心学校，盈江县弄璋镇姐帽中学，盈江县弄璋镇中心学校，盈江县弄璋镇中学，盈江县平原镇莲花山中学，盈江县平原镇中心学校，盈江县苏典乡九年一贯制学校，盈江县太平镇芒允中学，盈江县太平镇中心学校，盈江县太平镇中学，盈江县特殊教育学校，盈江县铜壁关乡中心学校，盈江县铜壁关乡中学，盈江县昔马华侨中学，盈江县昔马镇中心学校，盈江县新城乡中心学校，盈江县新城乡中学，盈江县油松岭乡中心学校，盈江县油松岭乡中学，盈江县幼儿园，盈江县盏西镇中心学校，盈江县盏西镇中学，盈江县支那乡中心学校，盈江县支那乡中学，盈江县职业高级中学。</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（三）重点工作概述</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认真</w:t>
      </w:r>
      <w:r>
        <w:rPr>
          <w:rFonts w:hint="eastAsia" w:cs="宋体"/>
          <w:i w:val="0"/>
          <w:caps w:val="0"/>
          <w:color w:val="333333"/>
          <w:spacing w:val="0"/>
          <w:sz w:val="24"/>
          <w:szCs w:val="24"/>
          <w:lang w:eastAsia="zh-CN"/>
        </w:rPr>
        <w:t>贯彻落实党的十九大精神</w:t>
      </w:r>
      <w:r>
        <w:rPr>
          <w:rFonts w:hint="eastAsia" w:ascii="宋体" w:hAnsi="宋体" w:eastAsia="宋体" w:cs="宋体"/>
          <w:i w:val="0"/>
          <w:caps w:val="0"/>
          <w:color w:val="333333"/>
          <w:spacing w:val="0"/>
          <w:sz w:val="24"/>
          <w:szCs w:val="24"/>
        </w:rPr>
        <w:t>、全面深化教育领域改革，推动教育事业稳步发展。</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我县教育工作的总体要求是：以国家和省、州中长期教育改革和发展规划纲要为指导，抓好课堂教学改革，强化队伍建设，以提高初中教学成绩为切入点，促进小学抓质量管理，推动初中抓“控辍保学”工作，全面强化校园管理和内涵发展，以初中质量的整体提升，拉动小学管理进步，推动高中教育发展，全面带动我县教育水平再上新台阶。围绕总体要求，</w:t>
      </w:r>
      <w:r>
        <w:rPr>
          <w:rFonts w:hint="default" w:ascii="Calibri" w:hAnsi="Calibri" w:eastAsia="宋体" w:cs="Calibri"/>
          <w:i w:val="0"/>
          <w:caps w:val="0"/>
          <w:color w:val="333333"/>
          <w:spacing w:val="0"/>
          <w:sz w:val="24"/>
          <w:szCs w:val="24"/>
        </w:rPr>
        <w:t>2019</w:t>
      </w:r>
      <w:r>
        <w:rPr>
          <w:rFonts w:hint="eastAsia" w:ascii="宋体" w:hAnsi="宋体" w:eastAsia="宋体" w:cs="宋体"/>
          <w:i w:val="0"/>
          <w:caps w:val="0"/>
          <w:color w:val="333333"/>
          <w:spacing w:val="0"/>
          <w:sz w:val="24"/>
          <w:szCs w:val="24"/>
        </w:rPr>
        <w:t>年重点抓好以下几个方面：</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w:t>
      </w:r>
      <w:r>
        <w:rPr>
          <w:rFonts w:hint="eastAsia" w:ascii="宋体" w:hAnsi="宋体" w:eastAsia="宋体" w:cs="宋体"/>
          <w:i w:val="0"/>
          <w:caps w:val="0"/>
          <w:color w:val="333333"/>
          <w:spacing w:val="0"/>
          <w:sz w:val="24"/>
          <w:szCs w:val="24"/>
        </w:rPr>
        <w:t>、以党的建设统领全县教育工作。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w:t>
      </w:r>
      <w:r>
        <w:rPr>
          <w:rFonts w:hint="eastAsia" w:ascii="宋体" w:hAnsi="宋体" w:eastAsia="宋体" w:cs="宋体"/>
          <w:i w:val="0"/>
          <w:caps w:val="0"/>
          <w:color w:val="333333"/>
          <w:spacing w:val="0"/>
          <w:sz w:val="24"/>
          <w:szCs w:val="24"/>
        </w:rPr>
        <w:t>、以青爱工程为抓手，抓实德安工作。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3</w:t>
      </w:r>
      <w:r>
        <w:rPr>
          <w:rFonts w:hint="eastAsia" w:ascii="宋体" w:hAnsi="宋体" w:eastAsia="宋体" w:cs="宋体"/>
          <w:i w:val="0"/>
          <w:caps w:val="0"/>
          <w:color w:val="333333"/>
          <w:spacing w:val="0"/>
          <w:sz w:val="24"/>
          <w:szCs w:val="24"/>
        </w:rPr>
        <w:t>、以课堂教学改革为抓手，全面提高教育教学质量。</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4</w:t>
      </w:r>
      <w:r>
        <w:rPr>
          <w:rFonts w:hint="eastAsia" w:ascii="宋体" w:hAnsi="宋体" w:eastAsia="宋体" w:cs="宋体"/>
          <w:i w:val="0"/>
          <w:caps w:val="0"/>
          <w:color w:val="333333"/>
          <w:spacing w:val="0"/>
          <w:sz w:val="24"/>
          <w:szCs w:val="24"/>
        </w:rPr>
        <w:t>、以优质均衡发展为目标，全面改善办学条件和提升学校管理水平。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5</w:t>
      </w:r>
      <w:r>
        <w:rPr>
          <w:rFonts w:hint="eastAsia" w:ascii="宋体" w:hAnsi="宋体" w:eastAsia="宋体" w:cs="宋体"/>
          <w:i w:val="0"/>
          <w:caps w:val="0"/>
          <w:color w:val="333333"/>
          <w:spacing w:val="0"/>
          <w:sz w:val="24"/>
          <w:szCs w:val="24"/>
        </w:rPr>
        <w:t>、以普及高中教育为契机全面提升高中教育整体水平。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6</w:t>
      </w:r>
      <w:r>
        <w:rPr>
          <w:rFonts w:hint="eastAsia" w:ascii="宋体" w:hAnsi="宋体" w:eastAsia="宋体" w:cs="宋体"/>
          <w:i w:val="0"/>
          <w:caps w:val="0"/>
          <w:color w:val="333333"/>
          <w:spacing w:val="0"/>
          <w:sz w:val="24"/>
          <w:szCs w:val="24"/>
        </w:rPr>
        <w:t>、以治理扶贫为抓手，抓好教育扶贫工作。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7</w:t>
      </w:r>
      <w:r>
        <w:rPr>
          <w:rFonts w:hint="eastAsia" w:ascii="宋体" w:hAnsi="宋体" w:eastAsia="宋体" w:cs="宋体"/>
          <w:i w:val="0"/>
          <w:caps w:val="0"/>
          <w:color w:val="333333"/>
          <w:spacing w:val="0"/>
          <w:sz w:val="24"/>
          <w:szCs w:val="24"/>
        </w:rPr>
        <w:t>、进一步加强教育信息化工作，切实提高中小学教师教育信息技术应用能力。</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8</w:t>
      </w:r>
      <w:r>
        <w:rPr>
          <w:rFonts w:hint="eastAsia" w:ascii="宋体" w:hAnsi="宋体" w:eastAsia="宋体" w:cs="宋体"/>
          <w:i w:val="0"/>
          <w:caps w:val="0"/>
          <w:color w:val="333333"/>
          <w:spacing w:val="0"/>
          <w:sz w:val="24"/>
          <w:szCs w:val="24"/>
        </w:rPr>
        <w:t>、以创建国家级职业教育和成人教育示范县为契机大力发展职业教育。</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9</w:t>
      </w:r>
      <w:r>
        <w:rPr>
          <w:rFonts w:hint="eastAsia" w:ascii="宋体" w:hAnsi="宋体" w:eastAsia="宋体" w:cs="宋体"/>
          <w:i w:val="0"/>
          <w:caps w:val="0"/>
          <w:color w:val="333333"/>
          <w:spacing w:val="0"/>
          <w:sz w:val="24"/>
          <w:szCs w:val="24"/>
        </w:rPr>
        <w:t>、全力打造好“全国中小学生研学实践教育基地”。</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10</w:t>
      </w:r>
      <w:r>
        <w:rPr>
          <w:rFonts w:hint="eastAsia" w:ascii="宋体" w:hAnsi="宋体" w:eastAsia="宋体" w:cs="宋体"/>
          <w:i w:val="0"/>
          <w:caps w:val="0"/>
          <w:color w:val="333333"/>
          <w:spacing w:val="0"/>
          <w:sz w:val="24"/>
          <w:szCs w:val="24"/>
        </w:rPr>
        <w:t>、积极开展好“一村一幼”、“一乡一公办”、“一县两示范”工作。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11</w:t>
      </w:r>
      <w:r>
        <w:rPr>
          <w:rFonts w:hint="eastAsia" w:ascii="宋体" w:hAnsi="宋体" w:eastAsia="宋体" w:cs="宋体"/>
          <w:i w:val="0"/>
          <w:caps w:val="0"/>
          <w:color w:val="333333"/>
          <w:spacing w:val="0"/>
          <w:sz w:val="24"/>
          <w:szCs w:val="24"/>
        </w:rPr>
        <w:t>、规范治理校外培训机构工作。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二、预算单位基本情况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w:t>
      </w:r>
      <w:r>
        <w:rPr>
          <w:rFonts w:hint="eastAsia" w:ascii="宋体" w:hAnsi="宋体" w:eastAsia="宋体" w:cs="宋体"/>
          <w:i w:val="0"/>
          <w:caps w:val="0"/>
          <w:color w:val="333333"/>
          <w:spacing w:val="0"/>
          <w:sz w:val="21"/>
          <w:szCs w:val="21"/>
        </w:rPr>
        <w:t>2018</w:t>
      </w:r>
      <w:r>
        <w:rPr>
          <w:rFonts w:hint="eastAsia" w:ascii="宋体" w:hAnsi="宋体" w:eastAsia="宋体" w:cs="宋体"/>
          <w:i w:val="0"/>
          <w:caps w:val="0"/>
          <w:color w:val="333333"/>
          <w:spacing w:val="0"/>
          <w:sz w:val="24"/>
          <w:szCs w:val="24"/>
        </w:rPr>
        <w:t>年部门预算编报的单位共</w:t>
      </w:r>
      <w:r>
        <w:rPr>
          <w:rFonts w:hint="default" w:ascii="Calibri" w:hAnsi="Calibri" w:eastAsia="宋体" w:cs="Calibri"/>
          <w:i w:val="0"/>
          <w:caps w:val="0"/>
          <w:color w:val="333333"/>
          <w:spacing w:val="0"/>
          <w:sz w:val="24"/>
          <w:szCs w:val="24"/>
        </w:rPr>
        <w:t>39</w:t>
      </w:r>
      <w:r>
        <w:rPr>
          <w:rFonts w:hint="eastAsia" w:ascii="宋体" w:hAnsi="宋体" w:eastAsia="宋体" w:cs="宋体"/>
          <w:i w:val="0"/>
          <w:caps w:val="0"/>
          <w:color w:val="333333"/>
          <w:spacing w:val="0"/>
          <w:sz w:val="24"/>
          <w:szCs w:val="24"/>
        </w:rPr>
        <w:t>个，分别是：盈江县教育局机关，盈江县教育科研中心，盈江县第一初级中学，盈江县第一高级中学，盈江县第一小学，盈江县旧城民族中学，盈江县旧城镇中心学校，盈江县卡场镇九年一贯制学校，盈江县芒章乡中心学校，盈江县芒章乡中学，盈江县勐弄乡九年一贯制学校，盈江县民族完全中学，盈江县民族小学，盈江县民族中学，盈江县那邦镇中心学校，盈江县弄璋镇姐帽中学，盈江县弄璋镇中心学校，盈江县弄璋镇中学，盈江县平原镇莲花山中学，盈江县平原镇中心学校，盈江县苏典乡九年一贯制学校，盈江县太平镇芒允中学，盈江县太平镇中心学校，盈江县太平镇中学，盈江县特殊教育学校，盈江县铜壁关乡中心学校，盈江县铜壁关乡中学，盈江县昔马华侨中学，盈江县昔马镇中心学校，盈江县新城乡中心学校，盈江县新城乡中学，盈江县油松岭乡中心学校，盈江县油松岭乡中学，盈江县幼儿园，盈江县盏西镇中心学校，盈江县盏西镇中学，盈江县支那乡中心学校，盈江县支那乡中学，盈江县职业高级中学。其中：财政全供给单位</w:t>
      </w:r>
      <w:r>
        <w:rPr>
          <w:rFonts w:hint="default" w:ascii="Calibri" w:hAnsi="Calibri" w:eastAsia="宋体" w:cs="Calibri"/>
          <w:i w:val="0"/>
          <w:caps w:val="0"/>
          <w:color w:val="333333"/>
          <w:spacing w:val="0"/>
          <w:sz w:val="24"/>
          <w:szCs w:val="24"/>
        </w:rPr>
        <w:t>39</w:t>
      </w:r>
      <w:r>
        <w:rPr>
          <w:rFonts w:hint="eastAsia" w:ascii="宋体" w:hAnsi="宋体" w:eastAsia="宋体" w:cs="宋体"/>
          <w:i w:val="0"/>
          <w:caps w:val="0"/>
          <w:color w:val="333333"/>
          <w:spacing w:val="0"/>
          <w:sz w:val="24"/>
          <w:szCs w:val="24"/>
        </w:rPr>
        <w:t>个，部分供给单位</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个，特殊供给单位</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个，自收自支单位</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个；财政全共计单位中行政单位</w:t>
      </w:r>
      <w:r>
        <w:rPr>
          <w:rFonts w:hint="default" w:ascii="Calibri" w:hAnsi="Calibri" w:eastAsia="宋体" w:cs="Calibri"/>
          <w:i w:val="0"/>
          <w:caps w:val="0"/>
          <w:color w:val="333333"/>
          <w:spacing w:val="0"/>
          <w:sz w:val="24"/>
          <w:szCs w:val="24"/>
        </w:rPr>
        <w:t>1</w:t>
      </w:r>
      <w:r>
        <w:rPr>
          <w:rFonts w:hint="eastAsia" w:ascii="宋体" w:hAnsi="宋体" w:eastAsia="宋体" w:cs="宋体"/>
          <w:i w:val="0"/>
          <w:caps w:val="0"/>
          <w:color w:val="333333"/>
          <w:spacing w:val="0"/>
          <w:sz w:val="24"/>
          <w:szCs w:val="24"/>
        </w:rPr>
        <w:t>个，事业单位</w:t>
      </w:r>
      <w:r>
        <w:rPr>
          <w:rFonts w:hint="default" w:ascii="Calibri" w:hAnsi="Calibri" w:eastAsia="宋体" w:cs="Calibri"/>
          <w:i w:val="0"/>
          <w:caps w:val="0"/>
          <w:color w:val="333333"/>
          <w:spacing w:val="0"/>
          <w:sz w:val="24"/>
          <w:szCs w:val="24"/>
        </w:rPr>
        <w:t>38</w:t>
      </w:r>
      <w:r>
        <w:rPr>
          <w:rFonts w:hint="eastAsia" w:ascii="宋体" w:hAnsi="宋体" w:eastAsia="宋体" w:cs="宋体"/>
          <w:i w:val="0"/>
          <w:caps w:val="0"/>
          <w:color w:val="333333"/>
          <w:spacing w:val="0"/>
          <w:sz w:val="24"/>
          <w:szCs w:val="24"/>
        </w:rPr>
        <w:t>个，非参公管理事业单位</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个。截止</w:t>
      </w:r>
      <w:r>
        <w:rPr>
          <w:rFonts w:hint="default" w:ascii="Calibri" w:hAnsi="Calibri" w:eastAsia="宋体" w:cs="Calibri"/>
          <w:i w:val="0"/>
          <w:caps w:val="0"/>
          <w:color w:val="333333"/>
          <w:spacing w:val="0"/>
          <w:sz w:val="24"/>
          <w:szCs w:val="24"/>
        </w:rPr>
        <w:t>2018</w:t>
      </w:r>
      <w:r>
        <w:rPr>
          <w:rFonts w:hint="eastAsia" w:ascii="宋体" w:hAnsi="宋体" w:eastAsia="宋体" w:cs="宋体"/>
          <w:i w:val="0"/>
          <w:caps w:val="0"/>
          <w:color w:val="333333"/>
          <w:spacing w:val="0"/>
          <w:sz w:val="24"/>
          <w:szCs w:val="24"/>
        </w:rPr>
        <w:t>年</w:t>
      </w:r>
      <w:r>
        <w:rPr>
          <w:rFonts w:hint="default" w:ascii="Calibri" w:hAnsi="Calibri" w:eastAsia="宋体" w:cs="Calibri"/>
          <w:i w:val="0"/>
          <w:caps w:val="0"/>
          <w:color w:val="333333"/>
          <w:spacing w:val="0"/>
          <w:sz w:val="24"/>
          <w:szCs w:val="24"/>
        </w:rPr>
        <w:t>11</w:t>
      </w:r>
      <w:r>
        <w:rPr>
          <w:rFonts w:hint="eastAsia" w:ascii="宋体" w:hAnsi="宋体" w:eastAsia="宋体" w:cs="宋体"/>
          <w:i w:val="0"/>
          <w:caps w:val="0"/>
          <w:color w:val="333333"/>
          <w:spacing w:val="0"/>
          <w:sz w:val="24"/>
          <w:szCs w:val="24"/>
        </w:rPr>
        <w:t>月统计，部门基本情况如下：</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w:t>
      </w:r>
      <w:r>
        <w:rPr>
          <w:rFonts w:hint="eastAsia" w:ascii="宋体" w:hAnsi="宋体" w:eastAsia="宋体" w:cs="宋体"/>
          <w:i w:val="0"/>
          <w:caps w:val="0"/>
          <w:color w:val="333333"/>
          <w:spacing w:val="0"/>
          <w:sz w:val="21"/>
          <w:szCs w:val="21"/>
        </w:rPr>
        <w:t>3367</w:t>
      </w:r>
      <w:r>
        <w:rPr>
          <w:rFonts w:hint="eastAsia" w:ascii="宋体" w:hAnsi="宋体" w:eastAsia="宋体" w:cs="宋体"/>
          <w:i w:val="0"/>
          <w:caps w:val="0"/>
          <w:color w:val="333333"/>
          <w:spacing w:val="0"/>
          <w:sz w:val="24"/>
          <w:szCs w:val="24"/>
        </w:rPr>
        <w:t>人，其中：行政编制 </w:t>
      </w:r>
      <w:r>
        <w:rPr>
          <w:rFonts w:hint="default" w:ascii="Calibri" w:hAnsi="Calibri" w:eastAsia="宋体" w:cs="Calibri"/>
          <w:i w:val="0"/>
          <w:caps w:val="0"/>
          <w:color w:val="333333"/>
          <w:spacing w:val="0"/>
          <w:sz w:val="24"/>
          <w:szCs w:val="24"/>
        </w:rPr>
        <w:t>19</w:t>
      </w:r>
      <w:r>
        <w:rPr>
          <w:rFonts w:hint="eastAsia" w:ascii="宋体" w:hAnsi="宋体" w:eastAsia="宋体" w:cs="宋体"/>
          <w:i w:val="0"/>
          <w:caps w:val="0"/>
          <w:color w:val="333333"/>
          <w:spacing w:val="0"/>
          <w:sz w:val="24"/>
          <w:szCs w:val="24"/>
        </w:rPr>
        <w:t>人，事业编制</w:t>
      </w:r>
      <w:r>
        <w:rPr>
          <w:rFonts w:hint="default" w:ascii="Calibri" w:hAnsi="Calibri" w:eastAsia="宋体" w:cs="Calibri"/>
          <w:i w:val="0"/>
          <w:caps w:val="0"/>
          <w:color w:val="333333"/>
          <w:spacing w:val="0"/>
          <w:sz w:val="24"/>
          <w:szCs w:val="24"/>
        </w:rPr>
        <w:t>3348</w:t>
      </w:r>
      <w:r>
        <w:rPr>
          <w:rFonts w:hint="eastAsia" w:ascii="宋体" w:hAnsi="宋体" w:eastAsia="宋体" w:cs="宋体"/>
          <w:i w:val="0"/>
          <w:caps w:val="0"/>
          <w:color w:val="333333"/>
          <w:spacing w:val="0"/>
          <w:sz w:val="24"/>
          <w:szCs w:val="24"/>
        </w:rPr>
        <w:t>人。在职实有</w:t>
      </w:r>
      <w:r>
        <w:rPr>
          <w:rFonts w:hint="default" w:ascii="Calibri" w:hAnsi="Calibri" w:eastAsia="宋体" w:cs="Calibri"/>
          <w:i w:val="0"/>
          <w:caps w:val="0"/>
          <w:color w:val="333333"/>
          <w:spacing w:val="0"/>
          <w:sz w:val="24"/>
          <w:szCs w:val="24"/>
        </w:rPr>
        <w:t>3436</w:t>
      </w:r>
      <w:r>
        <w:rPr>
          <w:rFonts w:hint="eastAsia" w:ascii="宋体" w:hAnsi="宋体" w:eastAsia="宋体" w:cs="宋体"/>
          <w:i w:val="0"/>
          <w:caps w:val="0"/>
          <w:color w:val="333333"/>
          <w:spacing w:val="0"/>
          <w:sz w:val="24"/>
          <w:szCs w:val="24"/>
        </w:rPr>
        <w:t>人，其中：财政全供养 </w:t>
      </w:r>
      <w:r>
        <w:rPr>
          <w:rFonts w:hint="default" w:ascii="Calibri" w:hAnsi="Calibri" w:eastAsia="宋体" w:cs="Calibri"/>
          <w:i w:val="0"/>
          <w:caps w:val="0"/>
          <w:color w:val="333333"/>
          <w:spacing w:val="0"/>
          <w:sz w:val="24"/>
          <w:szCs w:val="24"/>
        </w:rPr>
        <w:t>3436</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w:t>
      </w:r>
      <w:r>
        <w:rPr>
          <w:rFonts w:hint="eastAsia" w:ascii="宋体" w:hAnsi="宋体" w:eastAsia="宋体" w:cs="宋体"/>
          <w:i w:val="0"/>
          <w:caps w:val="0"/>
          <w:color w:val="333333"/>
          <w:spacing w:val="0"/>
          <w:sz w:val="21"/>
          <w:szCs w:val="21"/>
        </w:rPr>
        <w:t> 2</w:t>
      </w:r>
      <w:r>
        <w:rPr>
          <w:rFonts w:hint="eastAsia" w:ascii="宋体" w:hAnsi="宋体" w:eastAsia="宋体" w:cs="宋体"/>
          <w:i w:val="0"/>
          <w:caps w:val="0"/>
          <w:color w:val="333333"/>
          <w:spacing w:val="0"/>
          <w:sz w:val="24"/>
          <w:szCs w:val="24"/>
        </w:rPr>
        <w:t>人，其中：离休 </w:t>
      </w:r>
      <w:r>
        <w:rPr>
          <w:rFonts w:hint="default" w:ascii="Calibri" w:hAnsi="Calibri" w:eastAsia="宋体" w:cs="Calibri"/>
          <w:i w:val="0"/>
          <w:caps w:val="0"/>
          <w:color w:val="333333"/>
          <w:spacing w:val="0"/>
          <w:sz w:val="24"/>
          <w:szCs w:val="24"/>
        </w:rPr>
        <w:t>2</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w:t>
      </w:r>
      <w:r>
        <w:rPr>
          <w:rFonts w:hint="eastAsia" w:ascii="宋体" w:hAnsi="宋体" w:eastAsia="宋体" w:cs="宋体"/>
          <w:i w:val="0"/>
          <w:caps w:val="0"/>
          <w:color w:val="333333"/>
          <w:spacing w:val="0"/>
          <w:sz w:val="21"/>
          <w:szCs w:val="21"/>
        </w:rPr>
        <w:t>29</w:t>
      </w:r>
      <w:r>
        <w:rPr>
          <w:rFonts w:hint="eastAsia" w:ascii="宋体" w:hAnsi="宋体" w:eastAsia="宋体" w:cs="宋体"/>
          <w:i w:val="0"/>
          <w:caps w:val="0"/>
          <w:color w:val="333333"/>
          <w:spacing w:val="0"/>
          <w:sz w:val="24"/>
          <w:szCs w:val="24"/>
        </w:rPr>
        <w:t>辆，实有车辆</w:t>
      </w:r>
      <w:r>
        <w:rPr>
          <w:rFonts w:hint="default" w:ascii="Calibri" w:hAnsi="Calibri" w:eastAsia="宋体" w:cs="Calibri"/>
          <w:i w:val="0"/>
          <w:caps w:val="0"/>
          <w:color w:val="333333"/>
          <w:spacing w:val="0"/>
          <w:sz w:val="24"/>
          <w:szCs w:val="24"/>
        </w:rPr>
        <w:t>29</w:t>
      </w:r>
      <w:r>
        <w:rPr>
          <w:rFonts w:hint="eastAsia" w:ascii="宋体" w:hAnsi="宋体" w:eastAsia="宋体" w:cs="宋体"/>
          <w:i w:val="0"/>
          <w:caps w:val="0"/>
          <w:color w:val="333333"/>
          <w:spacing w:val="0"/>
          <w:sz w:val="24"/>
          <w:szCs w:val="24"/>
        </w:rPr>
        <w:t>辆。</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三、预算单位收入情况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年部门财务总收入</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万元，其中：一般公共预算财政拨款</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万元，政府性基金预算财政拨款</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万元，国有资本经营预算财政拨款</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万元，事业收入</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万元，事业单位经营收入</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万元，其他收入</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万元，上年结转</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年部门财政拨款收入</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万元，其中</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本年收入</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万元，上年结转</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万元。本年收入中，一般公共预算财政拨款</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万元（本级财力</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万元，专项收入</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万元，执法办案补助</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万元，收费成本补偿</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万元，财政专户管理的收入</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万元，国有资源（资产）有偿使用成本补偿</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万元），政府性基金预算财政拨款</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万元，国有资本经营预算财政拨款</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四、预算单位支出情况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年部门预算总支出</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元。财政拨款安排支出 </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43571.16</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710.92</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（一）财政拨款安排支出按功能科目分类情况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功能科目分组</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2050101</w:t>
      </w:r>
      <w:r>
        <w:rPr>
          <w:rFonts w:hint="eastAsia" w:ascii="宋体" w:hAnsi="宋体" w:eastAsia="宋体" w:cs="宋体"/>
          <w:i w:val="0"/>
          <w:caps w:val="0"/>
          <w:color w:val="333333"/>
          <w:spacing w:val="0"/>
          <w:sz w:val="24"/>
          <w:szCs w:val="24"/>
        </w:rPr>
        <w:t>行政运行</w:t>
      </w:r>
      <w:r>
        <w:rPr>
          <w:rFonts w:hint="default" w:ascii="Calibri" w:hAnsi="Calibri" w:eastAsia="宋体" w:cs="Calibri"/>
          <w:i w:val="0"/>
          <w:caps w:val="0"/>
          <w:color w:val="333333"/>
          <w:spacing w:val="0"/>
          <w:sz w:val="24"/>
          <w:szCs w:val="24"/>
        </w:rPr>
        <w:t>243.63</w:t>
      </w:r>
      <w:r>
        <w:rPr>
          <w:rFonts w:hint="eastAsia" w:ascii="宋体" w:hAnsi="宋体" w:eastAsia="宋体" w:cs="宋体"/>
          <w:i w:val="0"/>
          <w:caps w:val="0"/>
          <w:color w:val="333333"/>
          <w:spacing w:val="0"/>
          <w:sz w:val="24"/>
          <w:szCs w:val="24"/>
        </w:rPr>
        <w:t>万元，主要用于教育局机关在职职工全年工资福利支出及机构正常运转公用经费。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2050102</w:t>
      </w:r>
      <w:r>
        <w:rPr>
          <w:rFonts w:hint="eastAsia" w:ascii="宋体" w:hAnsi="宋体" w:eastAsia="宋体" w:cs="宋体"/>
          <w:i w:val="0"/>
          <w:caps w:val="0"/>
          <w:color w:val="333333"/>
          <w:spacing w:val="0"/>
          <w:sz w:val="24"/>
          <w:szCs w:val="24"/>
        </w:rPr>
        <w:t>一般行政管理事务</w:t>
      </w:r>
      <w:r>
        <w:rPr>
          <w:rFonts w:hint="default" w:ascii="Calibri" w:hAnsi="Calibri" w:eastAsia="宋体" w:cs="Calibri"/>
          <w:i w:val="0"/>
          <w:caps w:val="0"/>
          <w:color w:val="333333"/>
          <w:spacing w:val="0"/>
          <w:sz w:val="24"/>
          <w:szCs w:val="24"/>
        </w:rPr>
        <w:t>5</w:t>
      </w:r>
      <w:r>
        <w:rPr>
          <w:rFonts w:hint="eastAsia" w:ascii="宋体" w:hAnsi="宋体" w:eastAsia="宋体" w:cs="宋体"/>
          <w:i w:val="0"/>
          <w:caps w:val="0"/>
          <w:color w:val="333333"/>
          <w:spacing w:val="0"/>
          <w:sz w:val="24"/>
          <w:szCs w:val="24"/>
        </w:rPr>
        <w:t>万元，主要用于教育督导、内审经费。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2050199</w:t>
      </w:r>
      <w:r>
        <w:rPr>
          <w:rFonts w:hint="eastAsia" w:ascii="宋体" w:hAnsi="宋体" w:eastAsia="宋体" w:cs="宋体"/>
          <w:i w:val="0"/>
          <w:caps w:val="0"/>
          <w:color w:val="333333"/>
          <w:spacing w:val="0"/>
          <w:sz w:val="24"/>
          <w:szCs w:val="24"/>
        </w:rPr>
        <w:t>其他教育管理事务支出</w:t>
      </w:r>
      <w:r>
        <w:rPr>
          <w:rFonts w:hint="default" w:ascii="Calibri" w:hAnsi="Calibri" w:eastAsia="宋体" w:cs="Calibri"/>
          <w:i w:val="0"/>
          <w:caps w:val="0"/>
          <w:color w:val="333333"/>
          <w:spacing w:val="0"/>
          <w:sz w:val="24"/>
          <w:szCs w:val="24"/>
        </w:rPr>
        <w:t>1584.76</w:t>
      </w:r>
      <w:r>
        <w:rPr>
          <w:rFonts w:hint="eastAsia" w:ascii="宋体" w:hAnsi="宋体" w:eastAsia="宋体" w:cs="宋体"/>
          <w:i w:val="0"/>
          <w:caps w:val="0"/>
          <w:color w:val="333333"/>
          <w:spacing w:val="0"/>
          <w:sz w:val="24"/>
          <w:szCs w:val="24"/>
        </w:rPr>
        <w:t>万元，主要用于各学校零聘人员工资及五险支出。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2050201</w:t>
      </w:r>
      <w:r>
        <w:rPr>
          <w:rFonts w:hint="eastAsia" w:ascii="宋体" w:hAnsi="宋体" w:eastAsia="宋体" w:cs="宋体"/>
          <w:i w:val="0"/>
          <w:caps w:val="0"/>
          <w:color w:val="333333"/>
          <w:spacing w:val="0"/>
          <w:sz w:val="24"/>
          <w:szCs w:val="24"/>
        </w:rPr>
        <w:t>学前教育</w:t>
      </w:r>
      <w:r>
        <w:rPr>
          <w:rFonts w:hint="default" w:ascii="Calibri" w:hAnsi="Calibri" w:eastAsia="宋体" w:cs="Calibri"/>
          <w:i w:val="0"/>
          <w:caps w:val="0"/>
          <w:color w:val="333333"/>
          <w:spacing w:val="0"/>
          <w:sz w:val="24"/>
          <w:szCs w:val="24"/>
        </w:rPr>
        <w:t>614.83</w:t>
      </w:r>
      <w:r>
        <w:rPr>
          <w:rFonts w:hint="eastAsia" w:ascii="宋体" w:hAnsi="宋体" w:eastAsia="宋体" w:cs="宋体"/>
          <w:i w:val="0"/>
          <w:caps w:val="0"/>
          <w:color w:val="333333"/>
          <w:spacing w:val="0"/>
          <w:sz w:val="24"/>
          <w:szCs w:val="24"/>
        </w:rPr>
        <w:t>万元，主要用于全县各幼儿园在职职工全年工资福利支出及机构正常运转公用经费。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2050202</w:t>
      </w:r>
      <w:r>
        <w:rPr>
          <w:rFonts w:hint="eastAsia" w:ascii="宋体" w:hAnsi="宋体" w:eastAsia="宋体" w:cs="宋体"/>
          <w:i w:val="0"/>
          <w:caps w:val="0"/>
          <w:color w:val="333333"/>
          <w:spacing w:val="0"/>
          <w:sz w:val="24"/>
          <w:szCs w:val="24"/>
        </w:rPr>
        <w:t>小学教育</w:t>
      </w:r>
      <w:r>
        <w:rPr>
          <w:rFonts w:hint="default" w:ascii="Calibri" w:hAnsi="Calibri" w:eastAsia="宋体" w:cs="Calibri"/>
          <w:i w:val="0"/>
          <w:caps w:val="0"/>
          <w:color w:val="333333"/>
          <w:spacing w:val="0"/>
          <w:sz w:val="24"/>
          <w:szCs w:val="24"/>
        </w:rPr>
        <w:t>17276.95</w:t>
      </w:r>
      <w:r>
        <w:rPr>
          <w:rFonts w:hint="eastAsia" w:ascii="宋体" w:hAnsi="宋体" w:eastAsia="宋体" w:cs="宋体"/>
          <w:i w:val="0"/>
          <w:caps w:val="0"/>
          <w:color w:val="333333"/>
          <w:spacing w:val="0"/>
          <w:sz w:val="24"/>
          <w:szCs w:val="24"/>
        </w:rPr>
        <w:t>万元，主要用于全县教师节经费、各小学在职职工全年工资福利支出及机构正常运转公用经费。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2050203</w:t>
      </w:r>
      <w:r>
        <w:rPr>
          <w:rFonts w:hint="eastAsia" w:ascii="宋体" w:hAnsi="宋体" w:eastAsia="宋体" w:cs="宋体"/>
          <w:i w:val="0"/>
          <w:caps w:val="0"/>
          <w:color w:val="333333"/>
          <w:spacing w:val="0"/>
          <w:sz w:val="24"/>
          <w:szCs w:val="24"/>
        </w:rPr>
        <w:t>初中教育</w:t>
      </w:r>
      <w:r>
        <w:rPr>
          <w:rFonts w:hint="default" w:ascii="Calibri" w:hAnsi="Calibri" w:eastAsia="宋体" w:cs="Calibri"/>
          <w:i w:val="0"/>
          <w:caps w:val="0"/>
          <w:color w:val="333333"/>
          <w:spacing w:val="0"/>
          <w:sz w:val="24"/>
          <w:szCs w:val="24"/>
        </w:rPr>
        <w:t>9145.31</w:t>
      </w:r>
      <w:r>
        <w:rPr>
          <w:rFonts w:hint="eastAsia" w:ascii="宋体" w:hAnsi="宋体" w:eastAsia="宋体" w:cs="宋体"/>
          <w:i w:val="0"/>
          <w:caps w:val="0"/>
          <w:color w:val="333333"/>
          <w:spacing w:val="0"/>
          <w:sz w:val="24"/>
          <w:szCs w:val="24"/>
        </w:rPr>
        <w:t>万元，主要用于全县各初级中学在职职工全年工资福利支出及机构正常运转公用经费。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2050204</w:t>
      </w:r>
      <w:r>
        <w:rPr>
          <w:rFonts w:hint="eastAsia" w:ascii="宋体" w:hAnsi="宋体" w:eastAsia="宋体" w:cs="宋体"/>
          <w:i w:val="0"/>
          <w:caps w:val="0"/>
          <w:color w:val="333333"/>
          <w:spacing w:val="0"/>
          <w:sz w:val="24"/>
          <w:szCs w:val="24"/>
        </w:rPr>
        <w:t>高中教育</w:t>
      </w:r>
      <w:r>
        <w:rPr>
          <w:rFonts w:hint="default" w:ascii="Calibri" w:hAnsi="Calibri" w:eastAsia="宋体" w:cs="Calibri"/>
          <w:i w:val="0"/>
          <w:caps w:val="0"/>
          <w:color w:val="333333"/>
          <w:spacing w:val="0"/>
          <w:sz w:val="24"/>
          <w:szCs w:val="24"/>
        </w:rPr>
        <w:t>3764.91</w:t>
      </w:r>
      <w:r>
        <w:rPr>
          <w:rFonts w:hint="eastAsia" w:ascii="宋体" w:hAnsi="宋体" w:eastAsia="宋体" w:cs="宋体"/>
          <w:i w:val="0"/>
          <w:caps w:val="0"/>
          <w:color w:val="333333"/>
          <w:spacing w:val="0"/>
          <w:sz w:val="24"/>
          <w:szCs w:val="24"/>
        </w:rPr>
        <w:t>万元，主要用于盈江县第一高级中学及盈江县民族完全中学高中部全年工资福利支出及机构正常运转公用经费。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2050299</w:t>
      </w:r>
      <w:r>
        <w:rPr>
          <w:rFonts w:hint="eastAsia" w:ascii="宋体" w:hAnsi="宋体" w:eastAsia="宋体" w:cs="宋体"/>
          <w:i w:val="0"/>
          <w:caps w:val="0"/>
          <w:color w:val="333333"/>
          <w:spacing w:val="0"/>
          <w:sz w:val="24"/>
          <w:szCs w:val="24"/>
        </w:rPr>
        <w:t>其他普通教育支出</w:t>
      </w:r>
      <w:r>
        <w:rPr>
          <w:rFonts w:hint="default" w:ascii="Calibri" w:hAnsi="Calibri" w:eastAsia="宋体" w:cs="Calibri"/>
          <w:i w:val="0"/>
          <w:caps w:val="0"/>
          <w:color w:val="333333"/>
          <w:spacing w:val="0"/>
          <w:sz w:val="24"/>
          <w:szCs w:val="24"/>
        </w:rPr>
        <w:t>502</w:t>
      </w:r>
      <w:r>
        <w:rPr>
          <w:rFonts w:hint="eastAsia" w:ascii="宋体" w:hAnsi="宋体" w:eastAsia="宋体" w:cs="宋体"/>
          <w:i w:val="0"/>
          <w:caps w:val="0"/>
          <w:color w:val="333333"/>
          <w:spacing w:val="0"/>
          <w:sz w:val="24"/>
          <w:szCs w:val="24"/>
        </w:rPr>
        <w:t>万元，主要用于全县各学校乡村教师生活补助资金。</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2050304</w:t>
      </w:r>
      <w:r>
        <w:rPr>
          <w:rFonts w:hint="eastAsia" w:ascii="宋体" w:hAnsi="宋体" w:eastAsia="宋体" w:cs="宋体"/>
          <w:i w:val="0"/>
          <w:caps w:val="0"/>
          <w:color w:val="333333"/>
          <w:spacing w:val="0"/>
          <w:sz w:val="24"/>
          <w:szCs w:val="24"/>
        </w:rPr>
        <w:t>职业高中教育</w:t>
      </w:r>
      <w:r>
        <w:rPr>
          <w:rFonts w:hint="default" w:ascii="Calibri" w:hAnsi="Calibri" w:eastAsia="宋体" w:cs="Calibri"/>
          <w:i w:val="0"/>
          <w:caps w:val="0"/>
          <w:color w:val="333333"/>
          <w:spacing w:val="0"/>
          <w:sz w:val="24"/>
          <w:szCs w:val="24"/>
        </w:rPr>
        <w:t>851.45</w:t>
      </w:r>
      <w:r>
        <w:rPr>
          <w:rFonts w:hint="eastAsia" w:ascii="宋体" w:hAnsi="宋体" w:eastAsia="宋体" w:cs="宋体"/>
          <w:i w:val="0"/>
          <w:caps w:val="0"/>
          <w:color w:val="333333"/>
          <w:spacing w:val="0"/>
          <w:sz w:val="24"/>
          <w:szCs w:val="24"/>
        </w:rPr>
        <w:t>万元，主要用于职业高级中学在职职工全年工资福利支出及机构正常运转公用经费。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2050401</w:t>
      </w:r>
      <w:r>
        <w:rPr>
          <w:rFonts w:hint="eastAsia" w:ascii="宋体" w:hAnsi="宋体" w:eastAsia="宋体" w:cs="宋体"/>
          <w:i w:val="0"/>
          <w:caps w:val="0"/>
          <w:color w:val="333333"/>
          <w:spacing w:val="0"/>
          <w:sz w:val="24"/>
          <w:szCs w:val="24"/>
        </w:rPr>
        <w:t>成人初等教育</w:t>
      </w:r>
      <w:r>
        <w:rPr>
          <w:rFonts w:hint="default" w:ascii="Calibri" w:hAnsi="Calibri" w:eastAsia="宋体" w:cs="Calibri"/>
          <w:i w:val="0"/>
          <w:caps w:val="0"/>
          <w:color w:val="333333"/>
          <w:spacing w:val="0"/>
          <w:sz w:val="24"/>
          <w:szCs w:val="24"/>
        </w:rPr>
        <w:t>60</w:t>
      </w:r>
      <w:r>
        <w:rPr>
          <w:rFonts w:hint="eastAsia" w:ascii="宋体" w:hAnsi="宋体" w:eastAsia="宋体" w:cs="宋体"/>
          <w:i w:val="0"/>
          <w:caps w:val="0"/>
          <w:color w:val="333333"/>
          <w:spacing w:val="0"/>
          <w:sz w:val="24"/>
          <w:szCs w:val="24"/>
        </w:rPr>
        <w:t>万元，主要用于各职成教文化技术服务中心工作经费和农村成人教育专项培训经费。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2050701</w:t>
      </w:r>
      <w:r>
        <w:rPr>
          <w:rFonts w:hint="eastAsia" w:ascii="宋体" w:hAnsi="宋体" w:eastAsia="宋体" w:cs="宋体"/>
          <w:i w:val="0"/>
          <w:caps w:val="0"/>
          <w:color w:val="333333"/>
          <w:spacing w:val="0"/>
          <w:sz w:val="24"/>
          <w:szCs w:val="24"/>
        </w:rPr>
        <w:t>特殊学校教育</w:t>
      </w:r>
      <w:r>
        <w:rPr>
          <w:rFonts w:hint="default" w:ascii="Calibri" w:hAnsi="Calibri" w:eastAsia="宋体" w:cs="Calibri"/>
          <w:i w:val="0"/>
          <w:caps w:val="0"/>
          <w:color w:val="333333"/>
          <w:spacing w:val="0"/>
          <w:sz w:val="24"/>
          <w:szCs w:val="24"/>
        </w:rPr>
        <w:t>73.63</w:t>
      </w:r>
      <w:r>
        <w:rPr>
          <w:rFonts w:hint="eastAsia" w:ascii="宋体" w:hAnsi="宋体" w:eastAsia="宋体" w:cs="宋体"/>
          <w:i w:val="0"/>
          <w:caps w:val="0"/>
          <w:color w:val="333333"/>
          <w:spacing w:val="0"/>
          <w:sz w:val="24"/>
          <w:szCs w:val="24"/>
        </w:rPr>
        <w:t>万元，主要用于特殊教育学校在职职工全年工资福利支出及机构正常运转公用经费。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2050801</w:t>
      </w:r>
      <w:r>
        <w:rPr>
          <w:rFonts w:hint="eastAsia" w:ascii="宋体" w:hAnsi="宋体" w:eastAsia="宋体" w:cs="宋体"/>
          <w:i w:val="0"/>
          <w:caps w:val="0"/>
          <w:color w:val="333333"/>
          <w:spacing w:val="0"/>
          <w:sz w:val="24"/>
          <w:szCs w:val="24"/>
        </w:rPr>
        <w:t>教师进修</w:t>
      </w:r>
      <w:r>
        <w:rPr>
          <w:rFonts w:hint="default" w:ascii="Calibri" w:hAnsi="Calibri" w:eastAsia="宋体" w:cs="Calibri"/>
          <w:i w:val="0"/>
          <w:caps w:val="0"/>
          <w:color w:val="333333"/>
          <w:spacing w:val="0"/>
          <w:sz w:val="24"/>
          <w:szCs w:val="24"/>
        </w:rPr>
        <w:t>416.41</w:t>
      </w:r>
      <w:r>
        <w:rPr>
          <w:rFonts w:hint="eastAsia" w:ascii="宋体" w:hAnsi="宋体" w:eastAsia="宋体" w:cs="宋体"/>
          <w:i w:val="0"/>
          <w:caps w:val="0"/>
          <w:color w:val="333333"/>
          <w:spacing w:val="0"/>
          <w:sz w:val="24"/>
          <w:szCs w:val="24"/>
        </w:rPr>
        <w:t>万元，主要用于教育科研中心在职职工全年工资福利支出及机构正常运转公用经费。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2080501</w:t>
      </w:r>
      <w:r>
        <w:rPr>
          <w:rFonts w:hint="eastAsia" w:ascii="宋体" w:hAnsi="宋体" w:eastAsia="宋体" w:cs="宋体"/>
          <w:i w:val="0"/>
          <w:caps w:val="0"/>
          <w:color w:val="333333"/>
          <w:spacing w:val="0"/>
          <w:sz w:val="24"/>
          <w:szCs w:val="24"/>
        </w:rPr>
        <w:t>归口管理的行政单位离退休</w:t>
      </w:r>
      <w:r>
        <w:rPr>
          <w:rFonts w:hint="default" w:ascii="Calibri" w:hAnsi="Calibri" w:eastAsia="宋体" w:cs="Calibri"/>
          <w:i w:val="0"/>
          <w:caps w:val="0"/>
          <w:color w:val="333333"/>
          <w:spacing w:val="0"/>
          <w:sz w:val="24"/>
          <w:szCs w:val="24"/>
        </w:rPr>
        <w:t>1.8</w:t>
      </w:r>
      <w:r>
        <w:rPr>
          <w:rFonts w:hint="eastAsia" w:ascii="宋体" w:hAnsi="宋体" w:eastAsia="宋体" w:cs="宋体"/>
          <w:i w:val="0"/>
          <w:caps w:val="0"/>
          <w:color w:val="333333"/>
          <w:spacing w:val="0"/>
          <w:sz w:val="24"/>
          <w:szCs w:val="24"/>
        </w:rPr>
        <w:t>万元，主要用于教育局机关离退休人员公用经费。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2080502</w:t>
      </w:r>
      <w:r>
        <w:rPr>
          <w:rFonts w:hint="eastAsia" w:ascii="宋体" w:hAnsi="宋体" w:eastAsia="宋体" w:cs="宋体"/>
          <w:i w:val="0"/>
          <w:caps w:val="0"/>
          <w:color w:val="333333"/>
          <w:spacing w:val="0"/>
          <w:sz w:val="24"/>
          <w:szCs w:val="24"/>
        </w:rPr>
        <w:t>事业单位离退休</w:t>
      </w:r>
      <w:r>
        <w:rPr>
          <w:rFonts w:hint="default" w:ascii="Calibri" w:hAnsi="Calibri" w:eastAsia="宋体" w:cs="Calibri"/>
          <w:i w:val="0"/>
          <w:caps w:val="0"/>
          <w:color w:val="333333"/>
          <w:spacing w:val="0"/>
          <w:sz w:val="24"/>
          <w:szCs w:val="24"/>
        </w:rPr>
        <w:t>227.88</w:t>
      </w:r>
      <w:r>
        <w:rPr>
          <w:rFonts w:hint="eastAsia" w:ascii="宋体" w:hAnsi="宋体" w:eastAsia="宋体" w:cs="宋体"/>
          <w:i w:val="0"/>
          <w:caps w:val="0"/>
          <w:color w:val="333333"/>
          <w:spacing w:val="0"/>
          <w:sz w:val="24"/>
          <w:szCs w:val="24"/>
        </w:rPr>
        <w:t>万元，主要用于各学校离退休人员公用经费支出。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2080505</w:t>
      </w:r>
      <w:r>
        <w:rPr>
          <w:rFonts w:hint="eastAsia" w:ascii="宋体" w:hAnsi="宋体" w:eastAsia="宋体" w:cs="宋体"/>
          <w:i w:val="0"/>
          <w:caps w:val="0"/>
          <w:color w:val="333333"/>
          <w:spacing w:val="0"/>
          <w:sz w:val="24"/>
          <w:szCs w:val="24"/>
        </w:rPr>
        <w:t>机关事业单位基本养老保险缴费支出</w:t>
      </w:r>
      <w:r>
        <w:rPr>
          <w:rFonts w:hint="default" w:ascii="Calibri" w:hAnsi="Calibri" w:eastAsia="宋体" w:cs="Calibri"/>
          <w:i w:val="0"/>
          <w:caps w:val="0"/>
          <w:color w:val="333333"/>
          <w:spacing w:val="0"/>
          <w:sz w:val="24"/>
          <w:szCs w:val="24"/>
        </w:rPr>
        <w:t>5647.59</w:t>
      </w:r>
      <w:r>
        <w:rPr>
          <w:rFonts w:hint="eastAsia" w:ascii="宋体" w:hAnsi="宋体" w:eastAsia="宋体" w:cs="宋体"/>
          <w:i w:val="0"/>
          <w:caps w:val="0"/>
          <w:color w:val="333333"/>
          <w:spacing w:val="0"/>
          <w:sz w:val="24"/>
          <w:szCs w:val="24"/>
        </w:rPr>
        <w:t>万元，主要用于各单位基本养老保险缴费支出。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2080506</w:t>
      </w:r>
      <w:r>
        <w:rPr>
          <w:rFonts w:hint="eastAsia" w:ascii="宋体" w:hAnsi="宋体" w:eastAsia="宋体" w:cs="宋体"/>
          <w:i w:val="0"/>
          <w:caps w:val="0"/>
          <w:color w:val="333333"/>
          <w:spacing w:val="0"/>
          <w:sz w:val="24"/>
          <w:szCs w:val="24"/>
        </w:rPr>
        <w:t>机关事业单位职业年金缴费支出</w:t>
      </w:r>
      <w:r>
        <w:rPr>
          <w:rFonts w:hint="default" w:ascii="Calibri" w:hAnsi="Calibri" w:eastAsia="宋体" w:cs="Calibri"/>
          <w:i w:val="0"/>
          <w:caps w:val="0"/>
          <w:color w:val="333333"/>
          <w:spacing w:val="0"/>
          <w:sz w:val="24"/>
          <w:szCs w:val="24"/>
        </w:rPr>
        <w:t>59.39</w:t>
      </w:r>
      <w:r>
        <w:rPr>
          <w:rFonts w:hint="eastAsia" w:ascii="宋体" w:hAnsi="宋体" w:eastAsia="宋体" w:cs="宋体"/>
          <w:i w:val="0"/>
          <w:caps w:val="0"/>
          <w:color w:val="333333"/>
          <w:spacing w:val="0"/>
          <w:sz w:val="24"/>
          <w:szCs w:val="24"/>
        </w:rPr>
        <w:t>万元，主要用于各单位职业年金缴费支出。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2080801</w:t>
      </w:r>
      <w:r>
        <w:rPr>
          <w:rFonts w:hint="eastAsia" w:ascii="宋体" w:hAnsi="宋体" w:eastAsia="宋体" w:cs="宋体"/>
          <w:i w:val="0"/>
          <w:caps w:val="0"/>
          <w:color w:val="333333"/>
          <w:spacing w:val="0"/>
          <w:sz w:val="24"/>
          <w:szCs w:val="24"/>
        </w:rPr>
        <w:t>死亡抚恤</w:t>
      </w:r>
      <w:r>
        <w:rPr>
          <w:rFonts w:hint="default" w:ascii="Calibri" w:hAnsi="Calibri" w:eastAsia="宋体" w:cs="Calibri"/>
          <w:i w:val="0"/>
          <w:caps w:val="0"/>
          <w:color w:val="333333"/>
          <w:spacing w:val="0"/>
          <w:sz w:val="24"/>
          <w:szCs w:val="24"/>
        </w:rPr>
        <w:t>0.36</w:t>
      </w:r>
      <w:r>
        <w:rPr>
          <w:rFonts w:hint="eastAsia" w:ascii="宋体" w:hAnsi="宋体" w:eastAsia="宋体" w:cs="宋体"/>
          <w:i w:val="0"/>
          <w:caps w:val="0"/>
          <w:color w:val="333333"/>
          <w:spacing w:val="0"/>
          <w:sz w:val="24"/>
          <w:szCs w:val="24"/>
        </w:rPr>
        <w:t>万元，主要用于各单位死亡人员抚恤支出。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2210201</w:t>
      </w:r>
      <w:r>
        <w:rPr>
          <w:rFonts w:hint="eastAsia" w:ascii="宋体" w:hAnsi="宋体" w:eastAsia="宋体" w:cs="宋体"/>
          <w:i w:val="0"/>
          <w:caps w:val="0"/>
          <w:color w:val="333333"/>
          <w:spacing w:val="0"/>
          <w:sz w:val="24"/>
          <w:szCs w:val="24"/>
        </w:rPr>
        <w:t>住房公积金</w:t>
      </w:r>
      <w:r>
        <w:rPr>
          <w:rFonts w:hint="default" w:ascii="Calibri" w:hAnsi="Calibri" w:eastAsia="宋体" w:cs="Calibri"/>
          <w:i w:val="0"/>
          <w:caps w:val="0"/>
          <w:color w:val="333333"/>
          <w:spacing w:val="0"/>
          <w:sz w:val="24"/>
          <w:szCs w:val="24"/>
        </w:rPr>
        <w:t>3806.18</w:t>
      </w:r>
      <w:r>
        <w:rPr>
          <w:rFonts w:hint="eastAsia" w:ascii="宋体" w:hAnsi="宋体" w:eastAsia="宋体" w:cs="宋体"/>
          <w:i w:val="0"/>
          <w:caps w:val="0"/>
          <w:color w:val="333333"/>
          <w:spacing w:val="0"/>
          <w:sz w:val="24"/>
          <w:szCs w:val="24"/>
        </w:rPr>
        <w:t>万元，主要用于各单位住房公积金缴纳支出。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（二）财政拨款安排支出按经济科目分类情况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按部门预算支出经济分类</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经济科目分组</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2050101</w:t>
      </w:r>
      <w:r>
        <w:rPr>
          <w:rFonts w:hint="eastAsia" w:ascii="宋体" w:hAnsi="宋体" w:eastAsia="宋体" w:cs="宋体"/>
          <w:i w:val="0"/>
          <w:caps w:val="0"/>
          <w:color w:val="333333"/>
          <w:spacing w:val="0"/>
          <w:sz w:val="24"/>
          <w:szCs w:val="24"/>
        </w:rPr>
        <w:t>行政运行</w:t>
      </w:r>
      <w:r>
        <w:rPr>
          <w:rFonts w:hint="default" w:ascii="Calibri" w:hAnsi="Calibri" w:eastAsia="宋体" w:cs="Calibri"/>
          <w:i w:val="0"/>
          <w:caps w:val="0"/>
          <w:color w:val="333333"/>
          <w:spacing w:val="0"/>
          <w:sz w:val="24"/>
          <w:szCs w:val="24"/>
        </w:rPr>
        <w:t>243.63</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243.63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213.93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28.26</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1.44</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2050102</w:t>
      </w:r>
      <w:r>
        <w:rPr>
          <w:rFonts w:hint="eastAsia" w:ascii="宋体" w:hAnsi="宋体" w:eastAsia="宋体" w:cs="宋体"/>
          <w:i w:val="0"/>
          <w:caps w:val="0"/>
          <w:color w:val="333333"/>
          <w:spacing w:val="0"/>
          <w:sz w:val="24"/>
          <w:szCs w:val="24"/>
        </w:rPr>
        <w:t>一般行政管理事务</w:t>
      </w:r>
      <w:r>
        <w:rPr>
          <w:rFonts w:hint="default" w:ascii="Calibri" w:hAnsi="Calibri" w:eastAsia="宋体" w:cs="Calibri"/>
          <w:i w:val="0"/>
          <w:caps w:val="0"/>
          <w:color w:val="333333"/>
          <w:spacing w:val="0"/>
          <w:sz w:val="24"/>
          <w:szCs w:val="24"/>
        </w:rPr>
        <w:t>5</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5</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4</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,310</w:t>
      </w:r>
      <w:r>
        <w:rPr>
          <w:rFonts w:hint="eastAsia" w:ascii="宋体" w:hAnsi="宋体" w:eastAsia="宋体" w:cs="宋体"/>
          <w:i w:val="0"/>
          <w:caps w:val="0"/>
          <w:color w:val="333333"/>
          <w:spacing w:val="0"/>
          <w:sz w:val="24"/>
          <w:szCs w:val="24"/>
        </w:rPr>
        <w:t>资本性支出</w:t>
      </w:r>
      <w:r>
        <w:rPr>
          <w:rFonts w:hint="default" w:ascii="Calibri" w:hAnsi="Calibri" w:eastAsia="宋体" w:cs="Calibri"/>
          <w:i w:val="0"/>
          <w:caps w:val="0"/>
          <w:color w:val="333333"/>
          <w:spacing w:val="0"/>
          <w:sz w:val="24"/>
          <w:szCs w:val="24"/>
        </w:rPr>
        <w:t>1</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2050199</w:t>
      </w:r>
      <w:r>
        <w:rPr>
          <w:rFonts w:hint="eastAsia" w:ascii="宋体" w:hAnsi="宋体" w:eastAsia="宋体" w:cs="宋体"/>
          <w:i w:val="0"/>
          <w:caps w:val="0"/>
          <w:color w:val="333333"/>
          <w:spacing w:val="0"/>
          <w:sz w:val="24"/>
          <w:szCs w:val="24"/>
        </w:rPr>
        <w:t>其他教育管理事务支出</w:t>
      </w:r>
      <w:r>
        <w:rPr>
          <w:rFonts w:hint="default" w:ascii="Calibri" w:hAnsi="Calibri" w:eastAsia="宋体" w:cs="Calibri"/>
          <w:i w:val="0"/>
          <w:caps w:val="0"/>
          <w:color w:val="333333"/>
          <w:spacing w:val="0"/>
          <w:sz w:val="24"/>
          <w:szCs w:val="24"/>
        </w:rPr>
        <w:t>1584.76</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1568.76</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989.76</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579</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16</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16</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2050202</w:t>
      </w:r>
      <w:r>
        <w:rPr>
          <w:rFonts w:hint="eastAsia" w:ascii="宋体" w:hAnsi="宋体" w:eastAsia="宋体" w:cs="宋体"/>
          <w:i w:val="0"/>
          <w:caps w:val="0"/>
          <w:color w:val="333333"/>
          <w:spacing w:val="0"/>
          <w:sz w:val="24"/>
          <w:szCs w:val="24"/>
        </w:rPr>
        <w:t>小学教育</w:t>
      </w:r>
      <w:r>
        <w:rPr>
          <w:rFonts w:hint="default" w:ascii="Calibri" w:hAnsi="Calibri" w:eastAsia="宋体" w:cs="Calibri"/>
          <w:i w:val="0"/>
          <w:caps w:val="0"/>
          <w:color w:val="333333"/>
          <w:spacing w:val="0"/>
          <w:sz w:val="24"/>
          <w:szCs w:val="24"/>
        </w:rPr>
        <w:t>17276.95</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17169.03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17023.34</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113.55</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32.14</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107.92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50</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57.92</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2050204</w:t>
      </w:r>
      <w:r>
        <w:rPr>
          <w:rFonts w:hint="eastAsia" w:ascii="宋体" w:hAnsi="宋体" w:eastAsia="宋体" w:cs="宋体"/>
          <w:i w:val="0"/>
          <w:caps w:val="0"/>
          <w:color w:val="333333"/>
          <w:spacing w:val="0"/>
          <w:sz w:val="24"/>
          <w:szCs w:val="24"/>
        </w:rPr>
        <w:t>高中教育</w:t>
      </w:r>
      <w:r>
        <w:rPr>
          <w:rFonts w:hint="default" w:ascii="Calibri" w:hAnsi="Calibri" w:eastAsia="宋体" w:cs="Calibri"/>
          <w:i w:val="0"/>
          <w:caps w:val="0"/>
          <w:color w:val="333333"/>
          <w:spacing w:val="0"/>
          <w:sz w:val="24"/>
          <w:szCs w:val="24"/>
        </w:rPr>
        <w:t>3764.91</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3754.91</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3322.77</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363.42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0.72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,310</w:t>
      </w:r>
      <w:r>
        <w:rPr>
          <w:rFonts w:hint="eastAsia" w:ascii="宋体" w:hAnsi="宋体" w:eastAsia="宋体" w:cs="宋体"/>
          <w:i w:val="0"/>
          <w:caps w:val="0"/>
          <w:color w:val="333333"/>
          <w:spacing w:val="0"/>
          <w:sz w:val="24"/>
          <w:szCs w:val="24"/>
        </w:rPr>
        <w:t>资本性支出</w:t>
      </w:r>
      <w:r>
        <w:rPr>
          <w:rFonts w:hint="default" w:ascii="Calibri" w:hAnsi="Calibri" w:eastAsia="宋体" w:cs="Calibri"/>
          <w:i w:val="0"/>
          <w:caps w:val="0"/>
          <w:color w:val="333333"/>
          <w:spacing w:val="0"/>
          <w:sz w:val="24"/>
          <w:szCs w:val="24"/>
        </w:rPr>
        <w:t>68</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2050299</w:t>
      </w:r>
      <w:r>
        <w:rPr>
          <w:rFonts w:hint="eastAsia" w:ascii="宋体" w:hAnsi="宋体" w:eastAsia="宋体" w:cs="宋体"/>
          <w:i w:val="0"/>
          <w:caps w:val="0"/>
          <w:color w:val="333333"/>
          <w:spacing w:val="0"/>
          <w:sz w:val="24"/>
          <w:szCs w:val="24"/>
        </w:rPr>
        <w:t>其他普通教育支出</w:t>
      </w:r>
      <w:r>
        <w:rPr>
          <w:rFonts w:hint="default" w:ascii="Calibri" w:hAnsi="Calibri" w:eastAsia="宋体" w:cs="Calibri"/>
          <w:i w:val="0"/>
          <w:caps w:val="0"/>
          <w:color w:val="333333"/>
          <w:spacing w:val="0"/>
          <w:sz w:val="24"/>
          <w:szCs w:val="24"/>
        </w:rPr>
        <w:t>502</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502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502</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2050401</w:t>
      </w:r>
      <w:r>
        <w:rPr>
          <w:rFonts w:hint="eastAsia" w:ascii="宋体" w:hAnsi="宋体" w:eastAsia="宋体" w:cs="宋体"/>
          <w:i w:val="0"/>
          <w:caps w:val="0"/>
          <w:color w:val="333333"/>
          <w:spacing w:val="0"/>
          <w:sz w:val="24"/>
          <w:szCs w:val="24"/>
        </w:rPr>
        <w:t>成人初等教育</w:t>
      </w:r>
      <w:r>
        <w:rPr>
          <w:rFonts w:hint="default" w:ascii="Calibri" w:hAnsi="Calibri" w:eastAsia="宋体" w:cs="Calibri"/>
          <w:i w:val="0"/>
          <w:caps w:val="0"/>
          <w:color w:val="333333"/>
          <w:spacing w:val="0"/>
          <w:sz w:val="24"/>
          <w:szCs w:val="24"/>
        </w:rPr>
        <w:t>60</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60</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50</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,310</w:t>
      </w:r>
      <w:r>
        <w:rPr>
          <w:rFonts w:hint="eastAsia" w:ascii="宋体" w:hAnsi="宋体" w:eastAsia="宋体" w:cs="宋体"/>
          <w:i w:val="0"/>
          <w:caps w:val="0"/>
          <w:color w:val="333333"/>
          <w:spacing w:val="0"/>
          <w:sz w:val="24"/>
          <w:szCs w:val="24"/>
        </w:rPr>
        <w:t>资本性支出</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2050701</w:t>
      </w:r>
      <w:r>
        <w:rPr>
          <w:rFonts w:hint="eastAsia" w:ascii="宋体" w:hAnsi="宋体" w:eastAsia="宋体" w:cs="宋体"/>
          <w:i w:val="0"/>
          <w:caps w:val="0"/>
          <w:color w:val="333333"/>
          <w:spacing w:val="0"/>
          <w:sz w:val="24"/>
          <w:szCs w:val="24"/>
        </w:rPr>
        <w:t>特殊学校教育</w:t>
      </w:r>
      <w:r>
        <w:rPr>
          <w:rFonts w:hint="default" w:ascii="Calibri" w:hAnsi="Calibri" w:eastAsia="宋体" w:cs="Calibri"/>
          <w:i w:val="0"/>
          <w:caps w:val="0"/>
          <w:color w:val="333333"/>
          <w:spacing w:val="0"/>
          <w:sz w:val="24"/>
          <w:szCs w:val="24"/>
        </w:rPr>
        <w:t>73.63</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63.63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63.13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0.5</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2080501</w:t>
      </w:r>
      <w:r>
        <w:rPr>
          <w:rFonts w:hint="eastAsia" w:ascii="宋体" w:hAnsi="宋体" w:eastAsia="宋体" w:cs="宋体"/>
          <w:i w:val="0"/>
          <w:caps w:val="0"/>
          <w:color w:val="333333"/>
          <w:spacing w:val="0"/>
          <w:sz w:val="24"/>
          <w:szCs w:val="24"/>
        </w:rPr>
        <w:t>归口管理的行政单位离退休</w:t>
      </w:r>
      <w:r>
        <w:rPr>
          <w:rFonts w:hint="default" w:ascii="Calibri" w:hAnsi="Calibri" w:eastAsia="宋体" w:cs="Calibri"/>
          <w:i w:val="0"/>
          <w:caps w:val="0"/>
          <w:color w:val="333333"/>
          <w:spacing w:val="0"/>
          <w:sz w:val="24"/>
          <w:szCs w:val="24"/>
        </w:rPr>
        <w:t>1.8</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1.8</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1.8</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2080505</w:t>
      </w:r>
      <w:r>
        <w:rPr>
          <w:rFonts w:hint="eastAsia" w:ascii="宋体" w:hAnsi="宋体" w:eastAsia="宋体" w:cs="宋体"/>
          <w:i w:val="0"/>
          <w:caps w:val="0"/>
          <w:color w:val="333333"/>
          <w:spacing w:val="0"/>
          <w:sz w:val="24"/>
          <w:szCs w:val="24"/>
        </w:rPr>
        <w:t>机关事业单位基本养老保险缴费支出</w:t>
      </w:r>
      <w:r>
        <w:rPr>
          <w:rFonts w:hint="default" w:ascii="Calibri" w:hAnsi="Calibri" w:eastAsia="宋体" w:cs="Calibri"/>
          <w:i w:val="0"/>
          <w:caps w:val="0"/>
          <w:color w:val="333333"/>
          <w:spacing w:val="0"/>
          <w:sz w:val="24"/>
          <w:szCs w:val="24"/>
        </w:rPr>
        <w:t>5647.59</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5647.59</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5647.59</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2210201</w:t>
      </w:r>
      <w:r>
        <w:rPr>
          <w:rFonts w:hint="eastAsia" w:ascii="宋体" w:hAnsi="宋体" w:eastAsia="宋体" w:cs="宋体"/>
          <w:i w:val="0"/>
          <w:caps w:val="0"/>
          <w:color w:val="333333"/>
          <w:spacing w:val="0"/>
          <w:sz w:val="24"/>
          <w:szCs w:val="24"/>
        </w:rPr>
        <w:t>住房公积金</w:t>
      </w:r>
      <w:r>
        <w:rPr>
          <w:rFonts w:hint="default" w:ascii="Calibri" w:hAnsi="Calibri" w:eastAsia="宋体" w:cs="Calibri"/>
          <w:i w:val="0"/>
          <w:caps w:val="0"/>
          <w:color w:val="333333"/>
          <w:spacing w:val="0"/>
          <w:sz w:val="24"/>
          <w:szCs w:val="24"/>
        </w:rPr>
        <w:t>3806.18</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3806.18</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3806.18</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2050801</w:t>
      </w:r>
      <w:r>
        <w:rPr>
          <w:rFonts w:hint="eastAsia" w:ascii="宋体" w:hAnsi="宋体" w:eastAsia="宋体" w:cs="宋体"/>
          <w:i w:val="0"/>
          <w:caps w:val="0"/>
          <w:color w:val="333333"/>
          <w:spacing w:val="0"/>
          <w:sz w:val="24"/>
          <w:szCs w:val="24"/>
        </w:rPr>
        <w:t>教师进修</w:t>
      </w:r>
      <w:r>
        <w:rPr>
          <w:rFonts w:hint="default" w:ascii="Calibri" w:hAnsi="Calibri" w:eastAsia="宋体" w:cs="Calibri"/>
          <w:i w:val="0"/>
          <w:caps w:val="0"/>
          <w:color w:val="333333"/>
          <w:spacing w:val="0"/>
          <w:sz w:val="24"/>
          <w:szCs w:val="24"/>
        </w:rPr>
        <w:t>416.41</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416.41</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397.91</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14.5</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,310</w:t>
      </w:r>
      <w:r>
        <w:rPr>
          <w:rFonts w:hint="eastAsia" w:ascii="宋体" w:hAnsi="宋体" w:eastAsia="宋体" w:cs="宋体"/>
          <w:i w:val="0"/>
          <w:caps w:val="0"/>
          <w:color w:val="333333"/>
          <w:spacing w:val="0"/>
          <w:sz w:val="24"/>
          <w:szCs w:val="24"/>
        </w:rPr>
        <w:t>资本性支出</w:t>
      </w:r>
      <w:r>
        <w:rPr>
          <w:rFonts w:hint="default" w:ascii="Calibri" w:hAnsi="Calibri" w:eastAsia="宋体" w:cs="Calibri"/>
          <w:i w:val="0"/>
          <w:caps w:val="0"/>
          <w:color w:val="333333"/>
          <w:spacing w:val="0"/>
          <w:sz w:val="24"/>
          <w:szCs w:val="24"/>
        </w:rPr>
        <w:t>4</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2080502</w:t>
      </w:r>
      <w:r>
        <w:rPr>
          <w:rFonts w:hint="eastAsia" w:ascii="宋体" w:hAnsi="宋体" w:eastAsia="宋体" w:cs="宋体"/>
          <w:i w:val="0"/>
          <w:caps w:val="0"/>
          <w:color w:val="333333"/>
          <w:spacing w:val="0"/>
          <w:sz w:val="24"/>
          <w:szCs w:val="24"/>
        </w:rPr>
        <w:t>事业单位离退休</w:t>
      </w:r>
      <w:r>
        <w:rPr>
          <w:rFonts w:hint="default" w:ascii="Calibri" w:hAnsi="Calibri" w:eastAsia="宋体" w:cs="Calibri"/>
          <w:i w:val="0"/>
          <w:caps w:val="0"/>
          <w:color w:val="333333"/>
          <w:spacing w:val="0"/>
          <w:sz w:val="24"/>
          <w:szCs w:val="24"/>
        </w:rPr>
        <w:t>227.88</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227.88</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72.4</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155.48</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2050304</w:t>
      </w:r>
      <w:r>
        <w:rPr>
          <w:rFonts w:hint="eastAsia" w:ascii="宋体" w:hAnsi="宋体" w:eastAsia="宋体" w:cs="宋体"/>
          <w:i w:val="0"/>
          <w:caps w:val="0"/>
          <w:color w:val="333333"/>
          <w:spacing w:val="0"/>
          <w:sz w:val="24"/>
          <w:szCs w:val="24"/>
        </w:rPr>
        <w:t>职业高中教育</w:t>
      </w:r>
      <w:r>
        <w:rPr>
          <w:rFonts w:hint="default" w:ascii="Calibri" w:hAnsi="Calibri" w:eastAsia="宋体" w:cs="Calibri"/>
          <w:i w:val="0"/>
          <w:caps w:val="0"/>
          <w:color w:val="333333"/>
          <w:spacing w:val="0"/>
          <w:sz w:val="24"/>
          <w:szCs w:val="24"/>
        </w:rPr>
        <w:t>851.45</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851.45</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827.53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23.92</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2080506</w:t>
      </w:r>
      <w:r>
        <w:rPr>
          <w:rFonts w:hint="eastAsia" w:ascii="宋体" w:hAnsi="宋体" w:eastAsia="宋体" w:cs="宋体"/>
          <w:i w:val="0"/>
          <w:caps w:val="0"/>
          <w:color w:val="333333"/>
          <w:spacing w:val="0"/>
          <w:sz w:val="24"/>
          <w:szCs w:val="24"/>
        </w:rPr>
        <w:t>机关事业单位职业年金缴费支出</w:t>
      </w:r>
      <w:r>
        <w:rPr>
          <w:rFonts w:hint="default" w:ascii="Calibri" w:hAnsi="Calibri" w:eastAsia="宋体" w:cs="Calibri"/>
          <w:i w:val="0"/>
          <w:caps w:val="0"/>
          <w:color w:val="333333"/>
          <w:spacing w:val="0"/>
          <w:sz w:val="24"/>
          <w:szCs w:val="24"/>
        </w:rPr>
        <w:t>59.39</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59.39</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59.39</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2050203</w:t>
      </w:r>
      <w:r>
        <w:rPr>
          <w:rFonts w:hint="eastAsia" w:ascii="宋体" w:hAnsi="宋体" w:eastAsia="宋体" w:cs="宋体"/>
          <w:i w:val="0"/>
          <w:caps w:val="0"/>
          <w:color w:val="333333"/>
          <w:spacing w:val="0"/>
          <w:sz w:val="24"/>
          <w:szCs w:val="24"/>
        </w:rPr>
        <w:t>初中教育</w:t>
      </w:r>
      <w:r>
        <w:rPr>
          <w:rFonts w:hint="default" w:ascii="Calibri" w:hAnsi="Calibri" w:eastAsia="宋体" w:cs="Calibri"/>
          <w:i w:val="0"/>
          <w:caps w:val="0"/>
          <w:color w:val="333333"/>
          <w:spacing w:val="0"/>
          <w:sz w:val="24"/>
          <w:szCs w:val="24"/>
        </w:rPr>
        <w:t>9145.31</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9145.31</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9085.23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56.12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3.96</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2050201</w:t>
      </w:r>
      <w:r>
        <w:rPr>
          <w:rFonts w:hint="eastAsia" w:ascii="宋体" w:hAnsi="宋体" w:eastAsia="宋体" w:cs="宋体"/>
          <w:i w:val="0"/>
          <w:caps w:val="0"/>
          <w:color w:val="333333"/>
          <w:spacing w:val="0"/>
          <w:sz w:val="24"/>
          <w:szCs w:val="24"/>
        </w:rPr>
        <w:t>学前教育</w:t>
      </w:r>
      <w:r>
        <w:rPr>
          <w:rFonts w:hint="default" w:ascii="Calibri" w:hAnsi="Calibri" w:eastAsia="宋体" w:cs="Calibri"/>
          <w:i w:val="0"/>
          <w:caps w:val="0"/>
          <w:color w:val="333333"/>
          <w:spacing w:val="0"/>
          <w:sz w:val="24"/>
          <w:szCs w:val="24"/>
        </w:rPr>
        <w:t>614.83</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614.83</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Calibri" w:hAnsi="Calibri" w:eastAsia="宋体" w:cs="Calibri"/>
          <w:i w:val="0"/>
          <w:caps w:val="0"/>
          <w:color w:val="333333"/>
          <w:spacing w:val="0"/>
          <w:sz w:val="24"/>
          <w:szCs w:val="24"/>
        </w:rPr>
        <w:t>606.05</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Calibri" w:hAnsi="Calibri" w:eastAsia="宋体" w:cs="Calibri"/>
          <w:i w:val="0"/>
          <w:caps w:val="0"/>
          <w:color w:val="333333"/>
          <w:spacing w:val="0"/>
          <w:sz w:val="24"/>
          <w:szCs w:val="24"/>
        </w:rPr>
        <w:t>8.42</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0.36</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2080801</w:t>
      </w:r>
      <w:r>
        <w:rPr>
          <w:rFonts w:hint="eastAsia" w:ascii="宋体" w:hAnsi="宋体" w:eastAsia="宋体" w:cs="宋体"/>
          <w:i w:val="0"/>
          <w:caps w:val="0"/>
          <w:color w:val="333333"/>
          <w:spacing w:val="0"/>
          <w:sz w:val="24"/>
          <w:szCs w:val="24"/>
        </w:rPr>
        <w:t>死亡抚恤</w:t>
      </w:r>
      <w:r>
        <w:rPr>
          <w:rFonts w:hint="default" w:ascii="Calibri" w:hAnsi="Calibri" w:eastAsia="宋体" w:cs="Calibri"/>
          <w:i w:val="0"/>
          <w:caps w:val="0"/>
          <w:color w:val="333333"/>
          <w:spacing w:val="0"/>
          <w:sz w:val="24"/>
          <w:szCs w:val="24"/>
        </w:rPr>
        <w:t>0.36</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0.36</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Calibri" w:hAnsi="Calibri" w:eastAsia="宋体" w:cs="Calibri"/>
          <w:i w:val="0"/>
          <w:caps w:val="0"/>
          <w:color w:val="333333"/>
          <w:spacing w:val="0"/>
          <w:sz w:val="24"/>
          <w:szCs w:val="24"/>
        </w:rPr>
        <w:t>0.36</w:t>
      </w:r>
      <w:r>
        <w:rPr>
          <w:rFonts w:hint="eastAsia" w:ascii="宋体" w:hAnsi="宋体" w:eastAsia="宋体" w:cs="宋体"/>
          <w:i w:val="0"/>
          <w:caps w:val="0"/>
          <w:color w:val="333333"/>
          <w:spacing w:val="0"/>
          <w:sz w:val="24"/>
          <w:szCs w:val="24"/>
        </w:rPr>
        <w:t>万元；项目支出</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五、县对下专项转移支付情况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本单位</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年无县对下专项转移支付项目。</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六、政府采购预算情况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无</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七、预算收支增减变化情况说明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w:t>
      </w:r>
      <w:r>
        <w:rPr>
          <w:rFonts w:hint="eastAsia" w:ascii="宋体" w:hAnsi="宋体" w:eastAsia="宋体" w:cs="宋体"/>
          <w:i w:val="0"/>
          <w:caps w:val="0"/>
          <w:color w:val="333333"/>
          <w:spacing w:val="0"/>
          <w:sz w:val="21"/>
          <w:szCs w:val="21"/>
        </w:rPr>
        <w:t>“三公”经费增减变化情况及原因说明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年盈江县教育局“三公”经费预算数为</w:t>
      </w:r>
      <w:r>
        <w:rPr>
          <w:rFonts w:hint="default" w:ascii="Calibri" w:hAnsi="Calibri" w:eastAsia="宋体" w:cs="Calibri"/>
          <w:i w:val="0"/>
          <w:caps w:val="0"/>
          <w:color w:val="333333"/>
          <w:spacing w:val="0"/>
          <w:sz w:val="24"/>
          <w:szCs w:val="24"/>
        </w:rPr>
        <w:t>93.63</w:t>
      </w:r>
      <w:r>
        <w:rPr>
          <w:rFonts w:hint="eastAsia" w:ascii="宋体" w:hAnsi="宋体" w:eastAsia="宋体" w:cs="宋体"/>
          <w:i w:val="0"/>
          <w:caps w:val="0"/>
          <w:color w:val="333333"/>
          <w:spacing w:val="0"/>
          <w:sz w:val="24"/>
          <w:szCs w:val="24"/>
        </w:rPr>
        <w:t>万元，其中：因公出国（境）费用</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万元、公务接待费</w:t>
      </w:r>
      <w:r>
        <w:rPr>
          <w:rFonts w:hint="default" w:ascii="Calibri" w:hAnsi="Calibri" w:eastAsia="宋体" w:cs="Calibri"/>
          <w:i w:val="0"/>
          <w:caps w:val="0"/>
          <w:color w:val="333333"/>
          <w:spacing w:val="0"/>
          <w:sz w:val="24"/>
          <w:szCs w:val="24"/>
        </w:rPr>
        <w:t>39.75</w:t>
      </w:r>
      <w:r>
        <w:rPr>
          <w:rFonts w:hint="eastAsia" w:ascii="宋体" w:hAnsi="宋体" w:eastAsia="宋体" w:cs="宋体"/>
          <w:i w:val="0"/>
          <w:caps w:val="0"/>
          <w:color w:val="333333"/>
          <w:spacing w:val="0"/>
          <w:sz w:val="24"/>
          <w:szCs w:val="24"/>
        </w:rPr>
        <w:t>万元、公务用车购置及运行费</w:t>
      </w:r>
      <w:r>
        <w:rPr>
          <w:rFonts w:hint="default" w:ascii="Calibri" w:hAnsi="Calibri" w:eastAsia="宋体" w:cs="Calibri"/>
          <w:i w:val="0"/>
          <w:caps w:val="0"/>
          <w:color w:val="333333"/>
          <w:spacing w:val="0"/>
          <w:sz w:val="24"/>
          <w:szCs w:val="24"/>
        </w:rPr>
        <w:t>53.88</w:t>
      </w:r>
      <w:r>
        <w:rPr>
          <w:rFonts w:hint="eastAsia" w:ascii="宋体" w:hAnsi="宋体" w:eastAsia="宋体" w:cs="宋体"/>
          <w:i w:val="0"/>
          <w:caps w:val="0"/>
          <w:color w:val="333333"/>
          <w:spacing w:val="0"/>
          <w:sz w:val="24"/>
          <w:szCs w:val="24"/>
        </w:rPr>
        <w:t>万元</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其中</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公务用车购置费</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万元、公务用车运行费</w:t>
      </w:r>
      <w:r>
        <w:rPr>
          <w:rFonts w:hint="default" w:ascii="Calibri" w:hAnsi="Calibri" w:eastAsia="宋体" w:cs="Calibri"/>
          <w:i w:val="0"/>
          <w:caps w:val="0"/>
          <w:color w:val="333333"/>
          <w:spacing w:val="0"/>
          <w:sz w:val="24"/>
          <w:szCs w:val="24"/>
        </w:rPr>
        <w:t>53.88</w:t>
      </w:r>
      <w:r>
        <w:rPr>
          <w:rFonts w:hint="eastAsia" w:ascii="宋体" w:hAnsi="宋体" w:eastAsia="宋体" w:cs="宋体"/>
          <w:i w:val="0"/>
          <w:caps w:val="0"/>
          <w:color w:val="333333"/>
          <w:spacing w:val="0"/>
          <w:sz w:val="24"/>
          <w:szCs w:val="24"/>
        </w:rPr>
        <w:t>万元。与上年“三公”经费预算数</w:t>
      </w:r>
      <w:r>
        <w:rPr>
          <w:rFonts w:hint="default" w:ascii="Calibri" w:hAnsi="Calibri" w:eastAsia="宋体" w:cs="Calibri"/>
          <w:i w:val="0"/>
          <w:caps w:val="0"/>
          <w:color w:val="333333"/>
          <w:spacing w:val="0"/>
          <w:sz w:val="24"/>
          <w:szCs w:val="24"/>
        </w:rPr>
        <w:t>94.63</w:t>
      </w:r>
      <w:r>
        <w:rPr>
          <w:rFonts w:hint="eastAsia" w:ascii="宋体" w:hAnsi="宋体" w:eastAsia="宋体" w:cs="宋体"/>
          <w:i w:val="0"/>
          <w:caps w:val="0"/>
          <w:color w:val="333333"/>
          <w:spacing w:val="0"/>
          <w:sz w:val="24"/>
          <w:szCs w:val="24"/>
        </w:rPr>
        <w:t>万元相比减少</w:t>
      </w:r>
      <w:r>
        <w:rPr>
          <w:rFonts w:hint="default" w:ascii="Calibri" w:hAnsi="Calibri" w:eastAsia="宋体" w:cs="Calibri"/>
          <w:i w:val="0"/>
          <w:caps w:val="0"/>
          <w:color w:val="333333"/>
          <w:spacing w:val="0"/>
          <w:sz w:val="24"/>
          <w:szCs w:val="24"/>
        </w:rPr>
        <w:t>1</w:t>
      </w:r>
      <w:r>
        <w:rPr>
          <w:rFonts w:hint="eastAsia" w:ascii="宋体" w:hAnsi="宋体" w:eastAsia="宋体" w:cs="宋体"/>
          <w:i w:val="0"/>
          <w:caps w:val="0"/>
          <w:color w:val="333333"/>
          <w:spacing w:val="0"/>
          <w:sz w:val="24"/>
          <w:szCs w:val="24"/>
        </w:rPr>
        <w:t>万元，减少</w:t>
      </w:r>
      <w:r>
        <w:rPr>
          <w:rFonts w:hint="default" w:ascii="Calibri" w:hAnsi="Calibri" w:eastAsia="宋体" w:cs="Calibri"/>
          <w:i w:val="0"/>
          <w:caps w:val="0"/>
          <w:color w:val="333333"/>
          <w:spacing w:val="0"/>
          <w:sz w:val="24"/>
          <w:szCs w:val="24"/>
        </w:rPr>
        <w:t>1.06%</w:t>
      </w:r>
      <w:r>
        <w:rPr>
          <w:rFonts w:hint="eastAsia" w:ascii="宋体" w:hAnsi="宋体" w:eastAsia="宋体" w:cs="宋体"/>
          <w:i w:val="0"/>
          <w:caps w:val="0"/>
          <w:color w:val="333333"/>
          <w:spacing w:val="0"/>
          <w:sz w:val="24"/>
          <w:szCs w:val="24"/>
        </w:rPr>
        <w:t>。其中</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因公出国（境）费用</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万元与上年预算数</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万元持平，公务接待费</w:t>
      </w:r>
      <w:r>
        <w:rPr>
          <w:rFonts w:hint="default" w:ascii="Calibri" w:hAnsi="Calibri" w:eastAsia="宋体" w:cs="Calibri"/>
          <w:i w:val="0"/>
          <w:caps w:val="0"/>
          <w:color w:val="333333"/>
          <w:spacing w:val="0"/>
          <w:sz w:val="24"/>
          <w:szCs w:val="24"/>
        </w:rPr>
        <w:t>39.75</w:t>
      </w:r>
      <w:r>
        <w:rPr>
          <w:rFonts w:hint="eastAsia" w:ascii="宋体" w:hAnsi="宋体" w:eastAsia="宋体" w:cs="宋体"/>
          <w:i w:val="0"/>
          <w:caps w:val="0"/>
          <w:color w:val="333333"/>
          <w:spacing w:val="0"/>
          <w:sz w:val="24"/>
          <w:szCs w:val="24"/>
        </w:rPr>
        <w:t>万元与上年预算数</w:t>
      </w:r>
      <w:r>
        <w:rPr>
          <w:rFonts w:hint="default" w:ascii="Calibri" w:hAnsi="Calibri" w:eastAsia="宋体" w:cs="Calibri"/>
          <w:i w:val="0"/>
          <w:caps w:val="0"/>
          <w:color w:val="333333"/>
          <w:spacing w:val="0"/>
          <w:sz w:val="24"/>
          <w:szCs w:val="24"/>
        </w:rPr>
        <w:t>39.75</w:t>
      </w:r>
      <w:r>
        <w:rPr>
          <w:rFonts w:hint="eastAsia" w:ascii="宋体" w:hAnsi="宋体" w:eastAsia="宋体" w:cs="宋体"/>
          <w:i w:val="0"/>
          <w:caps w:val="0"/>
          <w:color w:val="333333"/>
          <w:spacing w:val="0"/>
          <w:sz w:val="24"/>
          <w:szCs w:val="24"/>
        </w:rPr>
        <w:t>万元持平，公务用车购置及运行费</w:t>
      </w:r>
      <w:r>
        <w:rPr>
          <w:rFonts w:hint="default" w:ascii="Calibri" w:hAnsi="Calibri" w:eastAsia="宋体" w:cs="Calibri"/>
          <w:i w:val="0"/>
          <w:caps w:val="0"/>
          <w:color w:val="333333"/>
          <w:spacing w:val="0"/>
          <w:sz w:val="24"/>
          <w:szCs w:val="24"/>
        </w:rPr>
        <w:t>53.88</w:t>
      </w:r>
      <w:r>
        <w:rPr>
          <w:rFonts w:hint="eastAsia" w:ascii="宋体" w:hAnsi="宋体" w:eastAsia="宋体" w:cs="宋体"/>
          <w:i w:val="0"/>
          <w:caps w:val="0"/>
          <w:color w:val="333333"/>
          <w:spacing w:val="0"/>
          <w:sz w:val="24"/>
          <w:szCs w:val="24"/>
        </w:rPr>
        <w:t>万元，其中</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公务用车购置费</w:t>
      </w:r>
      <w:r>
        <w:rPr>
          <w:rFonts w:hint="default" w:ascii="Calibri" w:hAnsi="Calibri" w:eastAsia="宋体" w:cs="Calibri"/>
          <w:i w:val="0"/>
          <w:caps w:val="0"/>
          <w:color w:val="333333"/>
          <w:spacing w:val="0"/>
          <w:sz w:val="24"/>
          <w:szCs w:val="24"/>
        </w:rPr>
        <w:t>0</w:t>
      </w:r>
      <w:r>
        <w:rPr>
          <w:rFonts w:hint="eastAsia" w:ascii="宋体" w:hAnsi="宋体" w:eastAsia="宋体" w:cs="宋体"/>
          <w:i w:val="0"/>
          <w:caps w:val="0"/>
          <w:color w:val="333333"/>
          <w:spacing w:val="0"/>
          <w:sz w:val="24"/>
          <w:szCs w:val="24"/>
        </w:rPr>
        <w:t>万元、公务用车运行费</w:t>
      </w:r>
      <w:r>
        <w:rPr>
          <w:rFonts w:hint="default" w:ascii="Calibri" w:hAnsi="Calibri" w:eastAsia="宋体" w:cs="Calibri"/>
          <w:i w:val="0"/>
          <w:caps w:val="0"/>
          <w:color w:val="333333"/>
          <w:spacing w:val="0"/>
          <w:sz w:val="24"/>
          <w:szCs w:val="24"/>
        </w:rPr>
        <w:t>53.88</w:t>
      </w:r>
      <w:r>
        <w:rPr>
          <w:rFonts w:hint="eastAsia" w:ascii="宋体" w:hAnsi="宋体" w:eastAsia="宋体" w:cs="宋体"/>
          <w:i w:val="0"/>
          <w:caps w:val="0"/>
          <w:color w:val="333333"/>
          <w:spacing w:val="0"/>
          <w:sz w:val="24"/>
          <w:szCs w:val="24"/>
        </w:rPr>
        <w:t>万元与上年预算数</w:t>
      </w:r>
      <w:r>
        <w:rPr>
          <w:rFonts w:hint="default" w:ascii="Calibri" w:hAnsi="Calibri" w:eastAsia="宋体" w:cs="Calibri"/>
          <w:i w:val="0"/>
          <w:caps w:val="0"/>
          <w:color w:val="333333"/>
          <w:spacing w:val="0"/>
          <w:sz w:val="24"/>
          <w:szCs w:val="24"/>
        </w:rPr>
        <w:t>54.88</w:t>
      </w:r>
      <w:r>
        <w:rPr>
          <w:rFonts w:hint="eastAsia" w:ascii="宋体" w:hAnsi="宋体" w:eastAsia="宋体" w:cs="宋体"/>
          <w:i w:val="0"/>
          <w:caps w:val="0"/>
          <w:color w:val="333333"/>
          <w:spacing w:val="0"/>
          <w:sz w:val="24"/>
          <w:szCs w:val="24"/>
        </w:rPr>
        <w:t>万元减少</w:t>
      </w:r>
      <w:r>
        <w:rPr>
          <w:rFonts w:hint="default" w:ascii="Calibri" w:hAnsi="Calibri" w:eastAsia="宋体" w:cs="Calibri"/>
          <w:i w:val="0"/>
          <w:caps w:val="0"/>
          <w:color w:val="333333"/>
          <w:spacing w:val="0"/>
          <w:sz w:val="24"/>
          <w:szCs w:val="24"/>
        </w:rPr>
        <w:t>1</w:t>
      </w:r>
      <w:r>
        <w:rPr>
          <w:rFonts w:hint="eastAsia" w:ascii="宋体" w:hAnsi="宋体" w:eastAsia="宋体" w:cs="宋体"/>
          <w:i w:val="0"/>
          <w:caps w:val="0"/>
          <w:color w:val="333333"/>
          <w:spacing w:val="0"/>
          <w:sz w:val="24"/>
          <w:szCs w:val="24"/>
        </w:rPr>
        <w:t>万元，减少</w:t>
      </w:r>
      <w:r>
        <w:rPr>
          <w:rFonts w:hint="default" w:ascii="Calibri" w:hAnsi="Calibri" w:eastAsia="宋体" w:cs="Calibri"/>
          <w:i w:val="0"/>
          <w:caps w:val="0"/>
          <w:color w:val="333333"/>
          <w:spacing w:val="0"/>
          <w:sz w:val="24"/>
          <w:szCs w:val="24"/>
        </w:rPr>
        <w:t>1.82%</w:t>
      </w:r>
      <w:r>
        <w:rPr>
          <w:rFonts w:hint="eastAsia" w:ascii="宋体" w:hAnsi="宋体" w:eastAsia="宋体" w:cs="宋体"/>
          <w:i w:val="0"/>
          <w:caps w:val="0"/>
          <w:color w:val="333333"/>
          <w:spacing w:val="0"/>
          <w:sz w:val="24"/>
          <w:szCs w:val="24"/>
        </w:rPr>
        <w:t>。原因为年度厉行节约，严格缩减三公经费支出预算。</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（二）预算收入增减变化情况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年部门预算收入</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万元，比上年预算数</w:t>
      </w:r>
      <w:r>
        <w:rPr>
          <w:rFonts w:hint="default" w:ascii="Calibri" w:hAnsi="Calibri" w:eastAsia="宋体" w:cs="Calibri"/>
          <w:i w:val="0"/>
          <w:caps w:val="0"/>
          <w:color w:val="333333"/>
          <w:spacing w:val="0"/>
          <w:sz w:val="24"/>
          <w:szCs w:val="24"/>
        </w:rPr>
        <w:t>37199.16</w:t>
      </w:r>
      <w:r>
        <w:rPr>
          <w:rFonts w:hint="eastAsia" w:ascii="宋体" w:hAnsi="宋体" w:eastAsia="宋体" w:cs="宋体"/>
          <w:i w:val="0"/>
          <w:caps w:val="0"/>
          <w:color w:val="333333"/>
          <w:spacing w:val="0"/>
          <w:sz w:val="24"/>
          <w:szCs w:val="24"/>
        </w:rPr>
        <w:t>万元增</w:t>
      </w:r>
      <w:r>
        <w:rPr>
          <w:rFonts w:hint="default" w:ascii="Calibri" w:hAnsi="Calibri" w:eastAsia="宋体" w:cs="Calibri"/>
          <w:i w:val="0"/>
          <w:caps w:val="0"/>
          <w:color w:val="333333"/>
          <w:spacing w:val="0"/>
          <w:sz w:val="24"/>
          <w:szCs w:val="24"/>
        </w:rPr>
        <w:t>7082.92</w:t>
      </w:r>
      <w:r>
        <w:rPr>
          <w:rFonts w:hint="eastAsia" w:ascii="宋体" w:hAnsi="宋体" w:eastAsia="宋体" w:cs="宋体"/>
          <w:i w:val="0"/>
          <w:caps w:val="0"/>
          <w:color w:val="333333"/>
          <w:spacing w:val="0"/>
          <w:sz w:val="24"/>
          <w:szCs w:val="24"/>
        </w:rPr>
        <w:t>万元，增</w:t>
      </w:r>
      <w:r>
        <w:rPr>
          <w:rFonts w:hint="default" w:ascii="Calibri" w:hAnsi="Calibri" w:eastAsia="宋体" w:cs="Calibri"/>
          <w:i w:val="0"/>
          <w:caps w:val="0"/>
          <w:color w:val="333333"/>
          <w:spacing w:val="0"/>
          <w:sz w:val="24"/>
          <w:szCs w:val="24"/>
        </w:rPr>
        <w:t>19.04%</w:t>
      </w:r>
      <w:r>
        <w:rPr>
          <w:rFonts w:hint="eastAsia" w:ascii="宋体" w:hAnsi="宋体" w:eastAsia="宋体" w:cs="宋体"/>
          <w:i w:val="0"/>
          <w:caps w:val="0"/>
          <w:color w:val="333333"/>
          <w:spacing w:val="0"/>
          <w:sz w:val="24"/>
          <w:szCs w:val="24"/>
        </w:rPr>
        <w:t>。增加原因：调增人员工资，增加全县各学校零聘人员工资及五险支出，年度增加教育费附加收入。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（三）部门基本支出预算变动的主要原因，对本年与上年同口径数据比对情况分析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2019 </w:t>
      </w:r>
      <w:r>
        <w:rPr>
          <w:rFonts w:hint="eastAsia" w:ascii="宋体" w:hAnsi="宋体" w:eastAsia="宋体" w:cs="宋体"/>
          <w:i w:val="0"/>
          <w:caps w:val="0"/>
          <w:color w:val="333333"/>
          <w:spacing w:val="0"/>
          <w:sz w:val="24"/>
          <w:szCs w:val="24"/>
        </w:rPr>
        <w:t>年盈江县教育局基本支出</w:t>
      </w:r>
      <w:r>
        <w:rPr>
          <w:rFonts w:hint="default" w:ascii="Calibri" w:hAnsi="Calibri" w:eastAsia="宋体" w:cs="Calibri"/>
          <w:i w:val="0"/>
          <w:caps w:val="0"/>
          <w:color w:val="333333"/>
          <w:spacing w:val="0"/>
          <w:sz w:val="24"/>
          <w:szCs w:val="24"/>
        </w:rPr>
        <w:t>43571.16</w:t>
      </w:r>
      <w:r>
        <w:rPr>
          <w:rFonts w:hint="eastAsia" w:ascii="宋体" w:hAnsi="宋体" w:eastAsia="宋体" w:cs="宋体"/>
          <w:i w:val="0"/>
          <w:caps w:val="0"/>
          <w:color w:val="333333"/>
          <w:spacing w:val="0"/>
          <w:sz w:val="24"/>
          <w:szCs w:val="24"/>
        </w:rPr>
        <w:t>万元，与上年同期数</w:t>
      </w:r>
      <w:r>
        <w:rPr>
          <w:rFonts w:hint="default" w:ascii="Calibri" w:hAnsi="Calibri" w:eastAsia="宋体" w:cs="Calibri"/>
          <w:i w:val="0"/>
          <w:caps w:val="0"/>
          <w:color w:val="333333"/>
          <w:spacing w:val="0"/>
          <w:sz w:val="24"/>
          <w:szCs w:val="24"/>
        </w:rPr>
        <w:t>36991.19</w:t>
      </w:r>
      <w:r>
        <w:rPr>
          <w:rFonts w:hint="eastAsia" w:ascii="宋体" w:hAnsi="宋体" w:eastAsia="宋体" w:cs="宋体"/>
          <w:i w:val="0"/>
          <w:caps w:val="0"/>
          <w:color w:val="333333"/>
          <w:spacing w:val="0"/>
          <w:sz w:val="24"/>
          <w:szCs w:val="24"/>
        </w:rPr>
        <w:t>万元相比，增加</w:t>
      </w:r>
      <w:r>
        <w:rPr>
          <w:rFonts w:hint="default" w:ascii="Calibri" w:hAnsi="Calibri" w:eastAsia="宋体" w:cs="Calibri"/>
          <w:i w:val="0"/>
          <w:caps w:val="0"/>
          <w:color w:val="333333"/>
          <w:spacing w:val="0"/>
          <w:sz w:val="24"/>
          <w:szCs w:val="24"/>
        </w:rPr>
        <w:t>6579.97</w:t>
      </w:r>
      <w:r>
        <w:rPr>
          <w:rFonts w:hint="eastAsia" w:ascii="宋体" w:hAnsi="宋体" w:eastAsia="宋体" w:cs="宋体"/>
          <w:i w:val="0"/>
          <w:caps w:val="0"/>
          <w:color w:val="333333"/>
          <w:spacing w:val="0"/>
          <w:sz w:val="24"/>
          <w:szCs w:val="24"/>
        </w:rPr>
        <w:t>万元，增幅为</w:t>
      </w:r>
      <w:r>
        <w:rPr>
          <w:rFonts w:hint="default" w:ascii="Calibri" w:hAnsi="Calibri" w:eastAsia="宋体" w:cs="Calibri"/>
          <w:i w:val="0"/>
          <w:caps w:val="0"/>
          <w:color w:val="333333"/>
          <w:spacing w:val="0"/>
          <w:sz w:val="24"/>
          <w:szCs w:val="24"/>
        </w:rPr>
        <w:t>17.79%</w:t>
      </w:r>
      <w:r>
        <w:rPr>
          <w:rFonts w:hint="eastAsia" w:ascii="宋体" w:hAnsi="宋体" w:eastAsia="宋体" w:cs="宋体"/>
          <w:i w:val="0"/>
          <w:caps w:val="0"/>
          <w:color w:val="333333"/>
          <w:spacing w:val="0"/>
          <w:sz w:val="24"/>
          <w:szCs w:val="24"/>
        </w:rPr>
        <w:t>，原因为在职职工调增基本工资标准和津贴补贴，增加全县各学校零聘人员工资及五险支出，年度增加教育费附加支出。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（四）部门项目支出预算变动的主要原因，对本年与上年同口径数据比对情况分析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2019 </w:t>
      </w:r>
      <w:r>
        <w:rPr>
          <w:rFonts w:hint="eastAsia" w:ascii="宋体" w:hAnsi="宋体" w:eastAsia="宋体" w:cs="宋体"/>
          <w:i w:val="0"/>
          <w:caps w:val="0"/>
          <w:color w:val="333333"/>
          <w:spacing w:val="0"/>
          <w:sz w:val="24"/>
          <w:szCs w:val="24"/>
        </w:rPr>
        <w:t>年盈江县教育局项目支出</w:t>
      </w:r>
      <w:r>
        <w:rPr>
          <w:rFonts w:hint="default" w:ascii="Calibri" w:hAnsi="Calibri" w:eastAsia="宋体" w:cs="Calibri"/>
          <w:i w:val="0"/>
          <w:caps w:val="0"/>
          <w:color w:val="333333"/>
          <w:spacing w:val="0"/>
          <w:sz w:val="24"/>
          <w:szCs w:val="24"/>
        </w:rPr>
        <w:t>710.92</w:t>
      </w:r>
      <w:r>
        <w:rPr>
          <w:rFonts w:hint="eastAsia" w:ascii="宋体" w:hAnsi="宋体" w:eastAsia="宋体" w:cs="宋体"/>
          <w:i w:val="0"/>
          <w:caps w:val="0"/>
          <w:color w:val="333333"/>
          <w:spacing w:val="0"/>
          <w:sz w:val="24"/>
          <w:szCs w:val="24"/>
        </w:rPr>
        <w:t>万元，与上年同期数</w:t>
      </w:r>
      <w:r>
        <w:rPr>
          <w:rFonts w:hint="default" w:ascii="Calibri" w:hAnsi="Calibri" w:eastAsia="宋体" w:cs="Calibri"/>
          <w:i w:val="0"/>
          <w:caps w:val="0"/>
          <w:color w:val="333333"/>
          <w:spacing w:val="0"/>
          <w:sz w:val="24"/>
          <w:szCs w:val="24"/>
        </w:rPr>
        <w:t>207.97</w:t>
      </w:r>
      <w:r>
        <w:rPr>
          <w:rFonts w:hint="eastAsia" w:ascii="宋体" w:hAnsi="宋体" w:eastAsia="宋体" w:cs="宋体"/>
          <w:i w:val="0"/>
          <w:caps w:val="0"/>
          <w:color w:val="333333"/>
          <w:spacing w:val="0"/>
          <w:sz w:val="24"/>
          <w:szCs w:val="24"/>
        </w:rPr>
        <w:t>万元相比，增加</w:t>
      </w:r>
      <w:r>
        <w:rPr>
          <w:rFonts w:hint="default" w:ascii="Calibri" w:hAnsi="Calibri" w:eastAsia="宋体" w:cs="Calibri"/>
          <w:i w:val="0"/>
          <w:caps w:val="0"/>
          <w:color w:val="333333"/>
          <w:spacing w:val="0"/>
          <w:sz w:val="24"/>
          <w:szCs w:val="24"/>
        </w:rPr>
        <w:t>502.95</w:t>
      </w:r>
      <w:r>
        <w:rPr>
          <w:rFonts w:hint="eastAsia" w:ascii="宋体" w:hAnsi="宋体" w:eastAsia="宋体" w:cs="宋体"/>
          <w:i w:val="0"/>
          <w:caps w:val="0"/>
          <w:color w:val="333333"/>
          <w:spacing w:val="0"/>
          <w:sz w:val="24"/>
          <w:szCs w:val="24"/>
        </w:rPr>
        <w:t>万元，增幅为</w:t>
      </w:r>
      <w:r>
        <w:rPr>
          <w:rFonts w:hint="default" w:ascii="Calibri" w:hAnsi="Calibri" w:eastAsia="宋体" w:cs="Calibri"/>
          <w:i w:val="0"/>
          <w:caps w:val="0"/>
          <w:color w:val="333333"/>
          <w:spacing w:val="0"/>
          <w:sz w:val="24"/>
          <w:szCs w:val="24"/>
        </w:rPr>
        <w:t>241.84%</w:t>
      </w:r>
      <w:r>
        <w:rPr>
          <w:rFonts w:hint="eastAsia" w:ascii="宋体" w:hAnsi="宋体" w:eastAsia="宋体" w:cs="宋体"/>
          <w:i w:val="0"/>
          <w:caps w:val="0"/>
          <w:color w:val="333333"/>
          <w:spacing w:val="0"/>
          <w:sz w:val="24"/>
          <w:szCs w:val="24"/>
        </w:rPr>
        <w:t>，主要原因为本年度乡村教师生活补助列支项目支出。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八、其他公开信息</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（一）专业名词解释</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w:t>
      </w:r>
      <w:r>
        <w:rPr>
          <w:rFonts w:hint="eastAsia" w:ascii="宋体" w:hAnsi="宋体" w:eastAsia="宋体" w:cs="宋体"/>
          <w:i w:val="0"/>
          <w:caps w:val="0"/>
          <w:color w:val="333333"/>
          <w:spacing w:val="0"/>
          <w:sz w:val="24"/>
          <w:szCs w:val="24"/>
        </w:rPr>
        <w:t>财政拨款（补助）收入指财政部门当年拨付的资金。</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w:t>
      </w:r>
      <w:r>
        <w:rPr>
          <w:rFonts w:hint="eastAsia" w:ascii="宋体" w:hAnsi="宋体" w:eastAsia="宋体" w:cs="宋体"/>
          <w:i w:val="0"/>
          <w:caps w:val="0"/>
          <w:color w:val="333333"/>
          <w:spacing w:val="0"/>
          <w:sz w:val="24"/>
          <w:szCs w:val="24"/>
        </w:rPr>
        <w:t>事业收入指事业单位开展业务活动取得的收入。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3.</w:t>
      </w:r>
      <w:r>
        <w:rPr>
          <w:rFonts w:hint="eastAsia" w:ascii="宋体" w:hAnsi="宋体" w:eastAsia="宋体" w:cs="宋体"/>
          <w:i w:val="0"/>
          <w:caps w:val="0"/>
          <w:color w:val="333333"/>
          <w:spacing w:val="0"/>
          <w:sz w:val="24"/>
          <w:szCs w:val="24"/>
        </w:rPr>
        <w:t>事业单位经营收入指事业单位在业务活动之外开展非独立核算经营活动取得的收入。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4.</w:t>
      </w:r>
      <w:r>
        <w:rPr>
          <w:rFonts w:hint="eastAsia" w:ascii="宋体" w:hAnsi="宋体" w:eastAsia="宋体" w:cs="宋体"/>
          <w:i w:val="0"/>
          <w:caps w:val="0"/>
          <w:color w:val="333333"/>
          <w:spacing w:val="0"/>
          <w:sz w:val="24"/>
          <w:szCs w:val="24"/>
        </w:rPr>
        <w:t>其他收入指预算单位在“财政拨款收入”、“事业收入”、“经营收入”之外取得的收入。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5.</w:t>
      </w:r>
      <w:r>
        <w:rPr>
          <w:rFonts w:hint="eastAsia" w:ascii="宋体" w:hAnsi="宋体" w:eastAsia="宋体" w:cs="宋体"/>
          <w:i w:val="0"/>
          <w:caps w:val="0"/>
          <w:color w:val="333333"/>
          <w:spacing w:val="0"/>
          <w:sz w:val="24"/>
          <w:szCs w:val="24"/>
        </w:rPr>
        <w:t>基本支出指为保障机构正常运转、完成日常工作任务而发生的人员支出和公用支出。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6.</w:t>
      </w:r>
      <w:r>
        <w:rPr>
          <w:rFonts w:hint="eastAsia" w:ascii="宋体" w:hAnsi="宋体" w:eastAsia="宋体" w:cs="宋体"/>
          <w:i w:val="0"/>
          <w:caps w:val="0"/>
          <w:color w:val="333333"/>
          <w:spacing w:val="0"/>
          <w:sz w:val="24"/>
          <w:szCs w:val="24"/>
        </w:rPr>
        <w:t>项目支出指在基本支出之外为完成相关行政任务和事业发展目标所发生的支出。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7.</w:t>
      </w:r>
      <w:r>
        <w:rPr>
          <w:rFonts w:hint="eastAsia" w:ascii="宋体" w:hAnsi="宋体" w:eastAsia="宋体" w:cs="宋体"/>
          <w:i w:val="0"/>
          <w:caps w:val="0"/>
          <w:color w:val="333333"/>
          <w:spacing w:val="0"/>
          <w:sz w:val="24"/>
          <w:szCs w:val="24"/>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8.</w:t>
      </w:r>
      <w:r>
        <w:rPr>
          <w:rFonts w:hint="eastAsia" w:ascii="宋体" w:hAnsi="宋体" w:eastAsia="宋体" w:cs="宋体"/>
          <w:i w:val="0"/>
          <w:caps w:val="0"/>
          <w:color w:val="333333"/>
          <w:spacing w:val="0"/>
          <w:sz w:val="24"/>
          <w:szCs w:val="24"/>
        </w:rPr>
        <w:t>“三公”经费包括因公出国（境）费、公务用车购置及运行费、公务接待费。其中：因公出国（境）费，指单位工作人员公务出国（境）的住宿费、差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9.</w:t>
      </w:r>
      <w:r>
        <w:rPr>
          <w:rFonts w:hint="eastAsia" w:ascii="宋体" w:hAnsi="宋体" w:eastAsia="宋体" w:cs="宋体"/>
          <w:i w:val="0"/>
          <w:caps w:val="0"/>
          <w:color w:val="333333"/>
          <w:spacing w:val="0"/>
          <w:sz w:val="24"/>
          <w:szCs w:val="24"/>
        </w:rPr>
        <w:t>一般公共预算是对以税收为主体的财政收入，安排用于保障和改善民生、推动经济社会发展、维护国家安全、维护国家机构正常运转等方面的收支预算。</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10.</w:t>
      </w:r>
      <w:r>
        <w:rPr>
          <w:rFonts w:hint="eastAsia" w:ascii="宋体" w:hAnsi="宋体" w:eastAsia="宋体" w:cs="宋体"/>
          <w:i w:val="0"/>
          <w:caps w:val="0"/>
          <w:color w:val="333333"/>
          <w:spacing w:val="0"/>
          <w:sz w:val="24"/>
          <w:szCs w:val="24"/>
        </w:rPr>
        <w:t>非税收入是各级政府及其所属部门和单位依法利用行政权力、政府信誉、国家资源、国有资产或提供特定公共服务征收、收取、提取、募集的除税收和政府债务收入以外的财政收入。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11.</w:t>
      </w:r>
      <w:r>
        <w:rPr>
          <w:rFonts w:hint="eastAsia" w:ascii="宋体" w:hAnsi="宋体" w:eastAsia="宋体" w:cs="宋体"/>
          <w:i w:val="0"/>
          <w:caps w:val="0"/>
          <w:color w:val="333333"/>
          <w:spacing w:val="0"/>
          <w:sz w:val="24"/>
          <w:szCs w:val="24"/>
        </w:rPr>
        <w:t>工资福利支出反映单位开支的在职职工和编制外长期聘用人员的各类劳动报酬，以及为上述人员缴纳的各项社会保险费等。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12.</w:t>
      </w:r>
      <w:r>
        <w:rPr>
          <w:rFonts w:hint="eastAsia" w:ascii="宋体" w:hAnsi="宋体" w:eastAsia="宋体" w:cs="宋体"/>
          <w:i w:val="0"/>
          <w:caps w:val="0"/>
          <w:color w:val="333333"/>
          <w:spacing w:val="0"/>
          <w:sz w:val="24"/>
          <w:szCs w:val="24"/>
        </w:rPr>
        <w:t>商品和服务支出反映单位购买商品和服务的支出（不包括用于购置固定资产的支出、战略性和应急储备支出）。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13.</w:t>
      </w:r>
      <w:r>
        <w:rPr>
          <w:rFonts w:hint="eastAsia" w:ascii="宋体" w:hAnsi="宋体" w:eastAsia="宋体" w:cs="宋体"/>
          <w:i w:val="0"/>
          <w:caps w:val="0"/>
          <w:color w:val="333333"/>
          <w:spacing w:val="0"/>
          <w:sz w:val="24"/>
          <w:szCs w:val="24"/>
        </w:rPr>
        <w:t>对个人和家庭的补助反映政府用于对个人和家庭的补助支出。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14.</w:t>
      </w:r>
      <w:r>
        <w:rPr>
          <w:rFonts w:hint="eastAsia" w:ascii="宋体" w:hAnsi="宋体" w:eastAsia="宋体" w:cs="宋体"/>
          <w:i w:val="0"/>
          <w:caps w:val="0"/>
          <w:color w:val="333333"/>
          <w:spacing w:val="0"/>
          <w:sz w:val="24"/>
          <w:szCs w:val="24"/>
        </w:rPr>
        <w:t>政府采购是指各级国家机关、事业单位和团体组织，使用财政性资金采购依法制定的集中采购目录以内的或者采购限额标准以上的货物、工程和服务的行为。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（二）机关运行经费安排</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机关运行经费共安排</w:t>
      </w:r>
      <w:r>
        <w:rPr>
          <w:rFonts w:hint="eastAsia" w:ascii="宋体" w:hAnsi="宋体" w:eastAsia="宋体" w:cs="宋体"/>
          <w:i w:val="0"/>
          <w:caps w:val="0"/>
          <w:color w:val="333333"/>
          <w:spacing w:val="0"/>
          <w:sz w:val="21"/>
          <w:szCs w:val="21"/>
        </w:rPr>
        <w:t>13.2</w:t>
      </w:r>
      <w:r>
        <w:rPr>
          <w:rFonts w:hint="eastAsia" w:ascii="宋体" w:hAnsi="宋体" w:eastAsia="宋体" w:cs="宋体"/>
          <w:i w:val="0"/>
          <w:caps w:val="0"/>
          <w:color w:val="333333"/>
          <w:spacing w:val="0"/>
          <w:sz w:val="24"/>
          <w:szCs w:val="24"/>
        </w:rPr>
        <w:t>万元，主要用于办公费</w:t>
      </w:r>
      <w:r>
        <w:rPr>
          <w:rFonts w:hint="default" w:ascii="Calibri" w:hAnsi="Calibri" w:eastAsia="宋体" w:cs="Calibri"/>
          <w:i w:val="0"/>
          <w:caps w:val="0"/>
          <w:color w:val="333333"/>
          <w:spacing w:val="0"/>
          <w:sz w:val="24"/>
          <w:szCs w:val="24"/>
        </w:rPr>
        <w:t>13.2</w:t>
      </w:r>
      <w:r>
        <w:rPr>
          <w:rFonts w:hint="eastAsia" w:ascii="宋体" w:hAnsi="宋体" w:eastAsia="宋体" w:cs="宋体"/>
          <w:i w:val="0"/>
          <w:caps w:val="0"/>
          <w:color w:val="333333"/>
          <w:spacing w:val="0"/>
          <w:sz w:val="24"/>
          <w:szCs w:val="24"/>
        </w:rPr>
        <w:t>万元。 与上年部门预算机关运行经费12.6万元增长了0.6万元，增长4.76%，增长原因为增加了办公费支出。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（三）国有资产占用情况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鉴于截至</w:t>
      </w: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w:t>
      </w:r>
      <w:r>
        <w:rPr>
          <w:rFonts w:hint="default" w:ascii="Calibri" w:hAnsi="Calibri" w:eastAsia="宋体" w:cs="Calibri"/>
          <w:i w:val="0"/>
          <w:caps w:val="0"/>
          <w:color w:val="333333"/>
          <w:spacing w:val="0"/>
          <w:sz w:val="24"/>
          <w:szCs w:val="24"/>
        </w:rPr>
        <w:t>12</w:t>
      </w:r>
      <w:r>
        <w:rPr>
          <w:rFonts w:hint="eastAsia" w:ascii="宋体" w:hAnsi="宋体" w:eastAsia="宋体" w:cs="宋体"/>
          <w:i w:val="0"/>
          <w:caps w:val="0"/>
          <w:color w:val="333333"/>
          <w:spacing w:val="0"/>
          <w:sz w:val="24"/>
          <w:szCs w:val="24"/>
        </w:rPr>
        <w:t>月</w:t>
      </w:r>
      <w:r>
        <w:rPr>
          <w:rFonts w:hint="default" w:ascii="Calibri" w:hAnsi="Calibri" w:eastAsia="宋体" w:cs="Calibri"/>
          <w:i w:val="0"/>
          <w:caps w:val="0"/>
          <w:color w:val="333333"/>
          <w:spacing w:val="0"/>
          <w:sz w:val="24"/>
          <w:szCs w:val="24"/>
        </w:rPr>
        <w:t>31</w:t>
      </w:r>
      <w:r>
        <w:rPr>
          <w:rFonts w:hint="eastAsia" w:ascii="宋体" w:hAnsi="宋体" w:eastAsia="宋体" w:cs="宋体"/>
          <w:i w:val="0"/>
          <w:caps w:val="0"/>
          <w:color w:val="333333"/>
          <w:spacing w:val="0"/>
          <w:sz w:val="24"/>
          <w:szCs w:val="24"/>
        </w:rPr>
        <w:t>日的国有资产占有使用情况需在完成</w:t>
      </w:r>
      <w:r>
        <w:rPr>
          <w:rFonts w:hint="default" w:ascii="Calibri" w:hAnsi="Calibri" w:eastAsia="宋体" w:cs="Calibri"/>
          <w:i w:val="0"/>
          <w:caps w:val="0"/>
          <w:color w:val="333333"/>
          <w:spacing w:val="0"/>
          <w:sz w:val="24"/>
          <w:szCs w:val="24"/>
        </w:rPr>
        <w:t>2019</w:t>
      </w:r>
      <w:r>
        <w:rPr>
          <w:rFonts w:hint="eastAsia" w:ascii="宋体" w:hAnsi="宋体" w:eastAsia="宋体" w:cs="宋体"/>
          <w:i w:val="0"/>
          <w:caps w:val="0"/>
          <w:color w:val="333333"/>
          <w:spacing w:val="0"/>
          <w:sz w:val="24"/>
          <w:szCs w:val="24"/>
        </w:rPr>
        <w:t>年决算编制后才能统计汇总相关数据，因此，将在公开</w:t>
      </w:r>
      <w:r>
        <w:rPr>
          <w:rFonts w:hint="default" w:ascii="Calibri" w:hAnsi="Calibri" w:eastAsia="宋体" w:cs="Calibri"/>
          <w:i w:val="0"/>
          <w:caps w:val="0"/>
          <w:color w:val="333333"/>
          <w:spacing w:val="0"/>
          <w:sz w:val="24"/>
          <w:szCs w:val="24"/>
        </w:rPr>
        <w:t>2019</w:t>
      </w:r>
      <w:r>
        <w:rPr>
          <w:rFonts w:hint="eastAsia" w:ascii="宋体" w:hAnsi="宋体" w:eastAsia="宋体" w:cs="宋体"/>
          <w:i w:val="0"/>
          <w:caps w:val="0"/>
          <w:color w:val="333333"/>
          <w:spacing w:val="0"/>
          <w:sz w:val="24"/>
          <w:szCs w:val="24"/>
        </w:rPr>
        <w:t>年度部门决算时一并公开部门截至</w:t>
      </w:r>
      <w:r>
        <w:rPr>
          <w:rFonts w:hint="default" w:ascii="Calibri" w:hAnsi="Calibri" w:eastAsia="宋体" w:cs="Calibri"/>
          <w:i w:val="0"/>
          <w:caps w:val="0"/>
          <w:color w:val="333333"/>
          <w:spacing w:val="0"/>
          <w:sz w:val="24"/>
          <w:szCs w:val="24"/>
        </w:rPr>
        <w:t>2019</w:t>
      </w:r>
      <w:r>
        <w:rPr>
          <w:rFonts w:hint="eastAsia" w:ascii="宋体" w:hAnsi="宋体" w:eastAsia="宋体" w:cs="宋体"/>
          <w:i w:val="0"/>
          <w:caps w:val="0"/>
          <w:color w:val="333333"/>
          <w:spacing w:val="0"/>
          <w:sz w:val="24"/>
          <w:szCs w:val="24"/>
        </w:rPr>
        <w:t>年</w:t>
      </w:r>
      <w:r>
        <w:rPr>
          <w:rFonts w:hint="default" w:ascii="Calibri" w:hAnsi="Calibri" w:eastAsia="宋体" w:cs="Calibri"/>
          <w:i w:val="0"/>
          <w:caps w:val="0"/>
          <w:color w:val="333333"/>
          <w:spacing w:val="0"/>
          <w:sz w:val="24"/>
          <w:szCs w:val="24"/>
        </w:rPr>
        <w:t>12</w:t>
      </w:r>
      <w:r>
        <w:rPr>
          <w:rFonts w:hint="eastAsia" w:ascii="宋体" w:hAnsi="宋体" w:eastAsia="宋体" w:cs="宋体"/>
          <w:i w:val="0"/>
          <w:caps w:val="0"/>
          <w:color w:val="333333"/>
          <w:spacing w:val="0"/>
          <w:sz w:val="24"/>
          <w:szCs w:val="24"/>
        </w:rPr>
        <w:t>月</w:t>
      </w:r>
      <w:r>
        <w:rPr>
          <w:rFonts w:hint="default" w:ascii="Calibri" w:hAnsi="Calibri" w:eastAsia="宋体" w:cs="Calibri"/>
          <w:i w:val="0"/>
          <w:caps w:val="0"/>
          <w:color w:val="333333"/>
          <w:spacing w:val="0"/>
          <w:sz w:val="24"/>
          <w:szCs w:val="24"/>
        </w:rPr>
        <w:t>31</w:t>
      </w:r>
      <w:r>
        <w:rPr>
          <w:rFonts w:hint="eastAsia" w:ascii="宋体" w:hAnsi="宋体" w:eastAsia="宋体" w:cs="宋体"/>
          <w:i w:val="0"/>
          <w:caps w:val="0"/>
          <w:color w:val="333333"/>
          <w:spacing w:val="0"/>
          <w:sz w:val="24"/>
          <w:szCs w:val="24"/>
        </w:rPr>
        <w:t>日的国有资产占有使用情况。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（四）本部门预算绩效情况说明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1"/>
          <w:szCs w:val="21"/>
        </w:rPr>
        <w:t>2019</w:t>
      </w:r>
      <w:r>
        <w:rPr>
          <w:rFonts w:hint="eastAsia" w:ascii="宋体" w:hAnsi="宋体" w:eastAsia="宋体" w:cs="宋体"/>
          <w:i w:val="0"/>
          <w:caps w:val="0"/>
          <w:color w:val="333333"/>
          <w:spacing w:val="0"/>
          <w:sz w:val="24"/>
          <w:szCs w:val="24"/>
        </w:rPr>
        <w:t>年单位支出预算为</w:t>
      </w:r>
      <w:r>
        <w:rPr>
          <w:rFonts w:hint="default" w:ascii="Calibri" w:hAnsi="Calibri" w:eastAsia="宋体" w:cs="Calibri"/>
          <w:i w:val="0"/>
          <w:caps w:val="0"/>
          <w:color w:val="333333"/>
          <w:spacing w:val="0"/>
          <w:sz w:val="24"/>
          <w:szCs w:val="24"/>
        </w:rPr>
        <w:t>44282.08</w:t>
      </w:r>
      <w:r>
        <w:rPr>
          <w:rFonts w:hint="eastAsia" w:ascii="宋体" w:hAnsi="宋体" w:eastAsia="宋体" w:cs="宋体"/>
          <w:i w:val="0"/>
          <w:caps w:val="0"/>
          <w:color w:val="333333"/>
          <w:spacing w:val="0"/>
          <w:sz w:val="24"/>
          <w:szCs w:val="24"/>
        </w:rPr>
        <w:t>万元，其中：基本支出</w:t>
      </w:r>
      <w:r>
        <w:rPr>
          <w:rFonts w:hint="default" w:ascii="Calibri" w:hAnsi="Calibri" w:eastAsia="宋体" w:cs="Calibri"/>
          <w:i w:val="0"/>
          <w:caps w:val="0"/>
          <w:color w:val="333333"/>
          <w:spacing w:val="0"/>
          <w:sz w:val="24"/>
          <w:szCs w:val="24"/>
        </w:rPr>
        <w:t>43571.16</w:t>
      </w:r>
      <w:r>
        <w:rPr>
          <w:rFonts w:hint="eastAsia" w:ascii="宋体" w:hAnsi="宋体" w:eastAsia="宋体" w:cs="宋体"/>
          <w:i w:val="0"/>
          <w:caps w:val="0"/>
          <w:color w:val="333333"/>
          <w:spacing w:val="0"/>
          <w:sz w:val="24"/>
          <w:szCs w:val="24"/>
        </w:rPr>
        <w:t>万元，主要用于发放职工工资，归口管理的行政单位离退休、基本养老保险缴费，住房公积金，支付公用经费确保机构正常运转，支付各学校零聘人员工资及五险支出。项目支出</w:t>
      </w:r>
      <w:r>
        <w:rPr>
          <w:rFonts w:hint="default" w:ascii="Calibri" w:hAnsi="Calibri" w:eastAsia="宋体" w:cs="Calibri"/>
          <w:i w:val="0"/>
          <w:caps w:val="0"/>
          <w:color w:val="333333"/>
          <w:spacing w:val="0"/>
          <w:sz w:val="24"/>
          <w:szCs w:val="24"/>
        </w:rPr>
        <w:t>710.92</w:t>
      </w:r>
      <w:r>
        <w:rPr>
          <w:rFonts w:hint="eastAsia" w:ascii="宋体" w:hAnsi="宋体" w:eastAsia="宋体" w:cs="宋体"/>
          <w:i w:val="0"/>
          <w:caps w:val="0"/>
          <w:color w:val="333333"/>
          <w:spacing w:val="0"/>
          <w:sz w:val="24"/>
          <w:szCs w:val="24"/>
        </w:rPr>
        <w:t>万元，主要用于：教育督导、内审工作</w:t>
      </w:r>
      <w:r>
        <w:rPr>
          <w:rFonts w:hint="default" w:ascii="Calibri" w:hAnsi="Calibri" w:eastAsia="宋体" w:cs="Calibri"/>
          <w:i w:val="0"/>
          <w:caps w:val="0"/>
          <w:color w:val="333333"/>
          <w:spacing w:val="0"/>
          <w:sz w:val="24"/>
          <w:szCs w:val="24"/>
        </w:rPr>
        <w:t>5</w:t>
      </w:r>
      <w:r>
        <w:rPr>
          <w:rFonts w:hint="eastAsia" w:ascii="宋体" w:hAnsi="宋体" w:eastAsia="宋体" w:cs="宋体"/>
          <w:i w:val="0"/>
          <w:caps w:val="0"/>
          <w:color w:val="333333"/>
          <w:spacing w:val="0"/>
          <w:sz w:val="24"/>
          <w:szCs w:val="24"/>
        </w:rPr>
        <w:t>万元，促进学生全面发展，确保教育事业健康发展</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规范学校办学行为、规范教育经费管理使用；发放乡村教师生活补助</w:t>
      </w:r>
      <w:r>
        <w:rPr>
          <w:rFonts w:hint="default" w:ascii="Calibri" w:hAnsi="Calibri" w:eastAsia="宋体" w:cs="Calibri"/>
          <w:i w:val="0"/>
          <w:caps w:val="0"/>
          <w:color w:val="333333"/>
          <w:spacing w:val="0"/>
          <w:sz w:val="24"/>
          <w:szCs w:val="24"/>
        </w:rPr>
        <w:t>502</w:t>
      </w:r>
      <w:r>
        <w:rPr>
          <w:rFonts w:hint="eastAsia" w:ascii="宋体" w:hAnsi="宋体" w:eastAsia="宋体" w:cs="宋体"/>
          <w:i w:val="0"/>
          <w:caps w:val="0"/>
          <w:color w:val="333333"/>
          <w:spacing w:val="0"/>
          <w:sz w:val="24"/>
          <w:szCs w:val="24"/>
        </w:rPr>
        <w:t>万元，切实改善乡村教师工作和生活条件，不断提高乡村教师职业吸引力，稳定乡村教师队伍</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义务教育学生营养改善计划县级资金（小学）</w:t>
      </w:r>
      <w:r>
        <w:rPr>
          <w:rFonts w:hint="default" w:ascii="Calibri" w:hAnsi="Calibri" w:eastAsia="宋体" w:cs="Calibri"/>
          <w:i w:val="0"/>
          <w:caps w:val="0"/>
          <w:color w:val="333333"/>
          <w:spacing w:val="0"/>
          <w:sz w:val="24"/>
          <w:szCs w:val="24"/>
        </w:rPr>
        <w:t>7.92 </w:t>
      </w:r>
      <w:r>
        <w:rPr>
          <w:rFonts w:hint="eastAsia" w:ascii="宋体" w:hAnsi="宋体" w:eastAsia="宋体" w:cs="宋体"/>
          <w:i w:val="0"/>
          <w:caps w:val="0"/>
          <w:color w:val="333333"/>
          <w:spacing w:val="0"/>
          <w:sz w:val="24"/>
          <w:szCs w:val="24"/>
        </w:rPr>
        <w:t>万元，提高学生的健康水平，在全省率先实现了义务教育学生营养改善计划全覆盖</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特殊学校学生生活补助</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万元，开展社会成年残疾人在内的各种职业教育与培训；职成教文化技术服务中心工作经费和农村成人教育专项培训经费</w:t>
      </w:r>
      <w:r>
        <w:rPr>
          <w:rFonts w:hint="default" w:ascii="Calibri" w:hAnsi="Calibri" w:eastAsia="宋体" w:cs="Calibri"/>
          <w:i w:val="0"/>
          <w:caps w:val="0"/>
          <w:color w:val="333333"/>
          <w:spacing w:val="0"/>
          <w:sz w:val="24"/>
          <w:szCs w:val="24"/>
        </w:rPr>
        <w:t>60</w:t>
      </w:r>
      <w:r>
        <w:rPr>
          <w:rFonts w:hint="eastAsia" w:ascii="宋体" w:hAnsi="宋体" w:eastAsia="宋体" w:cs="宋体"/>
          <w:i w:val="0"/>
          <w:caps w:val="0"/>
          <w:color w:val="333333"/>
          <w:spacing w:val="0"/>
          <w:sz w:val="24"/>
          <w:szCs w:val="24"/>
        </w:rPr>
        <w:t>万元，购买互联网培训设施、设备，培训工作经费，完成州教育局下达</w:t>
      </w:r>
      <w:r>
        <w:rPr>
          <w:rFonts w:hint="default" w:ascii="Calibri" w:hAnsi="Calibri" w:eastAsia="宋体" w:cs="Calibri"/>
          <w:i w:val="0"/>
          <w:caps w:val="0"/>
          <w:color w:val="333333"/>
          <w:spacing w:val="0"/>
          <w:sz w:val="24"/>
          <w:szCs w:val="24"/>
        </w:rPr>
        <w:t>5</w:t>
      </w:r>
      <w:r>
        <w:rPr>
          <w:rFonts w:hint="eastAsia" w:ascii="宋体" w:hAnsi="宋体" w:eastAsia="宋体" w:cs="宋体"/>
          <w:i w:val="0"/>
          <w:caps w:val="0"/>
          <w:color w:val="333333"/>
          <w:spacing w:val="0"/>
          <w:sz w:val="24"/>
          <w:szCs w:val="24"/>
        </w:rPr>
        <w:t>万人次培训任务</w:t>
      </w:r>
      <w:r>
        <w:rPr>
          <w:rFonts w:hint="default" w:ascii="Calibri" w:hAnsi="Calibri" w:eastAsia="宋体" w:cs="Calibri"/>
          <w:i w:val="0"/>
          <w:caps w:val="0"/>
          <w:color w:val="333333"/>
          <w:spacing w:val="0"/>
          <w:sz w:val="24"/>
          <w:szCs w:val="24"/>
        </w:rPr>
        <w:t>,</w:t>
      </w:r>
      <w:r>
        <w:rPr>
          <w:rFonts w:hint="eastAsia" w:ascii="宋体" w:hAnsi="宋体" w:eastAsia="宋体" w:cs="宋体"/>
          <w:i w:val="0"/>
          <w:caps w:val="0"/>
          <w:color w:val="333333"/>
          <w:spacing w:val="0"/>
          <w:sz w:val="24"/>
          <w:szCs w:val="24"/>
        </w:rPr>
        <w:t>其中建档立卡户</w:t>
      </w:r>
      <w:r>
        <w:rPr>
          <w:rFonts w:hint="default" w:ascii="Calibri" w:hAnsi="Calibri" w:eastAsia="宋体" w:cs="Calibri"/>
          <w:i w:val="0"/>
          <w:caps w:val="0"/>
          <w:color w:val="333333"/>
          <w:spacing w:val="0"/>
          <w:sz w:val="24"/>
          <w:szCs w:val="24"/>
        </w:rPr>
        <w:t>1</w:t>
      </w:r>
      <w:r>
        <w:rPr>
          <w:rFonts w:hint="eastAsia" w:ascii="宋体" w:hAnsi="宋体" w:eastAsia="宋体" w:cs="宋体"/>
          <w:i w:val="0"/>
          <w:caps w:val="0"/>
          <w:color w:val="333333"/>
          <w:spacing w:val="0"/>
          <w:sz w:val="24"/>
          <w:szCs w:val="24"/>
        </w:rPr>
        <w:t>万人次；教师节经费</w:t>
      </w:r>
      <w:r>
        <w:rPr>
          <w:rFonts w:hint="default" w:ascii="Calibri" w:hAnsi="Calibri" w:eastAsia="宋体" w:cs="Calibri"/>
          <w:i w:val="0"/>
          <w:caps w:val="0"/>
          <w:color w:val="333333"/>
          <w:spacing w:val="0"/>
          <w:sz w:val="24"/>
          <w:szCs w:val="24"/>
        </w:rPr>
        <w:t>100</w:t>
      </w:r>
      <w:r>
        <w:rPr>
          <w:rFonts w:hint="eastAsia" w:ascii="宋体" w:hAnsi="宋体" w:eastAsia="宋体" w:cs="宋体"/>
          <w:i w:val="0"/>
          <w:caps w:val="0"/>
          <w:color w:val="333333"/>
          <w:spacing w:val="0"/>
          <w:sz w:val="24"/>
          <w:szCs w:val="24"/>
        </w:rPr>
        <w:t>万元，创造教书育人的良好环境，深化教育改革，办好人民满意的教育；民族完全中学校长年薪</w:t>
      </w:r>
      <w:r>
        <w:rPr>
          <w:rFonts w:hint="default" w:ascii="Calibri" w:hAnsi="Calibri" w:eastAsia="宋体" w:cs="Calibri"/>
          <w:i w:val="0"/>
          <w:caps w:val="0"/>
          <w:color w:val="333333"/>
          <w:spacing w:val="0"/>
          <w:sz w:val="24"/>
          <w:szCs w:val="24"/>
        </w:rPr>
        <w:t>10</w:t>
      </w:r>
      <w:r>
        <w:rPr>
          <w:rFonts w:hint="eastAsia" w:ascii="宋体" w:hAnsi="宋体" w:eastAsia="宋体" w:cs="宋体"/>
          <w:i w:val="0"/>
          <w:caps w:val="0"/>
          <w:color w:val="333333"/>
          <w:spacing w:val="0"/>
          <w:sz w:val="24"/>
          <w:szCs w:val="24"/>
        </w:rPr>
        <w:t>万元；教育局生源地信用助学贷款风险补偿金</w:t>
      </w:r>
      <w:r>
        <w:rPr>
          <w:rFonts w:hint="default" w:ascii="Calibri" w:hAnsi="Calibri" w:eastAsia="宋体" w:cs="Calibri"/>
          <w:i w:val="0"/>
          <w:caps w:val="0"/>
          <w:color w:val="333333"/>
          <w:spacing w:val="0"/>
          <w:sz w:val="24"/>
          <w:szCs w:val="24"/>
        </w:rPr>
        <w:t>16</w:t>
      </w:r>
      <w:r>
        <w:rPr>
          <w:rFonts w:hint="eastAsia" w:ascii="宋体" w:hAnsi="宋体" w:eastAsia="宋体" w:cs="宋体"/>
          <w:i w:val="0"/>
          <w:caps w:val="0"/>
          <w:color w:val="333333"/>
          <w:spacing w:val="0"/>
          <w:sz w:val="24"/>
          <w:szCs w:val="24"/>
        </w:rPr>
        <w:t>万元，切实解决家庭经济困难学生的就学问题，优化教育机构，维护教育公平，促进教育持续健康发展。</w:t>
      </w:r>
    </w:p>
    <w:p>
      <w:pPr>
        <w:widowControl/>
        <w:jc w:val="left"/>
        <w:rPr>
          <w:rFonts w:ascii="仿宋_GB2312" w:eastAsia="仿宋_GB2312"/>
          <w:color w:val="auto"/>
          <w:kern w:val="0"/>
          <w:sz w:val="30"/>
          <w:szCs w:val="30"/>
        </w:rPr>
      </w:pPr>
    </w:p>
    <w:p>
      <w:pPr>
        <w:rPr>
          <w:rFonts w:ascii="Arial" w:hAnsi="Arial" w:eastAsia="Arial" w:cs="Arial"/>
          <w:b/>
          <w:sz w:val="36"/>
        </w:rPr>
      </w:pPr>
      <w:r>
        <w:rPr>
          <w:rFonts w:ascii="Arial" w:hAnsi="Arial" w:eastAsia="Arial" w:cs="Arial"/>
          <w:b/>
          <w:sz w:val="36"/>
        </w:rPr>
        <w:t>监督索引号53312300336000111</w:t>
      </w:r>
    </w:p>
    <w:sectPr>
      <w:headerReference r:id="rId7" w:type="first"/>
      <w:footerReference r:id="rId10" w:type="first"/>
      <w:headerReference r:id="rId5" w:type="default"/>
      <w:footerReference r:id="rId8" w:type="default"/>
      <w:headerReference r:id="rId6" w:type="even"/>
      <w:footerReference r:id="rId9"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178B0"/>
    <w:rsid w:val="000237AB"/>
    <w:rsid w:val="0003248D"/>
    <w:rsid w:val="00034005"/>
    <w:rsid w:val="0005317B"/>
    <w:rsid w:val="000543CA"/>
    <w:rsid w:val="00054EA9"/>
    <w:rsid w:val="000559B2"/>
    <w:rsid w:val="00060B5F"/>
    <w:rsid w:val="00063177"/>
    <w:rsid w:val="00064C37"/>
    <w:rsid w:val="00070204"/>
    <w:rsid w:val="000721B3"/>
    <w:rsid w:val="00073344"/>
    <w:rsid w:val="00074721"/>
    <w:rsid w:val="00081157"/>
    <w:rsid w:val="00083CB1"/>
    <w:rsid w:val="00085843"/>
    <w:rsid w:val="000860FB"/>
    <w:rsid w:val="00090B50"/>
    <w:rsid w:val="000952C1"/>
    <w:rsid w:val="00096A53"/>
    <w:rsid w:val="000A03E5"/>
    <w:rsid w:val="000A07EA"/>
    <w:rsid w:val="000A1122"/>
    <w:rsid w:val="000A1D87"/>
    <w:rsid w:val="000A3EF2"/>
    <w:rsid w:val="000A6A4C"/>
    <w:rsid w:val="000A74AF"/>
    <w:rsid w:val="000A7B19"/>
    <w:rsid w:val="000B0125"/>
    <w:rsid w:val="000B509A"/>
    <w:rsid w:val="000B59B5"/>
    <w:rsid w:val="000B5BAB"/>
    <w:rsid w:val="000B7EA9"/>
    <w:rsid w:val="000C3AE5"/>
    <w:rsid w:val="000C5123"/>
    <w:rsid w:val="000D4394"/>
    <w:rsid w:val="000D4B48"/>
    <w:rsid w:val="000E2B18"/>
    <w:rsid w:val="000E530D"/>
    <w:rsid w:val="000F365A"/>
    <w:rsid w:val="000F4C86"/>
    <w:rsid w:val="001046C0"/>
    <w:rsid w:val="00104701"/>
    <w:rsid w:val="00107DD6"/>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87C8B"/>
    <w:rsid w:val="00192C05"/>
    <w:rsid w:val="001970F4"/>
    <w:rsid w:val="00197C06"/>
    <w:rsid w:val="00197CAA"/>
    <w:rsid w:val="00197E5D"/>
    <w:rsid w:val="001A1B3A"/>
    <w:rsid w:val="001A3CEE"/>
    <w:rsid w:val="001A784A"/>
    <w:rsid w:val="001B045D"/>
    <w:rsid w:val="001C1C89"/>
    <w:rsid w:val="001C4FE6"/>
    <w:rsid w:val="001C55D5"/>
    <w:rsid w:val="001D120C"/>
    <w:rsid w:val="001D1788"/>
    <w:rsid w:val="001E03BD"/>
    <w:rsid w:val="001E043A"/>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274"/>
    <w:rsid w:val="00262BAD"/>
    <w:rsid w:val="00267F40"/>
    <w:rsid w:val="002726B1"/>
    <w:rsid w:val="002727D0"/>
    <w:rsid w:val="002749C8"/>
    <w:rsid w:val="00275325"/>
    <w:rsid w:val="00281C06"/>
    <w:rsid w:val="00283B1F"/>
    <w:rsid w:val="00285DC4"/>
    <w:rsid w:val="00294AE7"/>
    <w:rsid w:val="00295786"/>
    <w:rsid w:val="002A7BAE"/>
    <w:rsid w:val="002A7F0F"/>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2D9"/>
    <w:rsid w:val="002E4B20"/>
    <w:rsid w:val="002E5FC6"/>
    <w:rsid w:val="002E6D7D"/>
    <w:rsid w:val="002F2C1E"/>
    <w:rsid w:val="002F6E99"/>
    <w:rsid w:val="00300C47"/>
    <w:rsid w:val="003014F1"/>
    <w:rsid w:val="003050B6"/>
    <w:rsid w:val="0030726B"/>
    <w:rsid w:val="0031118B"/>
    <w:rsid w:val="0031122F"/>
    <w:rsid w:val="00315EFA"/>
    <w:rsid w:val="00316408"/>
    <w:rsid w:val="003179FB"/>
    <w:rsid w:val="00323A51"/>
    <w:rsid w:val="00323BA5"/>
    <w:rsid w:val="003244C9"/>
    <w:rsid w:val="0032468B"/>
    <w:rsid w:val="00327119"/>
    <w:rsid w:val="00327EFE"/>
    <w:rsid w:val="003333E4"/>
    <w:rsid w:val="00336580"/>
    <w:rsid w:val="0034184B"/>
    <w:rsid w:val="003535EB"/>
    <w:rsid w:val="00354D29"/>
    <w:rsid w:val="00356356"/>
    <w:rsid w:val="00360593"/>
    <w:rsid w:val="00360EF7"/>
    <w:rsid w:val="00361A07"/>
    <w:rsid w:val="00364EEC"/>
    <w:rsid w:val="00366B62"/>
    <w:rsid w:val="003710A2"/>
    <w:rsid w:val="00371FE2"/>
    <w:rsid w:val="00372470"/>
    <w:rsid w:val="00376707"/>
    <w:rsid w:val="0037788A"/>
    <w:rsid w:val="0038029B"/>
    <w:rsid w:val="00383096"/>
    <w:rsid w:val="00392AA8"/>
    <w:rsid w:val="003931E6"/>
    <w:rsid w:val="003A324A"/>
    <w:rsid w:val="003A73EF"/>
    <w:rsid w:val="003B2514"/>
    <w:rsid w:val="003B54C2"/>
    <w:rsid w:val="003B5BA8"/>
    <w:rsid w:val="003B7746"/>
    <w:rsid w:val="003C0093"/>
    <w:rsid w:val="003C1BE1"/>
    <w:rsid w:val="003C6315"/>
    <w:rsid w:val="003D1204"/>
    <w:rsid w:val="003D160D"/>
    <w:rsid w:val="003D250A"/>
    <w:rsid w:val="003D35F4"/>
    <w:rsid w:val="003D6601"/>
    <w:rsid w:val="003D6C9A"/>
    <w:rsid w:val="003E2D1F"/>
    <w:rsid w:val="003E2DE1"/>
    <w:rsid w:val="003E4778"/>
    <w:rsid w:val="003E48D6"/>
    <w:rsid w:val="003E5754"/>
    <w:rsid w:val="003F171F"/>
    <w:rsid w:val="003F201E"/>
    <w:rsid w:val="003F3C0C"/>
    <w:rsid w:val="003F7F93"/>
    <w:rsid w:val="0040002C"/>
    <w:rsid w:val="00400C3B"/>
    <w:rsid w:val="00402B1E"/>
    <w:rsid w:val="00403507"/>
    <w:rsid w:val="00403546"/>
    <w:rsid w:val="00404DA0"/>
    <w:rsid w:val="004113F9"/>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4547"/>
    <w:rsid w:val="00476EC1"/>
    <w:rsid w:val="0047723F"/>
    <w:rsid w:val="00480582"/>
    <w:rsid w:val="0048694C"/>
    <w:rsid w:val="004911B1"/>
    <w:rsid w:val="00495E43"/>
    <w:rsid w:val="004A362F"/>
    <w:rsid w:val="004A742B"/>
    <w:rsid w:val="004B29ED"/>
    <w:rsid w:val="004B345C"/>
    <w:rsid w:val="004B50FC"/>
    <w:rsid w:val="004B5BE1"/>
    <w:rsid w:val="004C064B"/>
    <w:rsid w:val="004C1CDF"/>
    <w:rsid w:val="004D26D3"/>
    <w:rsid w:val="004D394A"/>
    <w:rsid w:val="004D3A59"/>
    <w:rsid w:val="004D6E1D"/>
    <w:rsid w:val="004E7B2C"/>
    <w:rsid w:val="004F1A56"/>
    <w:rsid w:val="004F2C44"/>
    <w:rsid w:val="004F4F9F"/>
    <w:rsid w:val="004F53C4"/>
    <w:rsid w:val="004F5C1B"/>
    <w:rsid w:val="005054B5"/>
    <w:rsid w:val="00505533"/>
    <w:rsid w:val="00506344"/>
    <w:rsid w:val="00510393"/>
    <w:rsid w:val="005148D7"/>
    <w:rsid w:val="00520242"/>
    <w:rsid w:val="00521069"/>
    <w:rsid w:val="005248EA"/>
    <w:rsid w:val="0052572D"/>
    <w:rsid w:val="005431C8"/>
    <w:rsid w:val="005463F4"/>
    <w:rsid w:val="0055173F"/>
    <w:rsid w:val="00552BA8"/>
    <w:rsid w:val="0055409A"/>
    <w:rsid w:val="00563EEF"/>
    <w:rsid w:val="005653A2"/>
    <w:rsid w:val="00572E90"/>
    <w:rsid w:val="00575EDA"/>
    <w:rsid w:val="005864CC"/>
    <w:rsid w:val="00591B91"/>
    <w:rsid w:val="005952DC"/>
    <w:rsid w:val="005A00B7"/>
    <w:rsid w:val="005A1F0D"/>
    <w:rsid w:val="005A51EE"/>
    <w:rsid w:val="005B0445"/>
    <w:rsid w:val="005B0A4A"/>
    <w:rsid w:val="005B3C65"/>
    <w:rsid w:val="005B5412"/>
    <w:rsid w:val="005B679B"/>
    <w:rsid w:val="005B77D3"/>
    <w:rsid w:val="005C1C10"/>
    <w:rsid w:val="005C470B"/>
    <w:rsid w:val="005C66D3"/>
    <w:rsid w:val="005D245F"/>
    <w:rsid w:val="005D3061"/>
    <w:rsid w:val="005D6260"/>
    <w:rsid w:val="005D6D58"/>
    <w:rsid w:val="005E6A58"/>
    <w:rsid w:val="005F310F"/>
    <w:rsid w:val="00602B8A"/>
    <w:rsid w:val="0060314C"/>
    <w:rsid w:val="00610CF7"/>
    <w:rsid w:val="00612D63"/>
    <w:rsid w:val="0061307F"/>
    <w:rsid w:val="00614B12"/>
    <w:rsid w:val="006150EC"/>
    <w:rsid w:val="006164DB"/>
    <w:rsid w:val="0061679D"/>
    <w:rsid w:val="006253D8"/>
    <w:rsid w:val="00626153"/>
    <w:rsid w:val="00630F93"/>
    <w:rsid w:val="006374A1"/>
    <w:rsid w:val="00651B6C"/>
    <w:rsid w:val="00653654"/>
    <w:rsid w:val="006540CB"/>
    <w:rsid w:val="0065750C"/>
    <w:rsid w:val="00660B2A"/>
    <w:rsid w:val="00663D84"/>
    <w:rsid w:val="006742AC"/>
    <w:rsid w:val="00682553"/>
    <w:rsid w:val="0068515C"/>
    <w:rsid w:val="0068667C"/>
    <w:rsid w:val="00690A6A"/>
    <w:rsid w:val="006A26A0"/>
    <w:rsid w:val="006A46D3"/>
    <w:rsid w:val="006A4FDA"/>
    <w:rsid w:val="006B1C07"/>
    <w:rsid w:val="006B3DA5"/>
    <w:rsid w:val="006B5B25"/>
    <w:rsid w:val="006B7827"/>
    <w:rsid w:val="006C059F"/>
    <w:rsid w:val="006D0172"/>
    <w:rsid w:val="006E123A"/>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061F"/>
    <w:rsid w:val="0074138A"/>
    <w:rsid w:val="00750940"/>
    <w:rsid w:val="00751AB4"/>
    <w:rsid w:val="00751D1A"/>
    <w:rsid w:val="0076269B"/>
    <w:rsid w:val="00765E00"/>
    <w:rsid w:val="00766131"/>
    <w:rsid w:val="0077005A"/>
    <w:rsid w:val="00772DB4"/>
    <w:rsid w:val="00780AAD"/>
    <w:rsid w:val="0078371A"/>
    <w:rsid w:val="00783A4C"/>
    <w:rsid w:val="0078565D"/>
    <w:rsid w:val="0079250C"/>
    <w:rsid w:val="00794375"/>
    <w:rsid w:val="007A05BD"/>
    <w:rsid w:val="007A7078"/>
    <w:rsid w:val="007A725D"/>
    <w:rsid w:val="007B4A0F"/>
    <w:rsid w:val="007C05CB"/>
    <w:rsid w:val="007C1922"/>
    <w:rsid w:val="007C3153"/>
    <w:rsid w:val="007C5592"/>
    <w:rsid w:val="007C7656"/>
    <w:rsid w:val="007D066F"/>
    <w:rsid w:val="007D1AE5"/>
    <w:rsid w:val="007D4168"/>
    <w:rsid w:val="007D5A91"/>
    <w:rsid w:val="007E3441"/>
    <w:rsid w:val="007E460F"/>
    <w:rsid w:val="007E68C9"/>
    <w:rsid w:val="007E76F1"/>
    <w:rsid w:val="007F1DA0"/>
    <w:rsid w:val="00803F6B"/>
    <w:rsid w:val="00805901"/>
    <w:rsid w:val="00807250"/>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3AAE"/>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6400"/>
    <w:rsid w:val="00907813"/>
    <w:rsid w:val="00911B9D"/>
    <w:rsid w:val="009142F4"/>
    <w:rsid w:val="00921C07"/>
    <w:rsid w:val="00930A10"/>
    <w:rsid w:val="0093199F"/>
    <w:rsid w:val="00932958"/>
    <w:rsid w:val="00947CC7"/>
    <w:rsid w:val="00951519"/>
    <w:rsid w:val="00951C5E"/>
    <w:rsid w:val="009535AF"/>
    <w:rsid w:val="0096301A"/>
    <w:rsid w:val="00964D6C"/>
    <w:rsid w:val="00965133"/>
    <w:rsid w:val="00965E0F"/>
    <w:rsid w:val="00971AD3"/>
    <w:rsid w:val="009734D9"/>
    <w:rsid w:val="00976F14"/>
    <w:rsid w:val="00980F62"/>
    <w:rsid w:val="00981123"/>
    <w:rsid w:val="00982629"/>
    <w:rsid w:val="0098468C"/>
    <w:rsid w:val="0098667C"/>
    <w:rsid w:val="009907B9"/>
    <w:rsid w:val="00992351"/>
    <w:rsid w:val="009A08B6"/>
    <w:rsid w:val="009A2377"/>
    <w:rsid w:val="009A4D11"/>
    <w:rsid w:val="009B3ED3"/>
    <w:rsid w:val="009B4ADC"/>
    <w:rsid w:val="009C1730"/>
    <w:rsid w:val="009D258A"/>
    <w:rsid w:val="009D6232"/>
    <w:rsid w:val="009E15D4"/>
    <w:rsid w:val="009F088F"/>
    <w:rsid w:val="009F25BD"/>
    <w:rsid w:val="009F3C7E"/>
    <w:rsid w:val="009F5646"/>
    <w:rsid w:val="009F7873"/>
    <w:rsid w:val="009F7979"/>
    <w:rsid w:val="009F7AE7"/>
    <w:rsid w:val="00A03FA7"/>
    <w:rsid w:val="00A04D46"/>
    <w:rsid w:val="00A06395"/>
    <w:rsid w:val="00A06AEF"/>
    <w:rsid w:val="00A10700"/>
    <w:rsid w:val="00A14D49"/>
    <w:rsid w:val="00A15184"/>
    <w:rsid w:val="00A1637D"/>
    <w:rsid w:val="00A22B48"/>
    <w:rsid w:val="00A2566B"/>
    <w:rsid w:val="00A32086"/>
    <w:rsid w:val="00A34E84"/>
    <w:rsid w:val="00A352B0"/>
    <w:rsid w:val="00A37886"/>
    <w:rsid w:val="00A37EDD"/>
    <w:rsid w:val="00A472C6"/>
    <w:rsid w:val="00A51E75"/>
    <w:rsid w:val="00A51E78"/>
    <w:rsid w:val="00A52491"/>
    <w:rsid w:val="00A570A1"/>
    <w:rsid w:val="00A60974"/>
    <w:rsid w:val="00A61DCD"/>
    <w:rsid w:val="00A65535"/>
    <w:rsid w:val="00A724CF"/>
    <w:rsid w:val="00A7532F"/>
    <w:rsid w:val="00A761CF"/>
    <w:rsid w:val="00A81682"/>
    <w:rsid w:val="00A84D92"/>
    <w:rsid w:val="00A84E65"/>
    <w:rsid w:val="00A86229"/>
    <w:rsid w:val="00A95B6C"/>
    <w:rsid w:val="00AA6DD8"/>
    <w:rsid w:val="00AA7480"/>
    <w:rsid w:val="00AB1481"/>
    <w:rsid w:val="00AB16EB"/>
    <w:rsid w:val="00AB1A9E"/>
    <w:rsid w:val="00AB2ABB"/>
    <w:rsid w:val="00AB5C67"/>
    <w:rsid w:val="00AB7C98"/>
    <w:rsid w:val="00AC47D9"/>
    <w:rsid w:val="00AD0DA1"/>
    <w:rsid w:val="00AD18BB"/>
    <w:rsid w:val="00AE0209"/>
    <w:rsid w:val="00AE2095"/>
    <w:rsid w:val="00AE5322"/>
    <w:rsid w:val="00AE5FEF"/>
    <w:rsid w:val="00AE73E2"/>
    <w:rsid w:val="00AF1CF9"/>
    <w:rsid w:val="00AF2AE3"/>
    <w:rsid w:val="00AF3D6F"/>
    <w:rsid w:val="00AF520B"/>
    <w:rsid w:val="00AF7B4F"/>
    <w:rsid w:val="00AF7C58"/>
    <w:rsid w:val="00B02D5B"/>
    <w:rsid w:val="00B05787"/>
    <w:rsid w:val="00B10153"/>
    <w:rsid w:val="00B15323"/>
    <w:rsid w:val="00B259AC"/>
    <w:rsid w:val="00B268D9"/>
    <w:rsid w:val="00B26EC9"/>
    <w:rsid w:val="00B31B8F"/>
    <w:rsid w:val="00B333B0"/>
    <w:rsid w:val="00B413A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B5F45"/>
    <w:rsid w:val="00BC1BA9"/>
    <w:rsid w:val="00BC41E1"/>
    <w:rsid w:val="00BD2FC7"/>
    <w:rsid w:val="00BD6EC1"/>
    <w:rsid w:val="00BE25AF"/>
    <w:rsid w:val="00BE3811"/>
    <w:rsid w:val="00BE3F11"/>
    <w:rsid w:val="00BF2793"/>
    <w:rsid w:val="00BF3FBF"/>
    <w:rsid w:val="00BF5FFA"/>
    <w:rsid w:val="00BF65E1"/>
    <w:rsid w:val="00C002E5"/>
    <w:rsid w:val="00C01D14"/>
    <w:rsid w:val="00C0414E"/>
    <w:rsid w:val="00C04DD5"/>
    <w:rsid w:val="00C073D6"/>
    <w:rsid w:val="00C07645"/>
    <w:rsid w:val="00C12785"/>
    <w:rsid w:val="00C14D2D"/>
    <w:rsid w:val="00C15327"/>
    <w:rsid w:val="00C205DD"/>
    <w:rsid w:val="00C242B2"/>
    <w:rsid w:val="00C25F74"/>
    <w:rsid w:val="00C26ABA"/>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2BF0"/>
    <w:rsid w:val="00C8367C"/>
    <w:rsid w:val="00C83EC8"/>
    <w:rsid w:val="00C84EC9"/>
    <w:rsid w:val="00C90645"/>
    <w:rsid w:val="00C92A41"/>
    <w:rsid w:val="00C95E0F"/>
    <w:rsid w:val="00CA3BAD"/>
    <w:rsid w:val="00CA6FC5"/>
    <w:rsid w:val="00CB1858"/>
    <w:rsid w:val="00CC0087"/>
    <w:rsid w:val="00CC7A87"/>
    <w:rsid w:val="00CD0085"/>
    <w:rsid w:val="00CE1BDC"/>
    <w:rsid w:val="00CF3E52"/>
    <w:rsid w:val="00D00043"/>
    <w:rsid w:val="00D003BE"/>
    <w:rsid w:val="00D0163D"/>
    <w:rsid w:val="00D0309B"/>
    <w:rsid w:val="00D03468"/>
    <w:rsid w:val="00D03E18"/>
    <w:rsid w:val="00D06094"/>
    <w:rsid w:val="00D110CC"/>
    <w:rsid w:val="00D1310A"/>
    <w:rsid w:val="00D165B0"/>
    <w:rsid w:val="00D2036D"/>
    <w:rsid w:val="00D249EC"/>
    <w:rsid w:val="00D30CFE"/>
    <w:rsid w:val="00D314BC"/>
    <w:rsid w:val="00D319FC"/>
    <w:rsid w:val="00D37964"/>
    <w:rsid w:val="00D40468"/>
    <w:rsid w:val="00D41BD8"/>
    <w:rsid w:val="00D450B6"/>
    <w:rsid w:val="00D45FD5"/>
    <w:rsid w:val="00D501E4"/>
    <w:rsid w:val="00D51F3A"/>
    <w:rsid w:val="00D6213F"/>
    <w:rsid w:val="00D62340"/>
    <w:rsid w:val="00D63F18"/>
    <w:rsid w:val="00D6527D"/>
    <w:rsid w:val="00D6795D"/>
    <w:rsid w:val="00D729EC"/>
    <w:rsid w:val="00D74B92"/>
    <w:rsid w:val="00D77EE5"/>
    <w:rsid w:val="00D81D2F"/>
    <w:rsid w:val="00D83A9A"/>
    <w:rsid w:val="00D841C1"/>
    <w:rsid w:val="00D93010"/>
    <w:rsid w:val="00D946E9"/>
    <w:rsid w:val="00D9604F"/>
    <w:rsid w:val="00D9737C"/>
    <w:rsid w:val="00DA3255"/>
    <w:rsid w:val="00DA58E6"/>
    <w:rsid w:val="00DA66BE"/>
    <w:rsid w:val="00DA76AC"/>
    <w:rsid w:val="00DB3D0C"/>
    <w:rsid w:val="00DB4D49"/>
    <w:rsid w:val="00DB767D"/>
    <w:rsid w:val="00DC07E5"/>
    <w:rsid w:val="00DC395D"/>
    <w:rsid w:val="00DC634D"/>
    <w:rsid w:val="00DD0FFA"/>
    <w:rsid w:val="00DD202C"/>
    <w:rsid w:val="00DD3863"/>
    <w:rsid w:val="00DD739A"/>
    <w:rsid w:val="00DE3C32"/>
    <w:rsid w:val="00DE5376"/>
    <w:rsid w:val="00DE60D1"/>
    <w:rsid w:val="00DF050A"/>
    <w:rsid w:val="00DF2896"/>
    <w:rsid w:val="00DF59BD"/>
    <w:rsid w:val="00DF6A21"/>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57C98"/>
    <w:rsid w:val="00E62839"/>
    <w:rsid w:val="00E62E85"/>
    <w:rsid w:val="00E6467D"/>
    <w:rsid w:val="00E64EE1"/>
    <w:rsid w:val="00E65C1E"/>
    <w:rsid w:val="00E70820"/>
    <w:rsid w:val="00E75F13"/>
    <w:rsid w:val="00E76022"/>
    <w:rsid w:val="00E83456"/>
    <w:rsid w:val="00E97D8E"/>
    <w:rsid w:val="00EA25E4"/>
    <w:rsid w:val="00EA3E87"/>
    <w:rsid w:val="00EA7A22"/>
    <w:rsid w:val="00EA7DE2"/>
    <w:rsid w:val="00EB004F"/>
    <w:rsid w:val="00EB39B5"/>
    <w:rsid w:val="00EB4F1D"/>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1A4E"/>
    <w:rsid w:val="00F03838"/>
    <w:rsid w:val="00F03945"/>
    <w:rsid w:val="00F04C86"/>
    <w:rsid w:val="00F0598E"/>
    <w:rsid w:val="00F11D4E"/>
    <w:rsid w:val="00F12CC8"/>
    <w:rsid w:val="00F155C1"/>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2E5"/>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193F"/>
    <w:rsid w:val="00FD228E"/>
    <w:rsid w:val="00FD408C"/>
    <w:rsid w:val="00FD4E9B"/>
    <w:rsid w:val="00FD7D5F"/>
    <w:rsid w:val="00FE1A2F"/>
    <w:rsid w:val="00FE5F50"/>
    <w:rsid w:val="00FE743F"/>
    <w:rsid w:val="00FF1B25"/>
    <w:rsid w:val="00FF6C77"/>
    <w:rsid w:val="00FF7A85"/>
    <w:rsid w:val="01073873"/>
    <w:rsid w:val="025737A0"/>
    <w:rsid w:val="03B5643B"/>
    <w:rsid w:val="03F0214E"/>
    <w:rsid w:val="06325B44"/>
    <w:rsid w:val="06E00663"/>
    <w:rsid w:val="0AB77A2F"/>
    <w:rsid w:val="126E7B30"/>
    <w:rsid w:val="12995E27"/>
    <w:rsid w:val="14E01271"/>
    <w:rsid w:val="15E37FA9"/>
    <w:rsid w:val="1A0B3DDD"/>
    <w:rsid w:val="1BF02F4C"/>
    <w:rsid w:val="1C1C4087"/>
    <w:rsid w:val="208C23C5"/>
    <w:rsid w:val="2D7B7E3A"/>
    <w:rsid w:val="39466C4F"/>
    <w:rsid w:val="3AA02FBA"/>
    <w:rsid w:val="3B327E44"/>
    <w:rsid w:val="42C545AA"/>
    <w:rsid w:val="4AF80451"/>
    <w:rsid w:val="4DB44642"/>
    <w:rsid w:val="52010222"/>
    <w:rsid w:val="52C4370B"/>
    <w:rsid w:val="55094220"/>
    <w:rsid w:val="55A50166"/>
    <w:rsid w:val="570D1A2D"/>
    <w:rsid w:val="61BB0FA1"/>
    <w:rsid w:val="6209349D"/>
    <w:rsid w:val="63F2133F"/>
    <w:rsid w:val="68184624"/>
    <w:rsid w:val="6A56720F"/>
    <w:rsid w:val="6AC210ED"/>
    <w:rsid w:val="6B0D6628"/>
    <w:rsid w:val="6FB03D21"/>
    <w:rsid w:val="71DB59FD"/>
    <w:rsid w:val="724A4A01"/>
    <w:rsid w:val="74057048"/>
    <w:rsid w:val="7B1E5394"/>
    <w:rsid w:val="7FB123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jc w:val="left"/>
    </w:pPr>
    <w:rPr>
      <w:rFonts w:ascii="宋体" w:hAnsi="宋体" w:cs="宋体"/>
      <w:kern w:val="0"/>
      <w:sz w:val="24"/>
    </w:rPr>
  </w:style>
  <w:style w:type="paragraph" w:styleId="7">
    <w:name w:val="annotation subject"/>
    <w:basedOn w:val="2"/>
    <w:next w:val="2"/>
    <w:link w:val="12"/>
    <w:semiHidden/>
    <w:qFormat/>
    <w:uiPriority w:val="99"/>
    <w:rPr>
      <w:b/>
      <w:bCs/>
    </w:rPr>
  </w:style>
  <w:style w:type="character" w:styleId="10">
    <w:name w:val="annotation reference"/>
    <w:basedOn w:val="9"/>
    <w:semiHidden/>
    <w:qFormat/>
    <w:uiPriority w:val="99"/>
    <w:rPr>
      <w:rFonts w:cs="Times New Roman"/>
      <w:sz w:val="21"/>
    </w:rPr>
  </w:style>
  <w:style w:type="character" w:customStyle="1" w:styleId="11">
    <w:name w:val="Comment Text Char"/>
    <w:basedOn w:val="9"/>
    <w:link w:val="2"/>
    <w:semiHidden/>
    <w:qFormat/>
    <w:uiPriority w:val="99"/>
    <w:rPr>
      <w:szCs w:val="24"/>
    </w:rPr>
  </w:style>
  <w:style w:type="character" w:customStyle="1" w:styleId="12">
    <w:name w:val="Comment Subject Char"/>
    <w:basedOn w:val="11"/>
    <w:link w:val="7"/>
    <w:semiHidden/>
    <w:qFormat/>
    <w:uiPriority w:val="99"/>
    <w:rPr>
      <w:b/>
      <w:bCs/>
    </w:rPr>
  </w:style>
  <w:style w:type="character" w:customStyle="1" w:styleId="13">
    <w:name w:val="Balloon Text Char"/>
    <w:basedOn w:val="9"/>
    <w:link w:val="3"/>
    <w:semiHidden/>
    <w:qFormat/>
    <w:uiPriority w:val="99"/>
  </w:style>
  <w:style w:type="character" w:customStyle="1" w:styleId="14">
    <w:name w:val="Footer Char"/>
    <w:basedOn w:val="9"/>
    <w:link w:val="4"/>
    <w:semiHidden/>
    <w:qFormat/>
    <w:uiPriority w:val="99"/>
    <w:rPr>
      <w:sz w:val="18"/>
      <w:szCs w:val="18"/>
    </w:rPr>
  </w:style>
  <w:style w:type="character" w:customStyle="1" w:styleId="15">
    <w:name w:val="Header Char"/>
    <w:basedOn w:val="9"/>
    <w:link w:val="5"/>
    <w:semiHidden/>
    <w:qFormat/>
    <w:uiPriority w:val="99"/>
    <w:rPr>
      <w:sz w:val="18"/>
      <w:szCs w:val="18"/>
    </w:rPr>
  </w:style>
  <w:style w:type="paragraph" w:customStyle="1" w:styleId="16">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zhlx</Company>
  <Pages>14</Pages>
  <Words>1122</Words>
  <Characters>6396</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2019-04-25T09:12:00Z</cp:lastPrinted>
  <dcterms:modified xsi:type="dcterms:W3CDTF">2024-06-19T09:24:20Z</dcterms:modified>
  <dc:title>年部门预算编制说明</dc:title>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F2E2B3E7AFDF492D9C1857C02D83EFFF</vt:lpwstr>
  </property>
</Properties>
</file>