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eastAsia="方正小标宋简体"/>
          <w:sz w:val="36"/>
          <w:szCs w:val="36"/>
        </w:rPr>
      </w:pPr>
      <w:r>
        <w:rPr>
          <w:rFonts w:hint="eastAsia" w:ascii="方正小标宋简体" w:hAnsi="方正小标宋简体" w:eastAsia="方正小标宋简体" w:cs="方正小标宋简体"/>
          <w:sz w:val="36"/>
          <w:szCs w:val="36"/>
        </w:rPr>
        <w:t>盈江县</w:t>
      </w:r>
      <w:r>
        <w:rPr>
          <w:rFonts w:hint="eastAsia" w:ascii="方正小标宋简体" w:hAnsi="方正小标宋简体" w:eastAsia="方正小标宋简体" w:cs="方正小标宋简体"/>
          <w:sz w:val="36"/>
          <w:szCs w:val="36"/>
          <w:lang w:eastAsia="zh-CN"/>
        </w:rPr>
        <w:t>档案</w:t>
      </w:r>
      <w:r>
        <w:rPr>
          <w:rFonts w:hint="eastAsia" w:ascii="方正小标宋简体" w:hAnsi="方正小标宋简体" w:eastAsia="方正小标宋简体" w:cs="方正小标宋简体"/>
          <w:sz w:val="36"/>
          <w:szCs w:val="36"/>
        </w:rPr>
        <w:t>局</w:t>
      </w:r>
      <w:r>
        <w:rPr>
          <w:rFonts w:hint="eastAsia" w:ascii="方正小标宋简体" w:hAnsi="方正小标宋简体" w:eastAsia="方正小标宋简体" w:cs="方正小标宋简体"/>
          <w:sz w:val="36"/>
          <w:szCs w:val="36"/>
          <w:lang w:val="en-US" w:eastAsia="zh-CN"/>
        </w:rPr>
        <w:t>2019</w:t>
      </w:r>
      <w:r>
        <w:rPr>
          <w:rFonts w:hint="eastAsia" w:ascii="方正小标宋简体" w:hAnsi="方正小标宋简体" w:eastAsia="方正小标宋简体" w:cs="方正小标宋简体"/>
          <w:sz w:val="36"/>
          <w:szCs w:val="36"/>
        </w:rPr>
        <w:t>年预算</w:t>
      </w:r>
      <w:r>
        <w:rPr>
          <w:rFonts w:hint="eastAsia" w:ascii="方正小标宋简体" w:hAnsi="方正小标宋简体" w:eastAsia="方正小标宋简体" w:cs="方正小标宋简体"/>
          <w:sz w:val="36"/>
          <w:szCs w:val="36"/>
          <w:lang w:eastAsia="zh-CN"/>
        </w:rPr>
        <w:t>公开</w:t>
      </w:r>
      <w:r>
        <w:rPr>
          <w:rFonts w:hint="eastAsia" w:ascii="方正小标宋简体" w:eastAsia="方正小标宋简体"/>
          <w:sz w:val="36"/>
          <w:szCs w:val="36"/>
        </w:rPr>
        <w:t>目录</w:t>
      </w:r>
    </w:p>
    <w:p>
      <w:pPr>
        <w:jc w:val="left"/>
        <w:rPr>
          <w:rFonts w:hint="eastAsia" w:ascii="黑体" w:hAnsi="黑体" w:eastAsia="黑体"/>
          <w:sz w:val="30"/>
          <w:szCs w:val="30"/>
        </w:rPr>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center"/>
        <w:rPr>
          <w:rFonts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盈江县档案局2019年预算公开目录</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第一部分 盈江县档案局2019年部门预算编制说明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第二部分 盈江县档案局2019年部门预算表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一、部门财务收支总体情况表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二、部门收入总体情况表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三、部门支出总体情况表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四、部门财政拨款收支总体情况表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五、部门一般公共预算本级财力安排支出情况表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六、部门基本支出情况表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七、部门政府性基金预算支出情况表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八、财政拨款支出明细表（按经济科目分类）</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九、部门一般公共预算“三公”经费支出情况表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十、县本级项目支出绩效目标表（本次下达）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十一、县本级项目支出绩效目标表（另文下达）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十二、县对下转移支付绩效目标表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十三、部门政府采购情况表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center"/>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center"/>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center"/>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center"/>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盈江县档案局2019年部门预算编制说明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5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一、基本职能及主要工作</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3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（一）部门主要职责</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8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根据</w:t>
      </w:r>
      <w:r>
        <w:rPr>
          <w:rFonts w:ascii="宋体" w:hAnsi="宋体" w:eastAsia="宋体" w:cs="宋体"/>
          <w:i w:val="0"/>
          <w:caps w:val="0"/>
          <w:color w:val="000000"/>
          <w:spacing w:val="0"/>
          <w:kern w:val="0"/>
          <w:sz w:val="24"/>
          <w:szCs w:val="24"/>
          <w:u w:val="single"/>
          <w:shd w:val="clear" w:fill="FBFBFB"/>
          <w:lang w:val="en-US" w:eastAsia="zh-CN" w:bidi="ar"/>
        </w:rPr>
        <w:t>盈政办发[1997]43号</w:t>
      </w:r>
      <w:r>
        <w:rPr>
          <w:rFonts w:ascii="宋体" w:hAnsi="宋体" w:eastAsia="宋体" w:cs="宋体"/>
          <w:i w:val="0"/>
          <w:caps w:val="0"/>
          <w:color w:val="000000"/>
          <w:spacing w:val="0"/>
          <w:kern w:val="0"/>
          <w:sz w:val="24"/>
          <w:szCs w:val="24"/>
          <w:shd w:val="clear" w:fill="FBFBFB"/>
          <w:lang w:val="en-US" w:eastAsia="zh-CN" w:bidi="ar"/>
        </w:rPr>
        <w:t>文件规定，其主要职责职能是：档案局对全县档案工作实行宏观管理，贯彻落实档案工作的各项方针政策及法律法规，制定全县档案事业发展规划并组织实施，对全县档案业务进行指导和监督，查处违反档案法律法规和各类案件，规范管理全县档案工作。档案馆是集中保管全县档案资料的中心，对各单位保管期限满10年以上的档案资料依法进行接收进馆，并向领导部门和社会各方面提供利用服务。</w:t>
      </w:r>
      <w:bookmarkStart w:id="0" w:name="_GoBack"/>
      <w:bookmarkEnd w:id="0"/>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3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（二）机构设置情况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3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盈江县档案局内设业务股、保管利用股、信息股3个职能科室。</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3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（三）重点工作概述</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70"/>
        <w:jc w:val="both"/>
        <w:rPr>
          <w:rFonts w:hint="default" w:ascii="微软雅黑" w:hAnsi="微软雅黑" w:eastAsia="微软雅黑" w:cs="微软雅黑"/>
          <w:i w:val="0"/>
          <w:caps w:val="0"/>
          <w:color w:val="333333"/>
          <w:spacing w:val="0"/>
          <w:sz w:val="21"/>
          <w:szCs w:val="21"/>
        </w:rPr>
      </w:pPr>
      <w:r>
        <w:rPr>
          <w:rFonts w:ascii="宋体" w:hAnsi="宋体" w:eastAsia="宋体" w:cs="宋体"/>
          <w:b w:val="0"/>
          <w:i w:val="0"/>
          <w:caps w:val="0"/>
          <w:color w:val="000000"/>
          <w:spacing w:val="0"/>
          <w:kern w:val="0"/>
          <w:sz w:val="24"/>
          <w:szCs w:val="24"/>
          <w:shd w:val="clear" w:fill="FBFBFB"/>
          <w:lang w:val="en-US" w:eastAsia="zh-CN" w:bidi="ar"/>
        </w:rPr>
        <w:t>（一）档案安全体系不断夯实</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both"/>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一是深化档案资源建设。我局十分重视档案资源建设，将其作为档案工作的一项重要任务常抓不懈。</w:t>
      </w:r>
      <w:r>
        <w:rPr>
          <w:rFonts w:ascii="宋体" w:hAnsi="宋体" w:eastAsia="宋体" w:cs="宋体"/>
          <w:i w:val="0"/>
          <w:caps w:val="0"/>
          <w:color w:val="000000"/>
          <w:spacing w:val="0"/>
          <w:kern w:val="0"/>
          <w:sz w:val="24"/>
          <w:szCs w:val="24"/>
          <w:shd w:val="clear" w:fill="FFFFFF"/>
          <w:lang w:val="en-US" w:eastAsia="zh-CN" w:bidi="ar"/>
        </w:rPr>
        <w:t>二是加强档案的安全管护。</w:t>
      </w:r>
      <w:r>
        <w:rPr>
          <w:rFonts w:ascii="宋体" w:hAnsi="宋体" w:eastAsia="宋体" w:cs="宋体"/>
          <w:i w:val="0"/>
          <w:caps w:val="0"/>
          <w:color w:val="000000"/>
          <w:spacing w:val="0"/>
          <w:kern w:val="0"/>
          <w:sz w:val="24"/>
          <w:szCs w:val="24"/>
          <w:shd w:val="clear" w:fill="FBFBFB"/>
          <w:lang w:val="en-US" w:eastAsia="zh-CN" w:bidi="ar"/>
        </w:rPr>
        <w:t>始终把档案安全作为档案工作的生命线，牢固树立底线思维和红线意识，严格落实档案安全责任，适时组织开展档案库房安全检查，投入人财物全力保障档案的绝对安全。在档案库房等区域安装电子监控42个，实现档案馆网络监控无盲区；档案馆投入10万元安装了防盗窗、消防设备、视频监控等设施，并向政府办申请了保安两名负责档案馆安全管护，基本实现人防物防技防为一体的档案安全管护目标，确保了档案实体在收、管、存、用各个环节的安全。</w:t>
      </w:r>
      <w:r>
        <w:rPr>
          <w:rFonts w:ascii="宋体" w:hAnsi="宋体" w:eastAsia="宋体" w:cs="宋体"/>
          <w:i w:val="0"/>
          <w:caps w:val="0"/>
          <w:color w:val="000000"/>
          <w:spacing w:val="0"/>
          <w:kern w:val="0"/>
          <w:sz w:val="24"/>
          <w:szCs w:val="24"/>
          <w:shd w:val="clear" w:fill="FFFFFF"/>
          <w:lang w:val="en-US" w:eastAsia="zh-CN" w:bidi="ar"/>
        </w:rPr>
        <w:t>进行了冷藏</w:t>
      </w:r>
      <w:r>
        <w:rPr>
          <w:rFonts w:ascii="宋体" w:hAnsi="宋体" w:eastAsia="宋体" w:cs="宋体"/>
          <w:i w:val="0"/>
          <w:caps w:val="0"/>
          <w:color w:val="000000"/>
          <w:spacing w:val="0"/>
          <w:kern w:val="0"/>
          <w:sz w:val="24"/>
          <w:szCs w:val="24"/>
          <w:shd w:val="clear" w:fill="FBFBFB"/>
          <w:lang w:val="en-US" w:eastAsia="zh-CN" w:bidi="ar"/>
        </w:rPr>
        <w:t>消毒杀虫处理，并对其施放防虫药物，对检查发现的安全隐患及时整改，确保了档案资源的完整安全与有效保护。</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both"/>
        <w:rPr>
          <w:rFonts w:hint="default" w:ascii="微软雅黑" w:hAnsi="微软雅黑" w:eastAsia="微软雅黑" w:cs="微软雅黑"/>
          <w:i w:val="0"/>
          <w:caps w:val="0"/>
          <w:color w:val="333333"/>
          <w:spacing w:val="0"/>
          <w:sz w:val="21"/>
          <w:szCs w:val="21"/>
        </w:rPr>
      </w:pPr>
      <w:r>
        <w:rPr>
          <w:rFonts w:ascii="宋体" w:hAnsi="宋体" w:eastAsia="宋体" w:cs="宋体"/>
          <w:b w:val="0"/>
          <w:i w:val="0"/>
          <w:caps w:val="0"/>
          <w:color w:val="000000"/>
          <w:spacing w:val="0"/>
          <w:kern w:val="0"/>
          <w:sz w:val="24"/>
          <w:szCs w:val="24"/>
          <w:shd w:val="clear" w:fill="FBFBFB"/>
          <w:lang w:val="en-US" w:eastAsia="zh-CN" w:bidi="ar"/>
        </w:rPr>
        <w:t>(二)依法行政水平不断提高</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一是加大普法力度。把《档案法》和《云南省档案条例》《云南省国家裆案馆管理办法》等法规的学习和宣传作为“七五”普法的中心工作。二是强化依法管档。按照“法定职责必须为，法无授权不可为”的要求认真履职，建立了</w:t>
      </w:r>
      <w:r>
        <w:rPr>
          <w:rFonts w:hint="eastAsia" w:ascii="宋体" w:hAnsi="宋体" w:cs="宋体"/>
          <w:i w:val="0"/>
          <w:caps w:val="0"/>
          <w:color w:val="000000"/>
          <w:spacing w:val="0"/>
          <w:kern w:val="0"/>
          <w:sz w:val="24"/>
          <w:szCs w:val="24"/>
          <w:shd w:val="clear" w:fill="FBFBFB"/>
          <w:lang w:val="en-US" w:eastAsia="zh-CN" w:bidi="ar"/>
        </w:rPr>
        <w:t>“双随机、一公开”</w:t>
      </w:r>
      <w:r>
        <w:rPr>
          <w:rFonts w:ascii="宋体" w:hAnsi="宋体" w:eastAsia="宋体" w:cs="宋体"/>
          <w:i w:val="0"/>
          <w:caps w:val="0"/>
          <w:color w:val="000000"/>
          <w:spacing w:val="0"/>
          <w:kern w:val="0"/>
          <w:sz w:val="24"/>
          <w:szCs w:val="24"/>
          <w:shd w:val="clear" w:fill="FBFBFB"/>
          <w:lang w:val="en-US" w:eastAsia="zh-CN" w:bidi="ar"/>
        </w:rPr>
        <w:t>档案行政执法机制，及时调整更新清单内容，不断完善和规范权责清单，从“收、管、存、用”四个工作环节入手，不断提升依法管档水平。三是档案规范化管理水平逐步提升。根据县档案局印发《盈江县县级党政机关社会团体档案工作规范化管理示范单位认定办法》的通知（盈档发[2013]22号文件）。四是结合我县新的《盈江县党政机关、社会团体、乡镇档案工作绩效考核标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70"/>
        <w:jc w:val="both"/>
        <w:rPr>
          <w:rFonts w:hint="default" w:ascii="微软雅黑" w:hAnsi="微软雅黑" w:eastAsia="微软雅黑" w:cs="微软雅黑"/>
          <w:i w:val="0"/>
          <w:caps w:val="0"/>
          <w:color w:val="333333"/>
          <w:spacing w:val="0"/>
          <w:sz w:val="21"/>
          <w:szCs w:val="21"/>
        </w:rPr>
      </w:pPr>
      <w:r>
        <w:rPr>
          <w:rFonts w:ascii="宋体" w:hAnsi="宋体" w:eastAsia="宋体" w:cs="宋体"/>
          <w:b w:val="0"/>
          <w:i w:val="0"/>
          <w:caps w:val="0"/>
          <w:color w:val="000000"/>
          <w:spacing w:val="0"/>
          <w:kern w:val="0"/>
          <w:sz w:val="24"/>
          <w:szCs w:val="24"/>
          <w:shd w:val="clear" w:fill="FBFBFB"/>
          <w:lang w:val="en-US" w:eastAsia="zh-CN" w:bidi="ar"/>
        </w:rPr>
        <w:t>（三）档案信息化建设不断加快</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5"/>
        <w:jc w:val="both"/>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一是文书档案目录录入及扫描工作。二是加强计算机网络管理工作。盈江县档案信息网站的维护管理，更新，加强网络安全保密防范工作，防止涉密信息通过网络泄露。</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both"/>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三是进一步加强电子规范化管理的监督指导。</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both"/>
        <w:rPr>
          <w:rFonts w:hint="default" w:ascii="微软雅黑" w:hAnsi="微软雅黑" w:eastAsia="微软雅黑" w:cs="微软雅黑"/>
          <w:i w:val="0"/>
          <w:caps w:val="0"/>
          <w:color w:val="333333"/>
          <w:spacing w:val="0"/>
          <w:sz w:val="21"/>
          <w:szCs w:val="21"/>
        </w:rPr>
      </w:pPr>
      <w:r>
        <w:rPr>
          <w:rFonts w:ascii="宋体" w:hAnsi="宋体" w:eastAsia="宋体" w:cs="宋体"/>
          <w:b w:val="0"/>
          <w:i w:val="0"/>
          <w:caps w:val="0"/>
          <w:color w:val="000000"/>
          <w:spacing w:val="0"/>
          <w:kern w:val="0"/>
          <w:sz w:val="24"/>
          <w:szCs w:val="24"/>
          <w:shd w:val="clear" w:fill="FBFBFB"/>
          <w:lang w:val="en-US" w:eastAsia="zh-CN" w:bidi="ar"/>
        </w:rPr>
        <w:t>（四）服务社会能力不断提升</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档案资源开发利用服务民生服务社会成效明显。</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both"/>
        <w:rPr>
          <w:rFonts w:hint="default" w:ascii="微软雅黑" w:hAnsi="微软雅黑" w:eastAsia="微软雅黑" w:cs="微软雅黑"/>
          <w:i w:val="0"/>
          <w:caps w:val="0"/>
          <w:color w:val="333333"/>
          <w:spacing w:val="0"/>
          <w:sz w:val="21"/>
          <w:szCs w:val="21"/>
        </w:rPr>
      </w:pPr>
      <w:r>
        <w:rPr>
          <w:rFonts w:ascii="宋体" w:hAnsi="宋体" w:eastAsia="宋体" w:cs="宋体"/>
          <w:b w:val="0"/>
          <w:i w:val="0"/>
          <w:caps w:val="0"/>
          <w:color w:val="000000"/>
          <w:spacing w:val="0"/>
          <w:kern w:val="0"/>
          <w:sz w:val="24"/>
          <w:szCs w:val="24"/>
          <w:shd w:val="clear" w:fill="FBFBFB"/>
          <w:lang w:val="en-US" w:eastAsia="zh-CN" w:bidi="ar"/>
        </w:rPr>
        <w:t>（五）档案干部队伍不断加强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注重档案干部的思想政治教育。</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二、预算单位基本情况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我部门编制2019年部门预算单位共1个。其中：财政全供给单位1个；部分供给单位0个；特殊供给单位0个；自收自支单位0个。财政全供给单位中行政单位0个；参公管理事业单位1个；非参公管理事业单位0个。截止2018年11月统计，部门基本情况如下：</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在职人员编制9人，其中：行政编制 11人，事业编制0人。在职实有11人，其中：</w:t>
      </w:r>
      <w:r>
        <w:rPr>
          <w:rFonts w:hint="default" w:ascii="微软雅黑" w:hAnsi="微软雅黑" w:eastAsia="微软雅黑" w:cs="微软雅黑"/>
          <w:i w:val="0"/>
          <w:caps w:val="0"/>
          <w:color w:val="333333"/>
          <w:spacing w:val="0"/>
          <w:kern w:val="0"/>
          <w:sz w:val="21"/>
          <w:szCs w:val="21"/>
          <w:shd w:val="clear" w:fill="FBFBFB"/>
          <w:lang w:val="en-US" w:eastAsia="zh-CN" w:bidi="ar"/>
        </w:rPr>
        <w:t> </w:t>
      </w:r>
      <w:r>
        <w:rPr>
          <w:rFonts w:ascii="宋体" w:hAnsi="宋体" w:eastAsia="宋体" w:cs="宋体"/>
          <w:i w:val="0"/>
          <w:caps w:val="0"/>
          <w:color w:val="000000"/>
          <w:spacing w:val="0"/>
          <w:kern w:val="0"/>
          <w:sz w:val="24"/>
          <w:szCs w:val="24"/>
          <w:shd w:val="clear" w:fill="FBFBFB"/>
          <w:lang w:val="en-US" w:eastAsia="zh-CN" w:bidi="ar"/>
        </w:rPr>
        <w:t>财政全供养</w:t>
      </w:r>
      <w:r>
        <w:rPr>
          <w:rFonts w:hint="default" w:ascii="微软雅黑" w:hAnsi="微软雅黑" w:eastAsia="微软雅黑" w:cs="微软雅黑"/>
          <w:i w:val="0"/>
          <w:caps w:val="0"/>
          <w:color w:val="333333"/>
          <w:spacing w:val="0"/>
          <w:kern w:val="0"/>
          <w:sz w:val="21"/>
          <w:szCs w:val="21"/>
          <w:shd w:val="clear" w:fill="FBFBFB"/>
          <w:lang w:val="en-US" w:eastAsia="zh-CN" w:bidi="ar"/>
        </w:rPr>
        <w:t> </w:t>
      </w:r>
      <w:r>
        <w:rPr>
          <w:rFonts w:ascii="宋体" w:hAnsi="宋体" w:eastAsia="宋体" w:cs="宋体"/>
          <w:i w:val="0"/>
          <w:caps w:val="0"/>
          <w:color w:val="000000"/>
          <w:spacing w:val="0"/>
          <w:kern w:val="0"/>
          <w:sz w:val="24"/>
          <w:szCs w:val="24"/>
          <w:shd w:val="clear" w:fill="FBFBFB"/>
          <w:lang w:val="en-US" w:eastAsia="zh-CN" w:bidi="ar"/>
        </w:rPr>
        <w:t>11人，财政部分供养0人，非财政供养0人。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离退休人员 4人，其中：</w:t>
      </w:r>
      <w:r>
        <w:rPr>
          <w:rFonts w:hint="default" w:ascii="微软雅黑" w:hAnsi="微软雅黑" w:eastAsia="微软雅黑" w:cs="微软雅黑"/>
          <w:i w:val="0"/>
          <w:caps w:val="0"/>
          <w:color w:val="333333"/>
          <w:spacing w:val="0"/>
          <w:kern w:val="0"/>
          <w:sz w:val="21"/>
          <w:szCs w:val="21"/>
          <w:shd w:val="clear" w:fill="FBFBFB"/>
          <w:lang w:val="en-US" w:eastAsia="zh-CN" w:bidi="ar"/>
        </w:rPr>
        <w:t> </w:t>
      </w:r>
      <w:r>
        <w:rPr>
          <w:rFonts w:ascii="宋体" w:hAnsi="宋体" w:eastAsia="宋体" w:cs="宋体"/>
          <w:i w:val="0"/>
          <w:caps w:val="0"/>
          <w:color w:val="000000"/>
          <w:spacing w:val="0"/>
          <w:kern w:val="0"/>
          <w:sz w:val="24"/>
          <w:szCs w:val="24"/>
          <w:shd w:val="clear" w:fill="FBFBFB"/>
          <w:lang w:val="en-US" w:eastAsia="zh-CN" w:bidi="ar"/>
        </w:rPr>
        <w:t>离休</w:t>
      </w:r>
      <w:r>
        <w:rPr>
          <w:rFonts w:hint="default" w:ascii="微软雅黑" w:hAnsi="微软雅黑" w:eastAsia="微软雅黑" w:cs="微软雅黑"/>
          <w:i w:val="0"/>
          <w:caps w:val="0"/>
          <w:color w:val="333333"/>
          <w:spacing w:val="0"/>
          <w:kern w:val="0"/>
          <w:sz w:val="21"/>
          <w:szCs w:val="21"/>
          <w:shd w:val="clear" w:fill="FBFBFB"/>
          <w:lang w:val="en-US" w:eastAsia="zh-CN" w:bidi="ar"/>
        </w:rPr>
        <w:t> </w:t>
      </w:r>
      <w:r>
        <w:rPr>
          <w:rFonts w:ascii="宋体" w:hAnsi="宋体" w:eastAsia="宋体" w:cs="宋体"/>
          <w:i w:val="0"/>
          <w:caps w:val="0"/>
          <w:color w:val="000000"/>
          <w:spacing w:val="0"/>
          <w:kern w:val="0"/>
          <w:sz w:val="24"/>
          <w:szCs w:val="24"/>
          <w:shd w:val="clear" w:fill="FBFBFB"/>
          <w:lang w:val="en-US" w:eastAsia="zh-CN" w:bidi="ar"/>
        </w:rPr>
        <w:t>0人，退休 4人 (退休人员工资已纳入社保)。</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车辆编制0辆，实有车辆0辆。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其他人员:定额补助1人。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三、预算单位收入情况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5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（一）部门财务收入情况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75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2019年部门财务总收入 160.16万元，其中：一般公共预算财政拨款160.16万元，政府性基金预算财政拨款0万元，国有资本经营预算财政拨款0万元，事业收入0万元，事业单位经营收入0万元，其他收入0万元，上年结转0万元。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5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（二）财政拨款收入情况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75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2019年部门财政拨款收入 160.16万元，其中:本年收入160.16万元，上年结转0万元。本年收入中，一般公共预算财政拨款160.16万元（本级财力160.16万元，专项收入0万元，执法办案补助0万元，收费成本补偿0万元，财政专户管理的收入0万元，国有资源（资产）有偿使用成本补偿0万元），政府性基金预算财政拨款0万元，国有资本经营预算财政拨款0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四、预算单位支出情况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2019年部门预算总支出160.16万元。财政拨款安排支出 160.16万元，其中，基本支出150.16万元，项目支出10万元。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5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（一）财政拨款安排支出按功能科目分类情况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2012601行政运行135.93万元，主要用于工资福利支出119.43万元，商品和服务支出16.14万元，对个人和家庭的补助0.36万元。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2012604档案馆10万元，主要用于档案维护费。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2080501归口管理的行政单位离退休0.24万元，主要用于退休人员公务费支出。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2210201住房公积金13.99万元，主要用于在职人员住房公积金缴费（单位部份）。</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45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（二）财政拨款安排支出按经济科目分类情况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2012601行政运行135.93万元，基本支出135.93万元，主要用于机关301工资福利支出119.43万元，302商品和服务支出16.14万元，303对个人和家庭的补助0.36万元。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2012604档案馆10万元，项目支出10万元，主要用于302商品和服务支出10万元。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2080501归口管理的行政单位离退休0.24万元，基本支出0.24万元，主要用于302商品和服务支出0.24万元。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2210201住房公积金13.99万元，基本支出13.99万元，主要用于201工资福利支出13.99万元。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五、县对下专项转移支付情况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我单位无县对下专项转移支付资金。</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六、政府采购预算情况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根据《中华人民共和国政府采购法》的有关规定，编制了政府采购预算，共涉及采购项目1个，采购预算资金1万元。</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六、预算收支增减变化情况说明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560" w:lineRule="atLeast"/>
        <w:ind w:left="0" w:right="0" w:firstLine="640"/>
        <w:jc w:val="both"/>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(一)部门“三公”经费增减变化情况及原因说明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560" w:lineRule="atLeast"/>
        <w:ind w:left="0" w:right="0" w:firstLine="640"/>
        <w:jc w:val="both"/>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2019年“三公”经费预算数为2万元，与上年预算数2万元持平。</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62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1、因公出国（境）经费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62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拟安排出国（境）经费预算0万元，与上年持平。</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62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2、公务接待费</w:t>
      </w:r>
    </w:p>
    <w:p>
      <w:pPr>
        <w:pStyle w:val="6"/>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0" w:beforeAutospacing="0" w:after="0" w:afterAutospacing="0" w:line="390" w:lineRule="atLeast"/>
        <w:ind w:left="0" w:right="0" w:firstLine="420"/>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sz w:val="24"/>
          <w:szCs w:val="24"/>
          <w:shd w:val="clear" w:fill="FBFBFB"/>
        </w:rPr>
        <w:t>拟安排公务接待费预算1万元，主要用于按规定开支的各类公务接待产生的费用，与上年预算数1万元持平。</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62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3、公务用车购置及运行维护费</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62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拟安排公务用车购置及运行维护费0万元，其中：购置经费0万元、运行维护费0万元，主要用于保障政府部门、党群部门、其他部门公务工作开展，拟产生的公务用车燃料费、维修费、过路过桥费、保险费等支出，与上年预算数0万元持平。</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620" w:lineRule="atLeast"/>
        <w:ind w:left="0" w:right="0" w:firstLine="64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（二）预算收入增减变化情况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2019年部门预算收入160.16万元，比上年预算数147.79万元增12.37万元，增8.98%。原因：2018年底调增人员工资。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（三）部门基本支出预算变动的主要原因，对本年与上年同口径数据比对情况分析</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2019年基本支出预算150.16万元，较2018年基本支出预算137.79万元增加12.37万元，增8.36%，增加的原因是调资增资。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b w:val="0"/>
          <w:i w:val="0"/>
          <w:caps w:val="0"/>
          <w:color w:val="000000"/>
          <w:spacing w:val="0"/>
          <w:kern w:val="0"/>
          <w:sz w:val="24"/>
          <w:szCs w:val="24"/>
          <w:shd w:val="clear" w:fill="FBFBFB"/>
          <w:lang w:val="en-US" w:eastAsia="zh-CN" w:bidi="ar"/>
        </w:rPr>
        <w:t>（四）2019年</w:t>
      </w:r>
      <w:r>
        <w:rPr>
          <w:rFonts w:ascii="宋体" w:hAnsi="宋体" w:eastAsia="宋体" w:cs="宋体"/>
          <w:i w:val="0"/>
          <w:caps w:val="0"/>
          <w:color w:val="000000"/>
          <w:spacing w:val="0"/>
          <w:kern w:val="0"/>
          <w:sz w:val="24"/>
          <w:szCs w:val="24"/>
          <w:shd w:val="clear" w:fill="FBFBFB"/>
          <w:lang w:val="en-US" w:eastAsia="zh-CN" w:bidi="ar"/>
        </w:rPr>
        <w:t>项目支出预算10万元，较2018年项目支出预算10万元，无增减变化。</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八、其他公开信息</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（一）专业名词解释</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5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1.财政拨款（补助）收入指财政部门当年拨付的资金。</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5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2.基本支出指为保障机构正常运转、完成日常工作任务而发生的人员支出和公用支出。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5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3.项目支出指在基本支出之外为完成相关行政任务和事业发展目标所发生的支出。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5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4.机关运行经费指行政单位和参照公务员法管理的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5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5.“三公”经费包括因公出国（境）费、公务用车购置及运行费、公务接待费。其中：因公出国（境）费，指单位工作人员公务出国（境）的住宿费、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5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6.一般公共预算是对以税收为主体的财政收入，安排用于保障和改善民生、推动经济社会发展、维护国家安全、维护国家机构正常运转等方面的收支预算。</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5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7.工资福利支出反映单位开支的在职职工和编制外长期聘用人员的各类劳动报酬，以及为上述人员缴纳的各项社会保险费等。</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5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8.商品和服务支出反映单位购买商品和服务的支出（不包括用于购置固定资产的支出、战略性和应急储备支出）。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5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9.对个人和家庭的补助反映政府用于对个人和家庭的补助支出。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50" w:beforeAutospacing="0" w:after="0" w:afterAutospacing="0" w:line="390" w:lineRule="atLeast"/>
        <w:ind w:left="0" w:right="0" w:firstLine="42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10.政府采购是指各级国家机关、事业单位和团体组织，使用财政性资金采购依法制定的集中采购目录以内的或者采购限额标准以上的货物、工程和服务的行为。</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（二）机关运行经费安排</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100" w:beforeAutospacing="0" w:after="100" w:afterAutospacing="0" w:line="315"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盈江县档案局2019年部门预算机关运行经费支出16.38万元，主要用于办公费2.34万元、印刷费0.5万元、差旅费2万元、公务接待费1万元、劳务费1万元、其他交通费用9.54万元，与上年持平。</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（三）国有资产占用情况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鉴于截至2019年12月31日的国有资产占有使用情况需在完成2019年决算编制后才能统计汇总相关数据，因此，将在公开2019年度部门决算时一并公开部门截至2019年12月31日的国有资产占有使用情况。</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left"/>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（四）本部门预算绩效情况说明</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BFBFB"/>
        <w:spacing w:before="210" w:beforeAutospacing="0" w:after="200" w:afterAutospacing="0" w:line="390" w:lineRule="atLeast"/>
        <w:ind w:left="0" w:right="0" w:firstLine="600"/>
        <w:jc w:val="both"/>
        <w:rPr>
          <w:rFonts w:hint="default" w:ascii="微软雅黑" w:hAnsi="微软雅黑" w:eastAsia="微软雅黑" w:cs="微软雅黑"/>
          <w:i w:val="0"/>
          <w:caps w:val="0"/>
          <w:color w:val="333333"/>
          <w:spacing w:val="0"/>
          <w:sz w:val="21"/>
          <w:szCs w:val="21"/>
        </w:rPr>
      </w:pPr>
      <w:r>
        <w:rPr>
          <w:rFonts w:ascii="宋体" w:hAnsi="宋体" w:eastAsia="宋体" w:cs="宋体"/>
          <w:i w:val="0"/>
          <w:caps w:val="0"/>
          <w:color w:val="000000"/>
          <w:spacing w:val="0"/>
          <w:kern w:val="0"/>
          <w:sz w:val="24"/>
          <w:szCs w:val="24"/>
          <w:shd w:val="clear" w:fill="FBFBFB"/>
          <w:lang w:val="en-US" w:eastAsia="zh-CN" w:bidi="ar"/>
        </w:rPr>
        <w:t>   2019年单位预算财政拨款收入160.16万元其中：基本支出150.16万元，主要用于发放人员工资，住房公积金，支付公用经费确保机构正常运转。项目支出10万元主要用于档案馆</w:t>
      </w:r>
      <w:r>
        <w:rPr>
          <w:rFonts w:ascii="宋体" w:hAnsi="宋体" w:eastAsia="宋体" w:cs="宋体"/>
          <w:i w:val="0"/>
          <w:caps w:val="0"/>
          <w:color w:val="000000"/>
          <w:spacing w:val="0"/>
          <w:kern w:val="0"/>
          <w:sz w:val="24"/>
          <w:szCs w:val="24"/>
          <w:shd w:val="clear" w:fill="FFFFFF"/>
          <w:lang w:val="en-US" w:eastAsia="zh-CN" w:bidi="ar"/>
        </w:rPr>
        <w:t>安全、冷藏</w:t>
      </w:r>
      <w:r>
        <w:rPr>
          <w:rFonts w:ascii="宋体" w:hAnsi="宋体" w:eastAsia="宋体" w:cs="宋体"/>
          <w:i w:val="0"/>
          <w:caps w:val="0"/>
          <w:color w:val="000000"/>
          <w:spacing w:val="0"/>
          <w:kern w:val="0"/>
          <w:sz w:val="24"/>
          <w:szCs w:val="24"/>
          <w:shd w:val="clear" w:fill="FBFBFB"/>
          <w:lang w:val="en-US" w:eastAsia="zh-CN" w:bidi="ar"/>
        </w:rPr>
        <w:t>消毒杀虫等日常维护开支。  </w:t>
      </w:r>
    </w:p>
    <w:p/>
    <w:p>
      <w:pPr>
        <w:widowControl/>
        <w:jc w:val="left"/>
        <w:rPr>
          <w:rFonts w:ascii="楷体_GB2312" w:eastAsia="楷体_GB2312"/>
          <w:kern w:val="0"/>
          <w:sz w:val="30"/>
          <w:szCs w:val="30"/>
        </w:rPr>
      </w:pPr>
    </w:p>
    <w:p>
      <w:pPr>
        <w:widowControl/>
        <w:ind w:firstLine="600" w:firstLineChars="200"/>
        <w:jc w:val="left"/>
        <w:rPr>
          <w:rFonts w:eastAsia="仿宋_GB2312"/>
          <w:kern w:val="0"/>
          <w:sz w:val="30"/>
          <w:szCs w:val="30"/>
        </w:rPr>
      </w:pPr>
    </w:p>
    <w:p>
      <w:pPr>
        <w:widowControl/>
        <w:ind w:firstLine="600" w:firstLineChars="200"/>
        <w:jc w:val="left"/>
        <w:rPr>
          <w:rFonts w:eastAsia="仿宋_GB2312"/>
          <w:kern w:val="0"/>
          <w:sz w:val="30"/>
          <w:szCs w:val="30"/>
        </w:rPr>
      </w:pPr>
    </w:p>
    <w:p>
      <w:pPr>
        <w:widowControl/>
        <w:ind w:firstLine="600" w:firstLineChars="200"/>
        <w:jc w:val="left"/>
        <w:rPr>
          <w:rFonts w:hint="eastAsia" w:eastAsia="仿宋_GB2312"/>
          <w:kern w:val="0"/>
          <w:sz w:val="30"/>
          <w:szCs w:val="30"/>
        </w:rPr>
      </w:pPr>
    </w:p>
    <w:p>
      <w:pPr>
        <w:widowControl/>
        <w:ind w:firstLine="600" w:firstLineChars="200"/>
        <w:jc w:val="left"/>
        <w:rPr>
          <w:rFonts w:hint="eastAsia" w:eastAsia="仿宋_GB2312"/>
          <w:kern w:val="0"/>
          <w:sz w:val="30"/>
          <w:szCs w:val="30"/>
        </w:rPr>
      </w:pPr>
    </w:p>
    <w:p>
      <w:pPr>
        <w:widowControl/>
        <w:ind w:firstLine="600" w:firstLineChars="200"/>
        <w:jc w:val="left"/>
        <w:rPr>
          <w:rFonts w:hint="eastAsia" w:eastAsia="仿宋_GB2312"/>
          <w:kern w:val="0"/>
          <w:sz w:val="30"/>
          <w:szCs w:val="30"/>
        </w:rPr>
      </w:pPr>
    </w:p>
    <w:p>
      <w:pPr>
        <w:widowControl/>
        <w:ind w:firstLine="600" w:firstLineChars="200"/>
        <w:jc w:val="left"/>
        <w:rPr>
          <w:rFonts w:hint="eastAsia" w:eastAsia="仿宋_GB2312"/>
          <w:kern w:val="0"/>
          <w:sz w:val="30"/>
          <w:szCs w:val="30"/>
        </w:rPr>
      </w:pPr>
    </w:p>
    <w:p>
      <w:pPr>
        <w:widowControl/>
        <w:ind w:firstLine="600" w:firstLineChars="200"/>
        <w:jc w:val="left"/>
        <w:rPr>
          <w:rFonts w:hint="eastAsia" w:eastAsia="仿宋_GB2312"/>
          <w:kern w:val="0"/>
          <w:sz w:val="30"/>
          <w:szCs w:val="30"/>
        </w:rPr>
      </w:pPr>
    </w:p>
    <w:p>
      <w:pPr>
        <w:widowControl/>
        <w:ind w:firstLine="600" w:firstLineChars="200"/>
        <w:jc w:val="left"/>
        <w:rPr>
          <w:rFonts w:hint="eastAsia" w:eastAsia="仿宋_GB2312"/>
          <w:kern w:val="0"/>
          <w:sz w:val="30"/>
          <w:szCs w:val="30"/>
        </w:rPr>
      </w:pPr>
    </w:p>
    <w:p>
      <w:pPr>
        <w:widowControl/>
        <w:ind w:firstLine="600" w:firstLineChars="200"/>
        <w:jc w:val="left"/>
        <w:rPr>
          <w:rFonts w:hint="eastAsia" w:eastAsia="仿宋_GB2312"/>
          <w:kern w:val="0"/>
          <w:sz w:val="30"/>
          <w:szCs w:val="30"/>
        </w:rPr>
      </w:pPr>
    </w:p>
    <w:p>
      <w:pPr>
        <w:widowControl/>
        <w:ind w:firstLine="600" w:firstLineChars="200"/>
        <w:jc w:val="left"/>
        <w:rPr>
          <w:rFonts w:hint="eastAsia" w:eastAsia="仿宋_GB2312"/>
          <w:kern w:val="0"/>
          <w:sz w:val="30"/>
          <w:szCs w:val="30"/>
        </w:rPr>
      </w:pPr>
    </w:p>
    <w:p>
      <w:pPr>
        <w:widowControl/>
        <w:ind w:firstLine="600" w:firstLineChars="200"/>
        <w:jc w:val="left"/>
        <w:rPr>
          <w:rFonts w:hint="eastAsia" w:eastAsia="仿宋_GB2312"/>
          <w:kern w:val="0"/>
          <w:sz w:val="30"/>
          <w:szCs w:val="30"/>
        </w:rPr>
      </w:pPr>
    </w:p>
    <w:p>
      <w:pPr>
        <w:widowControl/>
        <w:ind w:firstLine="600" w:firstLineChars="200"/>
        <w:jc w:val="left"/>
        <w:rPr>
          <w:rFonts w:hint="eastAsia" w:eastAsia="仿宋_GB2312"/>
          <w:kern w:val="0"/>
          <w:sz w:val="30"/>
          <w:szCs w:val="30"/>
        </w:rPr>
      </w:pPr>
    </w:p>
    <w:p>
      <w:pPr>
        <w:widowControl/>
        <w:ind w:firstLine="600" w:firstLineChars="200"/>
        <w:jc w:val="left"/>
        <w:rPr>
          <w:rFonts w:hint="eastAsia" w:eastAsia="仿宋_GB2312"/>
          <w:kern w:val="0"/>
          <w:sz w:val="30"/>
          <w:szCs w:val="30"/>
        </w:rPr>
      </w:pPr>
    </w:p>
    <w:p>
      <w:pPr>
        <w:widowControl/>
        <w:ind w:firstLine="600" w:firstLineChars="200"/>
        <w:jc w:val="left"/>
        <w:rPr>
          <w:rFonts w:hint="eastAsia" w:eastAsia="仿宋_GB2312"/>
          <w:kern w:val="0"/>
          <w:sz w:val="30"/>
          <w:szCs w:val="30"/>
        </w:rPr>
      </w:pPr>
    </w:p>
    <w:p>
      <w:pPr>
        <w:widowControl/>
        <w:ind w:firstLine="600" w:firstLineChars="200"/>
        <w:jc w:val="left"/>
        <w:rPr>
          <w:rFonts w:hint="eastAsia" w:eastAsia="仿宋_GB2312"/>
          <w:kern w:val="0"/>
          <w:sz w:val="30"/>
          <w:szCs w:val="30"/>
        </w:rPr>
      </w:pPr>
    </w:p>
    <w:p>
      <w:pPr>
        <w:widowControl/>
        <w:ind w:firstLine="600" w:firstLineChars="200"/>
        <w:jc w:val="left"/>
        <w:rPr>
          <w:rFonts w:hint="eastAsia" w:eastAsia="仿宋_GB2312"/>
          <w:kern w:val="0"/>
          <w:sz w:val="30"/>
          <w:szCs w:val="30"/>
        </w:rPr>
      </w:pPr>
    </w:p>
    <w:p>
      <w:pPr>
        <w:widowControl/>
        <w:ind w:firstLine="600" w:firstLineChars="200"/>
        <w:jc w:val="left"/>
        <w:rPr>
          <w:rFonts w:hint="eastAsia" w:eastAsia="仿宋_GB2312"/>
          <w:kern w:val="0"/>
          <w:sz w:val="30"/>
          <w:szCs w:val="30"/>
        </w:rPr>
      </w:pPr>
    </w:p>
    <w:p>
      <w:pPr>
        <w:widowControl/>
        <w:ind w:firstLine="600" w:firstLineChars="200"/>
        <w:jc w:val="left"/>
        <w:rPr>
          <w:rFonts w:hint="eastAsia" w:eastAsia="仿宋_GB2312"/>
          <w:kern w:val="0"/>
          <w:sz w:val="30"/>
          <w:szCs w:val="30"/>
        </w:rPr>
      </w:pPr>
    </w:p>
    <w:p>
      <w:pPr>
        <w:widowControl/>
        <w:ind w:firstLine="600" w:firstLineChars="200"/>
        <w:jc w:val="left"/>
        <w:rPr>
          <w:rFonts w:eastAsia="仿宋_GB2312"/>
          <w:kern w:val="0"/>
          <w:sz w:val="30"/>
          <w:szCs w:val="30"/>
        </w:rPr>
      </w:pPr>
    </w:p>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Arial Unicode MS"/>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365A"/>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2555"/>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5AF"/>
    <w:rsid w:val="0037788A"/>
    <w:rsid w:val="0038029B"/>
    <w:rsid w:val="00383096"/>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3507"/>
    <w:rsid w:val="00403546"/>
    <w:rsid w:val="00404DA0"/>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0CF7"/>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25D"/>
    <w:rsid w:val="007B4A0F"/>
    <w:rsid w:val="007C05CB"/>
    <w:rsid w:val="007C1922"/>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0A7E"/>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B4F"/>
    <w:rsid w:val="00AF7C58"/>
    <w:rsid w:val="00B05787"/>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12D7"/>
    <w:rsid w:val="00F43996"/>
    <w:rsid w:val="00F45AD5"/>
    <w:rsid w:val="00F45F72"/>
    <w:rsid w:val="00F47184"/>
    <w:rsid w:val="00F51398"/>
    <w:rsid w:val="00F521B6"/>
    <w:rsid w:val="00F53C1F"/>
    <w:rsid w:val="00F53D7D"/>
    <w:rsid w:val="00F54201"/>
    <w:rsid w:val="00F5464F"/>
    <w:rsid w:val="00F56660"/>
    <w:rsid w:val="00F6446E"/>
    <w:rsid w:val="00F64A92"/>
    <w:rsid w:val="00F657F3"/>
    <w:rsid w:val="00F80BF6"/>
    <w:rsid w:val="00F81802"/>
    <w:rsid w:val="00F82819"/>
    <w:rsid w:val="00F8452D"/>
    <w:rsid w:val="00F95BCB"/>
    <w:rsid w:val="00F96634"/>
    <w:rsid w:val="00F96A5C"/>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5F50"/>
    <w:rsid w:val="00FF1B25"/>
    <w:rsid w:val="00FF7A85"/>
    <w:rsid w:val="025737A0"/>
    <w:rsid w:val="03F0214E"/>
    <w:rsid w:val="06325B44"/>
    <w:rsid w:val="0AB77A2F"/>
    <w:rsid w:val="124200A6"/>
    <w:rsid w:val="1A0B3DDD"/>
    <w:rsid w:val="26CA6281"/>
    <w:rsid w:val="39466C4F"/>
    <w:rsid w:val="3BB467C6"/>
    <w:rsid w:val="4CC27CB5"/>
    <w:rsid w:val="4F716E7E"/>
    <w:rsid w:val="5DB60650"/>
    <w:rsid w:val="618A0339"/>
    <w:rsid w:val="6B7B1D9B"/>
    <w:rsid w:val="6EE62A99"/>
    <w:rsid w:val="724A4A01"/>
    <w:rsid w:val="7B1E5394"/>
    <w:rsid w:val="7BD43826"/>
    <w:rsid w:val="7EA009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unhideWhenUsed/>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2">
    <w:name w:val="annotation text"/>
    <w:basedOn w:val="1"/>
    <w:semiHidden/>
    <w:qFormat/>
    <w:uiPriority w:val="0"/>
    <w:pPr>
      <w:jc w:val="left"/>
    </w:pPr>
  </w:style>
  <w:style w:type="paragraph" w:styleId="3">
    <w:name w:val="Balloon Text"/>
    <w:basedOn w:val="1"/>
    <w:semiHidden/>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paragraph" w:styleId="7">
    <w:name w:val="annotation subject"/>
    <w:basedOn w:val="2"/>
    <w:next w:val="2"/>
    <w:semiHidden/>
    <w:qFormat/>
    <w:uiPriority w:val="0"/>
    <w:rPr>
      <w:b/>
      <w:bCs/>
    </w:rPr>
  </w:style>
  <w:style w:type="character" w:styleId="10">
    <w:name w:val="annotation reference"/>
    <w:semiHidden/>
    <w:qFormat/>
    <w:uiPriority w:val="0"/>
    <w:rPr>
      <w:sz w:val="21"/>
      <w:szCs w:val="21"/>
    </w:rPr>
  </w:style>
  <w:style w:type="paragraph" w:customStyle="1" w:styleId="11">
    <w:name w:val="修订1"/>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zhlx</Company>
  <Pages>4</Pages>
  <Words>206</Words>
  <Characters>1179</Characters>
  <Lines>9</Lines>
  <Paragraphs>2</Paragraphs>
  <TotalTime>0</TotalTime>
  <ScaleCrop>false</ScaleCrop>
  <LinksUpToDate>false</LinksUpToDate>
  <CharactersWithSpaces>1383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2012-01-07T11:13:00Z</dcterms:created>
  <dc:creator>lx</dc:creator>
  <dc:description>ZHGenApp().GetProperty("Certification")</dc:description>
  <cp:lastModifiedBy>杨世妍</cp:lastModifiedBy>
  <cp:lastPrinted>2018-01-31T03:32:00Z</cp:lastPrinted>
  <dcterms:modified xsi:type="dcterms:W3CDTF">2024-06-19T09:21:16Z</dcterms:modified>
  <dc:title>年部门预算编制说明</dc:title>
  <cp:revision>95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E884A23ECF1D472D865D93334F793284</vt:lpwstr>
  </property>
</Properties>
</file>