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监督索引号53312300373100000</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center"/>
        <w:rPr>
          <w:rFonts w:ascii="微软雅黑" w:hAnsi="微软雅黑" w:eastAsia="微软雅黑" w:cs="微软雅黑"/>
          <w:color w:val="333333"/>
          <w:sz w:val="21"/>
          <w:szCs w:val="21"/>
        </w:rPr>
      </w:pPr>
      <w:r>
        <w:rPr>
          <w:rFonts w:ascii="宋体" w:hAnsi="宋体" w:eastAsia="宋体" w:cs="宋体"/>
          <w:b/>
          <w:i w:val="0"/>
          <w:caps w:val="0"/>
          <w:color w:val="000000"/>
          <w:spacing w:val="0"/>
          <w:kern w:val="0"/>
          <w:sz w:val="24"/>
          <w:szCs w:val="24"/>
          <w:shd w:val="clear" w:fill="FBFBFB"/>
          <w:lang w:val="en-US" w:eastAsia="zh-CN" w:bidi="ar"/>
        </w:rPr>
        <w:t>盈江县科技局2019年部门预算公开</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center"/>
        <w:rPr>
          <w:rFonts w:hint="default" w:ascii="微软雅黑" w:hAnsi="微软雅黑" w:eastAsia="微软雅黑" w:cs="微软雅黑"/>
          <w:color w:val="333333"/>
          <w:sz w:val="21"/>
          <w:szCs w:val="21"/>
        </w:rPr>
      </w:pPr>
      <w:r>
        <w:rPr>
          <w:rFonts w:ascii="宋体" w:hAnsi="宋体" w:eastAsia="宋体" w:cs="宋体"/>
          <w:b/>
          <w:i w:val="0"/>
          <w:caps w:val="0"/>
          <w:color w:val="000000"/>
          <w:spacing w:val="0"/>
          <w:kern w:val="0"/>
          <w:sz w:val="24"/>
          <w:szCs w:val="24"/>
          <w:shd w:val="clear" w:fill="FBFBFB"/>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第一部分盈江县科技局2019年部门预算编制说明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第二部分盈江县科技局2019年部门预算表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center"/>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center"/>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盈江县科技局2019年部门预算编制公开说明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5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㈠贯彻党和国家科技（科普）和知识产权工作的方针政策、法律法规及省、州相关政策措施、规定；参与拟</w:t>
      </w:r>
      <w:bookmarkStart w:id="0" w:name="_GoBack"/>
      <w:bookmarkEnd w:id="0"/>
      <w:r>
        <w:rPr>
          <w:rFonts w:ascii="宋体" w:hAnsi="宋体" w:eastAsia="宋体" w:cs="宋体"/>
          <w:b w:val="0"/>
          <w:i w:val="0"/>
          <w:caps w:val="0"/>
          <w:color w:val="000000"/>
          <w:spacing w:val="0"/>
          <w:kern w:val="0"/>
          <w:sz w:val="24"/>
          <w:szCs w:val="24"/>
          <w:shd w:val="clear" w:fill="FBFBFB"/>
          <w:lang w:val="en-US" w:eastAsia="zh-CN" w:bidi="ar"/>
        </w:rPr>
        <w:t>定全县科技（科普）发展、知识产权工作的具体政策措施和规定，推动科教兴县战略实施和知识产权保护；参与全县科技（科协）、知识产权战略和重大问题研究，提出工作重点及优先发展领域的建议，推动知识产权保护，科技创新体系建设，提高科技创新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672"/>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㈡会同编制全县科技（科普）发展规划、科技（科普）计划和专利工作发展规划并指导实施；会同编制科技（科普）计划财政资金预算报告，归口管理科技（科协）事业费、科技（科普）发展经费。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717"/>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㈢参与拟定科技体制改革的政策措施和建议，指导科技部门开展科技体制改革，探索科技服务经济社会的利益分配方式、实现形式、政策环境和运行机制，鼓励科技人员创新、创业；参与拟定科技（科普）资源优化配置、产学研结合、科技奖励、科技产业化、知识产权、科协发展和科技人才队伍建设的政策措施和建议；参与指导全县科技体制改革、科技资源整合、科技合作交流、科技成果转化和科技（科普）经费预决算及经费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717"/>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㈣牵头落实“三服务一加强”，参与构建“四个十强”工作体系，不断提高为经济社会发展服务，为提高全民科学素质服务，为广大科技工作者服务的能力与水平。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717"/>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㈤指导全县科技（科普）工作；会同指导科技（科普）示范村、科技（科普）示范企业、科技（科普）示范基地、科技示范户和学（协）会规范发展等创建活动；参与指导科技进步先进县（市）争创活动。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7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㈥指导县直各部门及各（乡）镇科技管理工作；承担科技成果验收、奖励和登记职责；会同开展科技成果推荐、科技人才举荐工作；参与指导科技成果转化和科技产业开发，促进先进适用技术推广应用和关键技术创新工作，加速科技成果转化；参加有关部门组织的先进技术引进、重大技术改造、重点工程建设前期预研、论证评估等活动；负责监督科技（科普）计划的项目策划与申报、实施管理、经费使用督查、项目验收、绩效评估、成果评价等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7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㈦会同监督全县知识产权工作；依法承担全县专利管理与保护职责。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717"/>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㈧贯彻《全民素质纲要》，牵头组织科普宣传、科技培训和科普活动。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717"/>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㈨承办县委、县政府和上级业务部门交办的其他事项。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根据上述职责,盈江县科技局设置4个内设机构。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1、办公室</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综合协调、参与政务。负责起草工作规划、计划、总结及系统内综合性文件，搞好党务建设、工会、老干、计生、妇女等工作；单位电文处理、文件收发、档案管理、保密工作、会议组织、催办督办等工作；负责对外联络接待、来信来访；负责局内财务、国有固定资产管理，科技（科普）经费预决算，归口管理和使用科学事业费、科技（科普）发展经费，做好项目经费督查和财政资金绩效评价工作；负责科技宣传报道、科技综合统计；参与研究全县科技（科普）发展重大问题；参与拟定科技体制改革、科技资源优化配置、经费管理、知识产权、科协发展和科技人才队伍建设的政策措施和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2、科技管理股（盈江县知识产权局）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指导县直各部门及各（乡）镇开展科技管理工作；参与科技项目论证、科技成果评价；负责科技成果登记、推荐申报及全县科技进步奖征集、评审、核奖、表彰工作；牵头开展科技先进集体、个人遴选上报工作；监督科技（科普）计划项目实施、经费使用、项目验收、绩效评估、科技成果评价等工作；参与有关部门组织专家对先进技术引进、重大技术改造、重点工程建设开展前期预研、论证评估等活动;参与指导科技体制改革、科技资源整合、科技合作交流；编制全县知识产权发展规划和年度工作计划；负责知识产权工作宏观管理与协调，参与指导行业开展知识产权工作；参与涉外知识产权工作协调；负责专利政策宣传、教育、培训工作；负责全县专利技术咨询服务与申报登记工作；参与监督专利市场管理；负责盈江县专利信息数据库建设、运行和管理；负责专利行政执法工作，调解专利纠纷，查处假冒他人专利和冒充专利行为；参与跨区域专项联合专利行政执法；指导专利技术实施工作，做好涉外专利技术实施服务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3、项目股</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参与研究科技（科普）发展战略；会同相关部门编制科技（科普）发展中长期规划和科技（科普）计划；参与指导科技进步先进县（市）创建活动；组织协调全县科技试验示范和科技产业开发；组织协调科技（科普）计划项目申报、实施；监督科技计划项目和建设创新型云南行动计划实施，实现关键技术创新和科技成果转化；参与指导涉外科技合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4、科学普及股</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负责科技（科普）方针政策、法律法规宣传；会同相关部门组织开展科普示范县、科普示范村、科普示范企业、科普示范基地、科技示范户等创建活动；参与慰问科技工作者；参与全县科普宣传、《全民科学素质行动计划纲要》实施；开展科技培训、农函大工作，促进先进适用技术推广应用；负责县科协所属团体组织管理和日常联络；负责所属学（协）会规范发展、业务指导，会同监督规范办会，支持学会自主开展科技活动，服务经济建设、社会发展；倾听和反映科技工作者呼声，牵头维护科技工作者合法权益；指导青少年科技创新活动和开展涉外科普交流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3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66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1、加大力度做好创新型云南行动计划目标任务，落实州与县所签订责任书任务。积极与</w:t>
      </w:r>
      <w:r>
        <w:rPr>
          <w:rFonts w:hint="eastAsia" w:ascii="宋体" w:hAnsi="宋体" w:cs="宋体"/>
          <w:b w:val="0"/>
          <w:i w:val="0"/>
          <w:caps w:val="0"/>
          <w:color w:val="000000"/>
          <w:spacing w:val="0"/>
          <w:kern w:val="0"/>
          <w:sz w:val="24"/>
          <w:szCs w:val="24"/>
          <w:shd w:val="clear" w:fill="FBFBFB"/>
          <w:lang w:val="en-US" w:eastAsia="zh-CN" w:bidi="ar"/>
        </w:rPr>
        <w:t>县委、县政府</w:t>
      </w:r>
      <w:r>
        <w:rPr>
          <w:rFonts w:ascii="宋体" w:hAnsi="宋体" w:eastAsia="宋体" w:cs="宋体"/>
          <w:b w:val="0"/>
          <w:i w:val="0"/>
          <w:caps w:val="0"/>
          <w:color w:val="000000"/>
          <w:spacing w:val="0"/>
          <w:kern w:val="0"/>
          <w:sz w:val="24"/>
          <w:szCs w:val="24"/>
          <w:shd w:val="clear" w:fill="FBFBFB"/>
          <w:lang w:val="en-US" w:eastAsia="zh-CN" w:bidi="ar"/>
        </w:rPr>
        <w:t>请示，争取财政科技经费投入；加强知识产权保护工作，强化专利法等法律、法规宣传力度，提高知识产权保护意识，落实盈江县专利奖励政策，强化我县专利成果申报工作；加强省、州科技型中小企业、众创空间、创新团队等认定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全面贯彻落实全民科学素质行动计划纲要，落实责任书任务。积极创建省级、州级科普益民示范社区、社区科普大学、科普示范基地；利用科技活动周、科普活动日、知识产权日、科技“三下乡”等多种形式，大力开展科技培训和科普宣传工作，不断提升劳动者的科学文化素质；以培养有文化、懂技术、会经营的新型农民农函大学员为抓手，认真组织以农函大为主体的农村实用技术培训，加快农村实用技术人才培养力度，促进农村经济发展；结合农业特色产业开发实际，抓好各类农村专业技术协会的管理工作，提高农民的组织化程度，充分发挥农村专业技术协会促进农村经济发展的作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5"/>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3、根据我县草果产业发展实际，着力推进草果低产园改造及草果丰产技术培训工作，助推山区农村经济发展动力和实现农民增收。</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5"/>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4、借助大专院校高科技人才队伍，围绕县域特色产业开发，组织实施一批科技、科普、院校合作项目。依据特色产业发展的科技需求，组织研发适宜本县的产业发展核心技术，为我县特色产业有序发展提供强有力的科技支撑。</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0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5、实施科技示范村、示范户建设，发挥科技示范、典型引路的作用，带动农民应用科技发展生产，增收致富。</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6、依托科技，助力精准扶贫。面向建档立卡贫困人口。以培育区域性主导产业，增强贫困地区经济社会可持续发展和贫困农民的自主创业能力为核心；以农村科技信息服务体系和科技扶贫示范村寨建设为主要内容；以科技培训、专家咨询、产业示范、特色科普教育等为主要手段。通过科技支撑、智力帮扶加速科技成果转化和先进实用技术推广普及，大幅提高贫困地区公民科学素质和生产技能，带动脱贫致富。</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7、根据云南省科技成果转化示范县方案要求，加快成立盈江县成果转化中心，组织实施云南省科技成果转化示范县建设。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w:t>
      </w:r>
      <w:r>
        <w:rPr>
          <w:rFonts w:ascii="宋体" w:hAnsi="宋体" w:eastAsia="宋体" w:cs="宋体"/>
          <w:b/>
          <w:i w:val="0"/>
          <w:caps w:val="0"/>
          <w:color w:val="000000"/>
          <w:spacing w:val="0"/>
          <w:kern w:val="0"/>
          <w:sz w:val="24"/>
          <w:szCs w:val="24"/>
          <w:shd w:val="clear" w:fill="FBFBFB"/>
          <w:lang w:val="en-US" w:eastAsia="zh-CN" w:bidi="ar"/>
        </w:rPr>
        <w:t>个。截止20</w:t>
      </w:r>
      <w:r>
        <w:rPr>
          <w:rFonts w:ascii="宋体" w:hAnsi="宋体" w:eastAsia="宋体" w:cs="宋体"/>
          <w:b w:val="0"/>
          <w:i w:val="0"/>
          <w:caps w:val="0"/>
          <w:color w:val="000000"/>
          <w:spacing w:val="0"/>
          <w:kern w:val="0"/>
          <w:sz w:val="24"/>
          <w:szCs w:val="24"/>
          <w:shd w:val="clear" w:fill="FBFBFB"/>
          <w:lang w:val="en-US" w:eastAsia="zh-CN" w:bidi="ar"/>
        </w:rPr>
        <w:t>18</w:t>
      </w:r>
      <w:r>
        <w:rPr>
          <w:rFonts w:ascii="宋体" w:hAnsi="宋体" w:eastAsia="宋体" w:cs="宋体"/>
          <w:b/>
          <w:i w:val="0"/>
          <w:caps w:val="0"/>
          <w:color w:val="000000"/>
          <w:spacing w:val="0"/>
          <w:kern w:val="0"/>
          <w:sz w:val="24"/>
          <w:szCs w:val="24"/>
          <w:shd w:val="clear" w:fill="FBFBFB"/>
          <w:lang w:val="en-US" w:eastAsia="zh-CN" w:bidi="ar"/>
        </w:rPr>
        <w:t>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在职人员编制11人，其中：行政编制5人，事业编制6人。在职实有10</w:t>
      </w:r>
      <w:r>
        <w:rPr>
          <w:rFonts w:ascii="宋体" w:hAnsi="宋体" w:eastAsia="宋体" w:cs="宋体"/>
          <w:b/>
          <w:i w:val="0"/>
          <w:caps w:val="0"/>
          <w:color w:val="000000"/>
          <w:spacing w:val="0"/>
          <w:kern w:val="0"/>
          <w:sz w:val="24"/>
          <w:szCs w:val="24"/>
          <w:shd w:val="clear" w:fill="FBFBFB"/>
          <w:lang w:val="en-US" w:eastAsia="zh-CN" w:bidi="ar"/>
        </w:rPr>
        <w:t>人，其中：</w:t>
      </w:r>
      <w:r>
        <w:rPr>
          <w:rFonts w:hint="default" w:ascii="微软雅黑" w:hAnsi="微软雅黑" w:eastAsia="微软雅黑" w:cs="微软雅黑"/>
          <w:b/>
          <w:i w:val="0"/>
          <w:caps w:val="0"/>
          <w:color w:val="333333"/>
          <w:spacing w:val="0"/>
          <w:kern w:val="0"/>
          <w:sz w:val="21"/>
          <w:szCs w:val="21"/>
          <w:shd w:val="clear" w:fill="FBFBFB"/>
          <w:lang w:val="en-US" w:eastAsia="zh-CN" w:bidi="ar"/>
        </w:rPr>
        <w:t> </w:t>
      </w:r>
      <w:r>
        <w:rPr>
          <w:rFonts w:ascii="宋体" w:hAnsi="宋体" w:eastAsia="宋体" w:cs="宋体"/>
          <w:b/>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b/>
          <w:i w:val="0"/>
          <w:caps w:val="0"/>
          <w:color w:val="333333"/>
          <w:spacing w:val="0"/>
          <w:kern w:val="0"/>
          <w:sz w:val="21"/>
          <w:szCs w:val="21"/>
          <w:shd w:val="clear" w:fill="FBFBFB"/>
          <w:lang w:val="en-US" w:eastAsia="zh-CN" w:bidi="ar"/>
        </w:rPr>
        <w:t> </w:t>
      </w:r>
      <w:r>
        <w:rPr>
          <w:rFonts w:ascii="宋体" w:hAnsi="宋体" w:eastAsia="宋体" w:cs="宋体"/>
          <w:b w:val="0"/>
          <w:i w:val="0"/>
          <w:caps w:val="0"/>
          <w:color w:val="000000"/>
          <w:spacing w:val="0"/>
          <w:kern w:val="0"/>
          <w:sz w:val="24"/>
          <w:szCs w:val="24"/>
          <w:shd w:val="clear" w:fill="FBFBFB"/>
          <w:lang w:val="en-US" w:eastAsia="zh-CN" w:bidi="ar"/>
        </w:rPr>
        <w:t>10人，财政部分供养0人，非财政供养0人。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离退休人员 9</w:t>
      </w:r>
      <w:r>
        <w:rPr>
          <w:rFonts w:ascii="宋体" w:hAnsi="宋体" w:eastAsia="宋体" w:cs="宋体"/>
          <w:b/>
          <w:i w:val="0"/>
          <w:caps w:val="0"/>
          <w:color w:val="000000"/>
          <w:spacing w:val="0"/>
          <w:kern w:val="0"/>
          <w:sz w:val="24"/>
          <w:szCs w:val="24"/>
          <w:shd w:val="clear" w:fill="FBFBFB"/>
          <w:lang w:val="en-US" w:eastAsia="zh-CN" w:bidi="ar"/>
        </w:rPr>
        <w:t>人，其中：</w:t>
      </w:r>
      <w:r>
        <w:rPr>
          <w:rFonts w:hint="default" w:ascii="微软雅黑" w:hAnsi="微软雅黑" w:eastAsia="微软雅黑" w:cs="微软雅黑"/>
          <w:b/>
          <w:i w:val="0"/>
          <w:caps w:val="0"/>
          <w:color w:val="333333"/>
          <w:spacing w:val="0"/>
          <w:kern w:val="0"/>
          <w:sz w:val="21"/>
          <w:szCs w:val="21"/>
          <w:shd w:val="clear" w:fill="FBFBFB"/>
          <w:lang w:val="en-US" w:eastAsia="zh-CN" w:bidi="ar"/>
        </w:rPr>
        <w:t> </w:t>
      </w:r>
      <w:r>
        <w:rPr>
          <w:rFonts w:ascii="宋体" w:hAnsi="宋体" w:eastAsia="宋体" w:cs="宋体"/>
          <w:b/>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b/>
          <w:i w:val="0"/>
          <w:caps w:val="0"/>
          <w:color w:val="333333"/>
          <w:spacing w:val="0"/>
          <w:kern w:val="0"/>
          <w:sz w:val="21"/>
          <w:szCs w:val="21"/>
          <w:shd w:val="clear" w:fill="FBFBFB"/>
          <w:lang w:val="en-US" w:eastAsia="zh-CN" w:bidi="ar"/>
        </w:rPr>
        <w:t> </w:t>
      </w:r>
      <w:r>
        <w:rPr>
          <w:rFonts w:ascii="宋体" w:hAnsi="宋体" w:eastAsia="宋体" w:cs="宋体"/>
          <w:b w:val="0"/>
          <w:i w:val="0"/>
          <w:caps w:val="0"/>
          <w:color w:val="000000"/>
          <w:spacing w:val="0"/>
          <w:kern w:val="0"/>
          <w:sz w:val="24"/>
          <w:szCs w:val="24"/>
          <w:shd w:val="clear" w:fill="FBFBFB"/>
          <w:lang w:val="en-US" w:eastAsia="zh-CN" w:bidi="ar"/>
        </w:rPr>
        <w:t>1人，退休8人。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车辆编制1辆，实有车辆1辆。</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5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75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2019年部门财务总收入 186.49万元，其中：一般公共预算财政拨款186.49万元，政府性基金预算财政拨款0万元，国有资本经营预算财政拨款0万元，事业收入0万元，事业单位经营收入0万元，其他收入0万元，上年结转0万元。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5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75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2019年部门财政拨款收入186.49</w:t>
      </w:r>
      <w:r>
        <w:rPr>
          <w:rFonts w:ascii="宋体" w:hAnsi="宋体" w:eastAsia="宋体" w:cs="宋体"/>
          <w:b/>
          <w:i w:val="0"/>
          <w:caps w:val="0"/>
          <w:color w:val="000000"/>
          <w:spacing w:val="0"/>
          <w:kern w:val="0"/>
          <w:sz w:val="24"/>
          <w:szCs w:val="24"/>
          <w:shd w:val="clear" w:fill="FBFBFB"/>
          <w:lang w:val="en-US" w:eastAsia="zh-CN" w:bidi="ar"/>
        </w:rPr>
        <w:t>万元，其中:本年收入</w:t>
      </w:r>
      <w:r>
        <w:rPr>
          <w:rFonts w:ascii="宋体" w:hAnsi="宋体" w:eastAsia="宋体" w:cs="宋体"/>
          <w:b w:val="0"/>
          <w:i w:val="0"/>
          <w:caps w:val="0"/>
          <w:color w:val="000000"/>
          <w:spacing w:val="0"/>
          <w:kern w:val="0"/>
          <w:sz w:val="24"/>
          <w:szCs w:val="24"/>
          <w:shd w:val="clear" w:fill="FBFBFB"/>
          <w:lang w:val="en-US" w:eastAsia="zh-CN" w:bidi="ar"/>
        </w:rPr>
        <w:t>186.49万元，上年结转0万元。本年收入中，一般公共预算财政拨款186.49万元（本级财力186.49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2019年部门预算总支出 186.49万元。财政拨款安排支出 186.49万元，其中，基本支出163.39万元，项目支出23万元。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5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（一）财政拨款安排支出按功能科目分类情况</w:t>
      </w:r>
      <w:r>
        <w:rPr>
          <w:rFonts w:hint="default" w:ascii="微软雅黑" w:hAnsi="微软雅黑" w:eastAsia="微软雅黑" w:cs="微软雅黑"/>
          <w:b/>
          <w:i w:val="0"/>
          <w:caps w:val="0"/>
          <w:color w:val="333333"/>
          <w:spacing w:val="0"/>
          <w:kern w:val="0"/>
          <w:sz w:val="21"/>
          <w:szCs w:val="21"/>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2060101行政运行132.86万元，主要用于在职职工全年工资福利支出及机构正常运转经费。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2060799其他科学技术普及支出23万元，主要用于2019年科技科普活动经费10万元，老科协工作经费13万元。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2080501归口管理的行政单位离退休0.65万元，主要用于退休人员公用经费。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2080505 机关事业单位基本养老保险缴费支出16.41万元，主要用于单位基本养老保险缴费。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2210201住房公积金13.57万元，主要用于职工住房公积金缴费。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5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2060101行政运行132.86万元，其中：基本支出132.86万元，主要用于301工资福利支出116.1万元，302商品和服务支出16.76万元,项目支出0万元。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2060799其他科学技术普及支出23万元，其中：基本支出0万元，项目支出23万元，主要用于302商品和服务支出23万元。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2080501归口管理的行政单位离退休0.65万元，其中：基本支出0.65万元，主要用于302商品和服务支出0.65万元，项目支出0万元。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2080505 机关事业单位基本养老保险缴费支出16.41万元，其中：基本支出16.41万元，主要用于301工资福利支出16.41万元，项目支出0万元。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2210201住房公积金13.57万元，其中：基本支出13.57万元，主要用于301工资福利支出13.57万元，项目支出0万元。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   本单位2019年无县对下专项转移支付项目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根据《中华人民共和国政府采购法》的有关规定，编制了政府采购预算，共涉及采购项目0个，采购预算资金0万元。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56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2019年“三公”经费预算数为4万元，与上年预算数4万元相比持平。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2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2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拟安排出国（境）经费预算0万元，比上年持平。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2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sz w:val="24"/>
          <w:szCs w:val="24"/>
          <w:shd w:val="clear" w:fill="FBFBFB"/>
        </w:rPr>
        <w:t>拟安排公务接待费预算1万元，主要用于按规定开支的各类公务接待产生的费用，与上年预算数1万元持平。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62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560" w:lineRule="atLeast"/>
        <w:ind w:left="0" w:right="0" w:firstLine="3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拟安排公务用车购置及运行维护费3万元，其中：购置经费0万元、运行维护费3万元，主要用于保障政府部门、党群部门、其他部门公务工作开展，拟产生的公务用车燃料费、维修费、过路过桥费、保险费等支出，与上年预算数3万元持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42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（二）预算收入增减变化情况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9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2019年部门预算收入186.49万元，比上年预算数157.61万元增28.88万元，增18.32%。增加原因：调增人员工资。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（三）部门基本支出预算变动的主要原因，对本年与上年同口径数据比对情况分析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2019年部门基本支出预算为163.49万元，与2018年134.61万元相比增加28.88万元，增幅为21.46，增加主要原因为，原调增人员工资。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56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（四）部门项目支出预算变动的主要原因，对本年与上年同口径数据比对情况分析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2019年部门项目支出预算为23万元。与2018年23万元相比持平。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2.事业收入指事业单位开展业务活动取得的收入。</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3.事业单位经营收入指事业单位在业务活动之外开展非独立核算经营活动取得的收入。</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4.其他收入指预算单位在“财政拨款收入”、“事业收入”、“经营收入”之外取得的收入。</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5.基本支出指为保障机构正常运转、完成日常工作任务而发生的人员支出和公用支出。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6.项目支出指在基本支出之外为完成相关行政任务和事业发展目标所发生的支出。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9.一般公共预算是对以税收为主体的财政收入，安排用于保障和改善民生、推动经济社会发展、维护国家安全、维护国家机构正常运转等方面的收支预算。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10.非税收入是各级政府及其所属部门和单位依法利用行政权力、政府信誉、国家资源、国有资产或提供特定公共服务征收、收取、提取、募集的除税收和政府债务收入以外的财政收入。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11.工资福利支出反映单位开支的在职职工和编制外长期聘用人员的各类劳动报酬，以及为上述人员缴纳的各项社会保险费等。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12.商品和服务支出反映单位购买商品和服务的支出（不包括用于购置固定资产的支出、战略性和应急储备支出）。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13.对个人和家庭的补助反映政府用于对个人和家庭的补助支出。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14.政府采购是指各级国家机关、事业单位和团体组织，使用财政性资金采购依法制定的集中采购目录以内的或者采购限额标准以上的货物、工程和服务的行为。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盈江县科技局2019年部门预算机关运行经费支出安排16.76万元，与2018年同期数7.19万元，相比增加9.57万元，增长133.10%，主要原因是科普经费增加。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200" w:afterAutospacing="0" w:line="390"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部门收入预算186.49万元。财政拨款安排支出186.49万元，其中：基本支出163.49万元，主要用于发放人员工资，住房公积金，基本养老保险缴费，支付公用经费及大学生志愿者生活补助等，确保机构正常运转。2019年县财政安排科技局项目支出23万元，其中2019年度老科协工作经费13万元，科技科普活动经费10万元。</w:t>
      </w:r>
    </w:p>
    <w:p/>
    <w:p>
      <w:pPr>
        <w:widowControl/>
        <w:jc w:val="left"/>
        <w:rPr>
          <w:rFonts w:ascii="楷体_GB2312" w:eastAsia="楷体_GB2312"/>
          <w:kern w:val="0"/>
          <w:sz w:val="30"/>
          <w:szCs w:val="30"/>
        </w:rPr>
      </w:pPr>
    </w:p>
    <w:p>
      <w:pPr>
        <w:rPr>
          <w:rFonts w:ascii="Arial" w:hAnsi="Arial" w:eastAsia="Arial" w:cs="Arial"/>
          <w:b/>
          <w:sz w:val="36"/>
        </w:rPr>
      </w:pPr>
      <w:r>
        <w:rPr>
          <w:rFonts w:ascii="Arial" w:hAnsi="Arial" w:eastAsia="Arial" w:cs="Arial"/>
          <w:b/>
          <w:sz w:val="36"/>
        </w:rPr>
        <w:t>监督索引号53312300373100111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19FD"/>
    <w:rsid w:val="0003248D"/>
    <w:rsid w:val="00034005"/>
    <w:rsid w:val="0004678D"/>
    <w:rsid w:val="0005317B"/>
    <w:rsid w:val="000543CA"/>
    <w:rsid w:val="00054EA9"/>
    <w:rsid w:val="000559B2"/>
    <w:rsid w:val="00060B5F"/>
    <w:rsid w:val="00063177"/>
    <w:rsid w:val="00064C37"/>
    <w:rsid w:val="00070204"/>
    <w:rsid w:val="00073344"/>
    <w:rsid w:val="00074721"/>
    <w:rsid w:val="00081157"/>
    <w:rsid w:val="00083CB1"/>
    <w:rsid w:val="00085843"/>
    <w:rsid w:val="00085E27"/>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71E"/>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46AF2"/>
    <w:rsid w:val="00155639"/>
    <w:rsid w:val="00155D5E"/>
    <w:rsid w:val="00157BA7"/>
    <w:rsid w:val="001704E4"/>
    <w:rsid w:val="00175223"/>
    <w:rsid w:val="00175B2E"/>
    <w:rsid w:val="00176F17"/>
    <w:rsid w:val="001804E3"/>
    <w:rsid w:val="00180C9A"/>
    <w:rsid w:val="00182D13"/>
    <w:rsid w:val="00183B42"/>
    <w:rsid w:val="00186C54"/>
    <w:rsid w:val="0019071A"/>
    <w:rsid w:val="00192C05"/>
    <w:rsid w:val="00197CAA"/>
    <w:rsid w:val="00197E5D"/>
    <w:rsid w:val="001A1B3A"/>
    <w:rsid w:val="001A3CEE"/>
    <w:rsid w:val="001A784A"/>
    <w:rsid w:val="001B045D"/>
    <w:rsid w:val="001B575A"/>
    <w:rsid w:val="001C1C89"/>
    <w:rsid w:val="001C55D5"/>
    <w:rsid w:val="001D120C"/>
    <w:rsid w:val="001E03BD"/>
    <w:rsid w:val="001E684A"/>
    <w:rsid w:val="00200BD6"/>
    <w:rsid w:val="0021247F"/>
    <w:rsid w:val="00213694"/>
    <w:rsid w:val="00216177"/>
    <w:rsid w:val="0022060C"/>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981"/>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65038"/>
    <w:rsid w:val="003710A2"/>
    <w:rsid w:val="00372470"/>
    <w:rsid w:val="00376707"/>
    <w:rsid w:val="0037788A"/>
    <w:rsid w:val="0038029B"/>
    <w:rsid w:val="00383096"/>
    <w:rsid w:val="00392AA8"/>
    <w:rsid w:val="003931E6"/>
    <w:rsid w:val="00394ED1"/>
    <w:rsid w:val="003A324A"/>
    <w:rsid w:val="003A73EF"/>
    <w:rsid w:val="003B2514"/>
    <w:rsid w:val="003B54C2"/>
    <w:rsid w:val="003B5BA8"/>
    <w:rsid w:val="003C0093"/>
    <w:rsid w:val="003C1BE1"/>
    <w:rsid w:val="003C1E4C"/>
    <w:rsid w:val="003C6315"/>
    <w:rsid w:val="003D1204"/>
    <w:rsid w:val="003D160D"/>
    <w:rsid w:val="003D35F4"/>
    <w:rsid w:val="003D447C"/>
    <w:rsid w:val="003D6601"/>
    <w:rsid w:val="003D6C9A"/>
    <w:rsid w:val="003E2D1F"/>
    <w:rsid w:val="003E2DE1"/>
    <w:rsid w:val="003E509D"/>
    <w:rsid w:val="003E5754"/>
    <w:rsid w:val="003F171F"/>
    <w:rsid w:val="003F201E"/>
    <w:rsid w:val="003F3B40"/>
    <w:rsid w:val="003F3C0C"/>
    <w:rsid w:val="0040002C"/>
    <w:rsid w:val="00400C3B"/>
    <w:rsid w:val="00402B1E"/>
    <w:rsid w:val="00403507"/>
    <w:rsid w:val="00403546"/>
    <w:rsid w:val="00404DA0"/>
    <w:rsid w:val="004158B8"/>
    <w:rsid w:val="00416A12"/>
    <w:rsid w:val="00416B98"/>
    <w:rsid w:val="00421A99"/>
    <w:rsid w:val="00423097"/>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069E"/>
    <w:rsid w:val="004C16F9"/>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C6BD8"/>
    <w:rsid w:val="005D245F"/>
    <w:rsid w:val="005D3061"/>
    <w:rsid w:val="005D6260"/>
    <w:rsid w:val="005D6D58"/>
    <w:rsid w:val="005E6A58"/>
    <w:rsid w:val="005F310F"/>
    <w:rsid w:val="00602B8A"/>
    <w:rsid w:val="0060314C"/>
    <w:rsid w:val="00610CF7"/>
    <w:rsid w:val="00611419"/>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C05C5"/>
    <w:rsid w:val="006D0172"/>
    <w:rsid w:val="006E1A3A"/>
    <w:rsid w:val="006E2230"/>
    <w:rsid w:val="006E2B9C"/>
    <w:rsid w:val="006E7E4C"/>
    <w:rsid w:val="006F02E3"/>
    <w:rsid w:val="006F1C64"/>
    <w:rsid w:val="006F3C19"/>
    <w:rsid w:val="00700438"/>
    <w:rsid w:val="007013C6"/>
    <w:rsid w:val="00715660"/>
    <w:rsid w:val="00722E93"/>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A7555"/>
    <w:rsid w:val="007B0A5B"/>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0E4A"/>
    <w:rsid w:val="008E2734"/>
    <w:rsid w:val="008E5296"/>
    <w:rsid w:val="008F35F1"/>
    <w:rsid w:val="008F3FB1"/>
    <w:rsid w:val="009008F4"/>
    <w:rsid w:val="00901A1A"/>
    <w:rsid w:val="009020BF"/>
    <w:rsid w:val="00905BB4"/>
    <w:rsid w:val="00907813"/>
    <w:rsid w:val="00911B9D"/>
    <w:rsid w:val="009142F4"/>
    <w:rsid w:val="00921C07"/>
    <w:rsid w:val="009235AE"/>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A51A0"/>
    <w:rsid w:val="009A723D"/>
    <w:rsid w:val="009B3ED3"/>
    <w:rsid w:val="009B4ADC"/>
    <w:rsid w:val="009C1730"/>
    <w:rsid w:val="009C427E"/>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59F7"/>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30DD"/>
    <w:rsid w:val="00AA7480"/>
    <w:rsid w:val="00AB1481"/>
    <w:rsid w:val="00AB2ABB"/>
    <w:rsid w:val="00AB5C67"/>
    <w:rsid w:val="00AB7C98"/>
    <w:rsid w:val="00AC47D9"/>
    <w:rsid w:val="00AD0DA1"/>
    <w:rsid w:val="00AE0209"/>
    <w:rsid w:val="00AE2095"/>
    <w:rsid w:val="00AE5322"/>
    <w:rsid w:val="00AE58B2"/>
    <w:rsid w:val="00AE5FEF"/>
    <w:rsid w:val="00AE73E2"/>
    <w:rsid w:val="00AF1CF9"/>
    <w:rsid w:val="00AF2AE3"/>
    <w:rsid w:val="00AF6536"/>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461A"/>
    <w:rsid w:val="00C75A4D"/>
    <w:rsid w:val="00C75CE4"/>
    <w:rsid w:val="00C8106F"/>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4C18"/>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4BC6"/>
    <w:rsid w:val="00EA7A22"/>
    <w:rsid w:val="00EA7DE2"/>
    <w:rsid w:val="00EB004F"/>
    <w:rsid w:val="00EB6AC3"/>
    <w:rsid w:val="00EC6D59"/>
    <w:rsid w:val="00EC703C"/>
    <w:rsid w:val="00ED0777"/>
    <w:rsid w:val="00ED2DE0"/>
    <w:rsid w:val="00ED6645"/>
    <w:rsid w:val="00ED6F4E"/>
    <w:rsid w:val="00EE28B1"/>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2F8A"/>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AB77A2F"/>
    <w:rsid w:val="15D205F6"/>
    <w:rsid w:val="18076D85"/>
    <w:rsid w:val="187D7C08"/>
    <w:rsid w:val="1A0B3DDD"/>
    <w:rsid w:val="1B1307BA"/>
    <w:rsid w:val="210C1C4F"/>
    <w:rsid w:val="2A766209"/>
    <w:rsid w:val="2BCD48AB"/>
    <w:rsid w:val="2D7B7E3A"/>
    <w:rsid w:val="2E532AEE"/>
    <w:rsid w:val="2F015D33"/>
    <w:rsid w:val="340F0BE0"/>
    <w:rsid w:val="34D04AF0"/>
    <w:rsid w:val="384F61D7"/>
    <w:rsid w:val="39466C4F"/>
    <w:rsid w:val="39DA3D5B"/>
    <w:rsid w:val="3AB96CB3"/>
    <w:rsid w:val="40A740EE"/>
    <w:rsid w:val="46D13F18"/>
    <w:rsid w:val="49995AE1"/>
    <w:rsid w:val="4AC10A82"/>
    <w:rsid w:val="4CE05CEE"/>
    <w:rsid w:val="4D042745"/>
    <w:rsid w:val="545314B2"/>
    <w:rsid w:val="551E0FD3"/>
    <w:rsid w:val="56D97484"/>
    <w:rsid w:val="6D9B0CA1"/>
    <w:rsid w:val="6DBF7037"/>
    <w:rsid w:val="724A4A01"/>
    <w:rsid w:val="72B71975"/>
    <w:rsid w:val="74994A07"/>
    <w:rsid w:val="79D730BB"/>
    <w:rsid w:val="7B1E53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zhlx</Company>
  <Pages>14</Pages>
  <Words>1008</Words>
  <Characters>5747</Characters>
  <Lines>47</Lines>
  <Paragraphs>13</Paragraphs>
  <TotalTime>0</TotalTime>
  <ScaleCrop>false</ScaleCrop>
  <LinksUpToDate>false</LinksUpToDate>
  <CharactersWithSpaces>6742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2024-06-19T09:26:47Z</dcterms:modified>
  <dc:title>年部门预算编制说明</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160BD349C0BC4558BC2CF8ABDEB779D8</vt:lpwstr>
  </property>
</Properties>
</file>