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E/>
        <w:autoSpaceDN/>
        <w:bidi w:val="0"/>
        <w:adjustRightInd/>
        <w:snapToGrid/>
        <w:jc w:val="both"/>
        <w:textAlignment w:val="auto"/>
        <w:rPr>
          <w:rFonts w:hint="eastAsia" w:ascii="方正小标宋简体" w:hAnsi="方正小标宋简体" w:eastAsia="方正小标宋简体" w:cs="方正小标宋简体"/>
          <w:sz w:val="36"/>
          <w:szCs w:val="36"/>
        </w:rPr>
      </w:pPr>
      <w:bookmarkStart w:id="0" w:name="_GoBack"/>
      <w:r>
        <w:rPr>
          <w:rFonts w:hint="eastAsia" w:ascii="方正小标宋简体" w:hAnsi="方正小标宋简体" w:eastAsia="方正小标宋简体" w:cs="方正小标宋简体"/>
          <w:sz w:val="36"/>
          <w:szCs w:val="36"/>
          <w:lang w:eastAsia="zh-CN"/>
        </w:rPr>
        <w:t>盈江县旧城民族中学</w:t>
      </w:r>
      <w:r>
        <w:rPr>
          <w:rFonts w:hint="eastAsia" w:ascii="方正小标宋简体" w:hAnsi="方正小标宋简体" w:eastAsia="方正小标宋简体" w:cs="方正小标宋简体"/>
          <w:sz w:val="36"/>
          <w:szCs w:val="36"/>
          <w:lang w:val="en-US" w:eastAsia="zh-CN"/>
        </w:rPr>
        <w:t>2019</w:t>
      </w:r>
      <w:r>
        <w:rPr>
          <w:rFonts w:hint="eastAsia" w:ascii="方正小标宋简体" w:hAnsi="方正小标宋简体" w:eastAsia="方正小标宋简体" w:cs="方正小标宋简体"/>
          <w:sz w:val="36"/>
          <w:szCs w:val="36"/>
        </w:rPr>
        <w:t>年</w:t>
      </w:r>
    </w:p>
    <w:p>
      <w:pPr>
        <w:keepNext w:val="0"/>
        <w:keepLines w:val="0"/>
        <w:pageBreakBefore w:val="0"/>
        <w:kinsoku/>
        <w:wordWrap/>
        <w:overflowPunct/>
        <w:topLinePunct w:val="0"/>
        <w:autoSpaceDE/>
        <w:autoSpaceDN/>
        <w:bidi w:val="0"/>
        <w:adjustRightInd/>
        <w:snapToGrid/>
        <w:jc w:val="both"/>
        <w:textAlignment w:val="auto"/>
        <w:rPr>
          <w:rFonts w:hint="eastAsia" w:ascii="方正小标宋简体" w:eastAsia="方正小标宋简体"/>
          <w:sz w:val="36"/>
          <w:szCs w:val="36"/>
        </w:rPr>
      </w:pPr>
      <w:r>
        <w:rPr>
          <w:rFonts w:hint="eastAsia" w:ascii="方正小标宋简体" w:hAnsi="方正小标宋简体" w:eastAsia="方正小标宋简体" w:cs="方正小标宋简体"/>
          <w:sz w:val="36"/>
          <w:szCs w:val="36"/>
        </w:rPr>
        <w:t>预算</w:t>
      </w:r>
      <w:r>
        <w:rPr>
          <w:rFonts w:hint="eastAsia" w:ascii="方正小标宋简体" w:hAnsi="方正小标宋简体" w:eastAsia="方正小标宋简体" w:cs="方正小标宋简体"/>
          <w:sz w:val="36"/>
          <w:szCs w:val="36"/>
          <w:lang w:eastAsia="zh-CN"/>
        </w:rPr>
        <w:t>公开</w:t>
      </w:r>
      <w:r>
        <w:rPr>
          <w:rFonts w:hint="eastAsia" w:ascii="方正小标宋简体" w:eastAsia="方正小标宋简体"/>
          <w:sz w:val="36"/>
          <w:szCs w:val="36"/>
        </w:rPr>
        <w:t>目录</w:t>
      </w:r>
    </w:p>
    <w:p>
      <w:pPr>
        <w:keepNext w:val="0"/>
        <w:keepLines w:val="0"/>
        <w:pageBreakBefore w:val="0"/>
        <w:kinsoku/>
        <w:wordWrap/>
        <w:overflowPunct/>
        <w:topLinePunct w:val="0"/>
        <w:autoSpaceDE/>
        <w:autoSpaceDN/>
        <w:bidi w:val="0"/>
        <w:adjustRightInd/>
        <w:snapToGrid/>
        <w:jc w:val="both"/>
        <w:textAlignment w:val="auto"/>
        <w:rPr>
          <w:rFonts w:hint="eastAsia" w:ascii="黑体" w:hAnsi="黑体" w:eastAsia="黑体"/>
          <w:sz w:val="30"/>
          <w:szCs w:val="30"/>
        </w:rPr>
      </w:pPr>
    </w:p>
    <w:p>
      <w:pPr>
        <w:keepNext w:val="0"/>
        <w:keepLines w:val="0"/>
        <w:pageBreakBefore w:val="0"/>
        <w:kinsoku/>
        <w:wordWrap/>
        <w:overflowPunct/>
        <w:topLinePunct w:val="0"/>
        <w:autoSpaceDE/>
        <w:autoSpaceDN/>
        <w:bidi w:val="0"/>
        <w:adjustRightInd/>
        <w:snapToGrid/>
        <w:jc w:val="both"/>
        <w:textAlignment w:val="auto"/>
        <w:rPr>
          <w:rFonts w:hint="eastAsia" w:ascii="黑体" w:hAnsi="黑体" w:eastAsia="黑体"/>
          <w:sz w:val="30"/>
          <w:szCs w:val="30"/>
        </w:rPr>
      </w:pPr>
      <w:r>
        <w:rPr>
          <w:rFonts w:hint="eastAsia" w:ascii="黑体" w:hAnsi="黑体" w:eastAsia="黑体"/>
          <w:sz w:val="30"/>
          <w:szCs w:val="30"/>
        </w:rPr>
        <w:t>第一部分</w:t>
      </w:r>
      <w:r>
        <w:rPr>
          <w:rFonts w:hint="eastAsia" w:ascii="黑体" w:hAnsi="黑体" w:eastAsia="黑体"/>
          <w:sz w:val="30"/>
          <w:szCs w:val="30"/>
          <w:lang w:val="en-US" w:eastAsia="zh-CN"/>
        </w:rPr>
        <w:t xml:space="preserve"> </w:t>
      </w:r>
      <w:r>
        <w:rPr>
          <w:rFonts w:hint="eastAsia" w:ascii="黑体" w:hAnsi="黑体" w:eastAsia="黑体"/>
          <w:sz w:val="30"/>
          <w:szCs w:val="30"/>
          <w:lang w:eastAsia="zh-CN"/>
        </w:rPr>
        <w:t>盈江县旧城民族中学</w:t>
      </w:r>
      <w:r>
        <w:rPr>
          <w:rFonts w:hint="eastAsia" w:ascii="黑体" w:hAnsi="黑体" w:eastAsia="黑体"/>
          <w:sz w:val="30"/>
          <w:szCs w:val="30"/>
          <w:lang w:val="en-US" w:eastAsia="zh-CN"/>
        </w:rPr>
        <w:t>2019</w:t>
      </w:r>
      <w:r>
        <w:rPr>
          <w:rFonts w:hint="eastAsia" w:ascii="黑体" w:hAnsi="黑体" w:eastAsia="黑体"/>
          <w:sz w:val="30"/>
          <w:szCs w:val="30"/>
        </w:rPr>
        <w:t>年部门预算编制说明</w:t>
      </w:r>
    </w:p>
    <w:p>
      <w:pPr>
        <w:keepNext w:val="0"/>
        <w:keepLines w:val="0"/>
        <w:pageBreakBefore w:val="0"/>
        <w:kinsoku/>
        <w:wordWrap/>
        <w:overflowPunct/>
        <w:topLinePunct w:val="0"/>
        <w:autoSpaceDE/>
        <w:autoSpaceDN/>
        <w:bidi w:val="0"/>
        <w:adjustRightInd/>
        <w:snapToGrid/>
        <w:jc w:val="both"/>
        <w:textAlignment w:val="auto"/>
        <w:rPr>
          <w:rFonts w:hint="eastAsia" w:ascii="黑体" w:hAnsi="黑体" w:eastAsia="黑体"/>
          <w:sz w:val="30"/>
          <w:szCs w:val="30"/>
        </w:rPr>
      </w:pPr>
      <w:r>
        <w:rPr>
          <w:rFonts w:hint="eastAsia" w:ascii="黑体" w:hAnsi="黑体" w:eastAsia="黑体"/>
          <w:sz w:val="30"/>
          <w:szCs w:val="30"/>
        </w:rPr>
        <w:t xml:space="preserve">第二部分 </w:t>
      </w:r>
      <w:r>
        <w:rPr>
          <w:rFonts w:hint="eastAsia" w:ascii="黑体" w:hAnsi="黑体" w:eastAsia="黑体"/>
          <w:sz w:val="30"/>
          <w:szCs w:val="30"/>
          <w:lang w:eastAsia="zh-CN"/>
        </w:rPr>
        <w:t>盈江县旧城民族中学</w:t>
      </w:r>
      <w:r>
        <w:rPr>
          <w:rFonts w:hint="eastAsia" w:ascii="黑体" w:hAnsi="黑体" w:eastAsia="黑体"/>
          <w:sz w:val="30"/>
          <w:szCs w:val="30"/>
          <w:lang w:val="en-US" w:eastAsia="zh-CN"/>
        </w:rPr>
        <w:t>2019</w:t>
      </w:r>
      <w:r>
        <w:rPr>
          <w:rFonts w:hint="eastAsia" w:ascii="黑体" w:hAnsi="黑体" w:eastAsia="黑体"/>
          <w:sz w:val="30"/>
          <w:szCs w:val="30"/>
        </w:rPr>
        <w:t>年部门预算表</w:t>
      </w:r>
    </w:p>
    <w:p>
      <w:pPr>
        <w:keepNext w:val="0"/>
        <w:keepLines w:val="0"/>
        <w:pageBreakBefore w:val="0"/>
        <w:kinsoku/>
        <w:wordWrap/>
        <w:overflowPunct/>
        <w:topLinePunct w:val="0"/>
        <w:autoSpaceDE/>
        <w:autoSpaceDN/>
        <w:bidi w:val="0"/>
        <w:adjustRightInd/>
        <w:snapToGrid/>
        <w:jc w:val="both"/>
        <w:textAlignment w:val="auto"/>
        <w:rPr>
          <w:rFonts w:hint="eastAsia" w:ascii="Times New Roman" w:hAnsi="Times New Roman" w:eastAsia="仿宋_GB2312"/>
          <w:sz w:val="30"/>
          <w:szCs w:val="30"/>
        </w:rPr>
      </w:pPr>
      <w:r>
        <w:rPr>
          <w:rFonts w:hint="eastAsia" w:ascii="Times New Roman" w:hAnsi="Times New Roman" w:eastAsia="仿宋_GB2312"/>
          <w:sz w:val="30"/>
          <w:szCs w:val="30"/>
        </w:rPr>
        <w:t>一、部门财务收支总体情况表</w:t>
      </w:r>
    </w:p>
    <w:p>
      <w:pPr>
        <w:keepNext w:val="0"/>
        <w:keepLines w:val="0"/>
        <w:pageBreakBefore w:val="0"/>
        <w:kinsoku/>
        <w:wordWrap/>
        <w:overflowPunct/>
        <w:topLinePunct w:val="0"/>
        <w:autoSpaceDE/>
        <w:autoSpaceDN/>
        <w:bidi w:val="0"/>
        <w:adjustRightInd/>
        <w:snapToGrid/>
        <w:jc w:val="both"/>
        <w:textAlignment w:val="auto"/>
        <w:rPr>
          <w:rFonts w:hint="eastAsia" w:ascii="Times New Roman" w:hAnsi="Times New Roman" w:eastAsia="仿宋_GB2312"/>
          <w:sz w:val="30"/>
          <w:szCs w:val="30"/>
        </w:rPr>
      </w:pPr>
      <w:r>
        <w:rPr>
          <w:rFonts w:hint="eastAsia" w:ascii="Times New Roman" w:hAnsi="Times New Roman" w:eastAsia="仿宋_GB2312"/>
          <w:sz w:val="30"/>
          <w:szCs w:val="30"/>
        </w:rPr>
        <w:t>二、部门收入总体情况表</w:t>
      </w:r>
    </w:p>
    <w:p>
      <w:pPr>
        <w:keepNext w:val="0"/>
        <w:keepLines w:val="0"/>
        <w:pageBreakBefore w:val="0"/>
        <w:kinsoku/>
        <w:wordWrap/>
        <w:overflowPunct/>
        <w:topLinePunct w:val="0"/>
        <w:autoSpaceDE/>
        <w:autoSpaceDN/>
        <w:bidi w:val="0"/>
        <w:adjustRightInd/>
        <w:snapToGrid/>
        <w:jc w:val="both"/>
        <w:textAlignment w:val="auto"/>
        <w:rPr>
          <w:rFonts w:hint="eastAsia" w:ascii="Times New Roman" w:hAnsi="Times New Roman" w:eastAsia="仿宋_GB2312"/>
          <w:sz w:val="30"/>
          <w:szCs w:val="30"/>
        </w:rPr>
      </w:pPr>
      <w:r>
        <w:rPr>
          <w:rFonts w:hint="eastAsia" w:ascii="Times New Roman" w:hAnsi="Times New Roman" w:eastAsia="仿宋_GB2312"/>
          <w:sz w:val="30"/>
          <w:szCs w:val="30"/>
        </w:rPr>
        <w:t>三、部门支出总体情况表</w:t>
      </w:r>
    </w:p>
    <w:p>
      <w:pPr>
        <w:keepNext w:val="0"/>
        <w:keepLines w:val="0"/>
        <w:pageBreakBefore w:val="0"/>
        <w:kinsoku/>
        <w:wordWrap/>
        <w:overflowPunct/>
        <w:topLinePunct w:val="0"/>
        <w:autoSpaceDE/>
        <w:autoSpaceDN/>
        <w:bidi w:val="0"/>
        <w:adjustRightInd/>
        <w:snapToGrid/>
        <w:jc w:val="both"/>
        <w:textAlignment w:val="auto"/>
        <w:rPr>
          <w:rFonts w:hint="eastAsia" w:ascii="Times New Roman" w:hAnsi="Times New Roman" w:eastAsia="仿宋_GB2312"/>
          <w:sz w:val="30"/>
          <w:szCs w:val="30"/>
        </w:rPr>
      </w:pPr>
      <w:r>
        <w:rPr>
          <w:rFonts w:hint="eastAsia" w:ascii="Times New Roman" w:hAnsi="Times New Roman" w:eastAsia="仿宋_GB2312"/>
          <w:sz w:val="30"/>
          <w:szCs w:val="30"/>
        </w:rPr>
        <w:t>四、部门财政拨款收支总体情况表</w:t>
      </w:r>
    </w:p>
    <w:p>
      <w:pPr>
        <w:keepNext w:val="0"/>
        <w:keepLines w:val="0"/>
        <w:pageBreakBefore w:val="0"/>
        <w:kinsoku/>
        <w:wordWrap/>
        <w:overflowPunct/>
        <w:topLinePunct w:val="0"/>
        <w:autoSpaceDE/>
        <w:autoSpaceDN/>
        <w:bidi w:val="0"/>
        <w:adjustRightInd/>
        <w:snapToGrid/>
        <w:jc w:val="both"/>
        <w:textAlignment w:val="auto"/>
        <w:rPr>
          <w:rFonts w:hint="eastAsia" w:ascii="Times New Roman" w:hAnsi="Times New Roman" w:eastAsia="仿宋_GB2312"/>
          <w:sz w:val="30"/>
          <w:szCs w:val="30"/>
        </w:rPr>
      </w:pPr>
      <w:r>
        <w:rPr>
          <w:rFonts w:hint="eastAsia" w:ascii="Times New Roman" w:hAnsi="Times New Roman" w:eastAsia="仿宋_GB2312"/>
          <w:sz w:val="30"/>
          <w:szCs w:val="30"/>
        </w:rPr>
        <w:t>五、部门一般公共预算本级财力安排支出情况表</w:t>
      </w:r>
    </w:p>
    <w:p>
      <w:pPr>
        <w:keepNext w:val="0"/>
        <w:keepLines w:val="0"/>
        <w:pageBreakBefore w:val="0"/>
        <w:kinsoku/>
        <w:wordWrap/>
        <w:overflowPunct/>
        <w:topLinePunct w:val="0"/>
        <w:autoSpaceDE/>
        <w:autoSpaceDN/>
        <w:bidi w:val="0"/>
        <w:adjustRightInd/>
        <w:snapToGrid/>
        <w:jc w:val="both"/>
        <w:textAlignment w:val="auto"/>
        <w:rPr>
          <w:rFonts w:hint="eastAsia" w:ascii="Times New Roman" w:hAnsi="Times New Roman" w:eastAsia="仿宋_GB2312"/>
          <w:sz w:val="30"/>
          <w:szCs w:val="30"/>
        </w:rPr>
      </w:pPr>
      <w:r>
        <w:rPr>
          <w:rFonts w:hint="eastAsia" w:ascii="Times New Roman" w:hAnsi="Times New Roman" w:eastAsia="仿宋_GB2312"/>
          <w:sz w:val="30"/>
          <w:szCs w:val="30"/>
        </w:rPr>
        <w:t>六、部门基本支出情况表</w:t>
      </w:r>
    </w:p>
    <w:p>
      <w:pPr>
        <w:keepNext w:val="0"/>
        <w:keepLines w:val="0"/>
        <w:pageBreakBefore w:val="0"/>
        <w:kinsoku/>
        <w:wordWrap/>
        <w:overflowPunct/>
        <w:topLinePunct w:val="0"/>
        <w:autoSpaceDE/>
        <w:autoSpaceDN/>
        <w:bidi w:val="0"/>
        <w:adjustRightInd/>
        <w:snapToGrid/>
        <w:jc w:val="both"/>
        <w:textAlignment w:val="auto"/>
        <w:rPr>
          <w:rFonts w:hint="eastAsia" w:ascii="Times New Roman" w:hAnsi="Times New Roman" w:eastAsia="仿宋_GB2312"/>
          <w:sz w:val="30"/>
          <w:szCs w:val="30"/>
        </w:rPr>
      </w:pPr>
      <w:r>
        <w:rPr>
          <w:rFonts w:hint="eastAsia" w:ascii="Times New Roman" w:hAnsi="Times New Roman" w:eastAsia="仿宋_GB2312"/>
          <w:sz w:val="30"/>
          <w:szCs w:val="30"/>
        </w:rPr>
        <w:t>七、部门政府性基金预算支出情况表</w:t>
      </w:r>
    </w:p>
    <w:p>
      <w:pPr>
        <w:keepNext w:val="0"/>
        <w:keepLines w:val="0"/>
        <w:pageBreakBefore w:val="0"/>
        <w:kinsoku/>
        <w:wordWrap/>
        <w:overflowPunct/>
        <w:topLinePunct w:val="0"/>
        <w:autoSpaceDE/>
        <w:autoSpaceDN/>
        <w:bidi w:val="0"/>
        <w:adjustRightInd/>
        <w:snapToGrid/>
        <w:jc w:val="both"/>
        <w:textAlignment w:val="auto"/>
        <w:rPr>
          <w:rFonts w:hint="eastAsia" w:ascii="Times New Roman" w:hAnsi="Times New Roman" w:eastAsia="仿宋_GB2312"/>
          <w:sz w:val="30"/>
          <w:szCs w:val="30"/>
        </w:rPr>
      </w:pPr>
      <w:r>
        <w:rPr>
          <w:rFonts w:hint="eastAsia" w:ascii="Times New Roman" w:hAnsi="Times New Roman" w:eastAsia="仿宋_GB2312"/>
          <w:sz w:val="30"/>
          <w:szCs w:val="30"/>
        </w:rPr>
        <w:t>八、财政拨款支出明细表（按经济科目分类）</w:t>
      </w:r>
    </w:p>
    <w:p>
      <w:pPr>
        <w:keepNext w:val="0"/>
        <w:keepLines w:val="0"/>
        <w:pageBreakBefore w:val="0"/>
        <w:kinsoku/>
        <w:wordWrap/>
        <w:overflowPunct/>
        <w:topLinePunct w:val="0"/>
        <w:autoSpaceDE/>
        <w:autoSpaceDN/>
        <w:bidi w:val="0"/>
        <w:adjustRightInd/>
        <w:snapToGrid/>
        <w:jc w:val="both"/>
        <w:textAlignment w:val="auto"/>
        <w:rPr>
          <w:rFonts w:hint="eastAsia" w:ascii="Times New Roman" w:hAnsi="Times New Roman" w:eastAsia="仿宋_GB2312"/>
          <w:sz w:val="30"/>
          <w:szCs w:val="30"/>
        </w:rPr>
      </w:pPr>
      <w:r>
        <w:rPr>
          <w:rFonts w:hint="eastAsia" w:ascii="Times New Roman" w:hAnsi="Times New Roman" w:eastAsia="仿宋_GB2312"/>
          <w:sz w:val="30"/>
          <w:szCs w:val="30"/>
        </w:rPr>
        <w:t>九、部门一般公共预算“三公”经费支出情况表</w:t>
      </w:r>
    </w:p>
    <w:p>
      <w:pPr>
        <w:keepNext w:val="0"/>
        <w:keepLines w:val="0"/>
        <w:pageBreakBefore w:val="0"/>
        <w:kinsoku/>
        <w:wordWrap/>
        <w:overflowPunct/>
        <w:topLinePunct w:val="0"/>
        <w:autoSpaceDE/>
        <w:autoSpaceDN/>
        <w:bidi w:val="0"/>
        <w:adjustRightInd/>
        <w:snapToGrid/>
        <w:jc w:val="both"/>
        <w:textAlignment w:val="auto"/>
        <w:rPr>
          <w:rFonts w:hint="eastAsia" w:ascii="Times New Roman" w:hAnsi="Times New Roman" w:eastAsia="仿宋_GB2312"/>
          <w:sz w:val="30"/>
          <w:szCs w:val="30"/>
        </w:rPr>
      </w:pPr>
      <w:r>
        <w:rPr>
          <w:rFonts w:hint="eastAsia" w:ascii="Times New Roman" w:hAnsi="Times New Roman" w:eastAsia="仿宋_GB2312"/>
          <w:sz w:val="30"/>
          <w:szCs w:val="30"/>
        </w:rPr>
        <w:t>十、</w:t>
      </w:r>
      <w:r>
        <w:rPr>
          <w:rFonts w:hint="eastAsia" w:eastAsia="仿宋_GB2312"/>
          <w:sz w:val="30"/>
          <w:szCs w:val="30"/>
          <w:lang w:eastAsia="zh-CN"/>
        </w:rPr>
        <w:t>县</w:t>
      </w:r>
      <w:r>
        <w:rPr>
          <w:rFonts w:hint="eastAsia" w:ascii="Times New Roman" w:hAnsi="Times New Roman" w:eastAsia="仿宋_GB2312"/>
          <w:sz w:val="30"/>
          <w:szCs w:val="30"/>
        </w:rPr>
        <w:t>本级项目支出绩效目标表（本次下达）</w:t>
      </w:r>
    </w:p>
    <w:p>
      <w:pPr>
        <w:keepNext w:val="0"/>
        <w:keepLines w:val="0"/>
        <w:pageBreakBefore w:val="0"/>
        <w:kinsoku/>
        <w:wordWrap/>
        <w:overflowPunct/>
        <w:topLinePunct w:val="0"/>
        <w:autoSpaceDE/>
        <w:autoSpaceDN/>
        <w:bidi w:val="0"/>
        <w:adjustRightInd/>
        <w:snapToGrid/>
        <w:jc w:val="both"/>
        <w:textAlignment w:val="auto"/>
        <w:rPr>
          <w:rFonts w:hint="eastAsia" w:ascii="Times New Roman" w:hAnsi="Times New Roman" w:eastAsia="仿宋_GB2312"/>
          <w:sz w:val="30"/>
          <w:szCs w:val="30"/>
        </w:rPr>
      </w:pPr>
      <w:r>
        <w:rPr>
          <w:rFonts w:hint="eastAsia" w:ascii="Times New Roman" w:hAnsi="Times New Roman" w:eastAsia="仿宋_GB2312"/>
          <w:sz w:val="30"/>
          <w:szCs w:val="30"/>
        </w:rPr>
        <w:t>十一、</w:t>
      </w:r>
      <w:r>
        <w:rPr>
          <w:rFonts w:hint="eastAsia" w:eastAsia="仿宋_GB2312"/>
          <w:sz w:val="30"/>
          <w:szCs w:val="30"/>
          <w:lang w:eastAsia="zh-CN"/>
        </w:rPr>
        <w:t>县</w:t>
      </w:r>
      <w:r>
        <w:rPr>
          <w:rFonts w:hint="eastAsia" w:ascii="Times New Roman" w:hAnsi="Times New Roman" w:eastAsia="仿宋_GB2312"/>
          <w:sz w:val="30"/>
          <w:szCs w:val="30"/>
        </w:rPr>
        <w:t>本级项目支出绩效目标表（另文下达）</w:t>
      </w:r>
    </w:p>
    <w:p>
      <w:pPr>
        <w:keepNext w:val="0"/>
        <w:keepLines w:val="0"/>
        <w:pageBreakBefore w:val="0"/>
        <w:kinsoku/>
        <w:wordWrap/>
        <w:overflowPunct/>
        <w:topLinePunct w:val="0"/>
        <w:autoSpaceDE/>
        <w:autoSpaceDN/>
        <w:bidi w:val="0"/>
        <w:adjustRightInd/>
        <w:snapToGrid/>
        <w:jc w:val="both"/>
        <w:textAlignment w:val="auto"/>
        <w:rPr>
          <w:rFonts w:hint="eastAsia" w:ascii="Times New Roman" w:hAnsi="Times New Roman" w:eastAsia="仿宋_GB2312"/>
          <w:sz w:val="30"/>
          <w:szCs w:val="30"/>
        </w:rPr>
      </w:pPr>
      <w:r>
        <w:rPr>
          <w:rFonts w:hint="eastAsia" w:ascii="Times New Roman" w:hAnsi="Times New Roman" w:eastAsia="仿宋_GB2312"/>
          <w:sz w:val="30"/>
          <w:szCs w:val="30"/>
        </w:rPr>
        <w:t>十二、</w:t>
      </w:r>
      <w:r>
        <w:rPr>
          <w:rFonts w:hint="eastAsia" w:eastAsia="仿宋_GB2312"/>
          <w:sz w:val="30"/>
          <w:szCs w:val="30"/>
          <w:lang w:eastAsia="zh-CN"/>
        </w:rPr>
        <w:t>县</w:t>
      </w:r>
      <w:r>
        <w:rPr>
          <w:rFonts w:hint="eastAsia" w:ascii="Times New Roman" w:hAnsi="Times New Roman" w:eastAsia="仿宋_GB2312"/>
          <w:sz w:val="30"/>
          <w:szCs w:val="30"/>
        </w:rPr>
        <w:t>对下转移支付绩效目标表</w:t>
      </w:r>
    </w:p>
    <w:p>
      <w:pPr>
        <w:keepNext w:val="0"/>
        <w:keepLines w:val="0"/>
        <w:pageBreakBefore w:val="0"/>
        <w:kinsoku/>
        <w:wordWrap/>
        <w:overflowPunct/>
        <w:topLinePunct w:val="0"/>
        <w:autoSpaceDE/>
        <w:autoSpaceDN/>
        <w:bidi w:val="0"/>
        <w:adjustRightInd/>
        <w:snapToGrid/>
        <w:jc w:val="both"/>
        <w:textAlignment w:val="auto"/>
        <w:rPr>
          <w:rFonts w:ascii="Times New Roman" w:hAnsi="Times New Roman" w:eastAsia="仿宋_GB2312"/>
          <w:sz w:val="30"/>
          <w:szCs w:val="30"/>
        </w:rPr>
      </w:pPr>
      <w:r>
        <w:rPr>
          <w:rFonts w:hint="eastAsia" w:ascii="Times New Roman" w:hAnsi="Times New Roman" w:eastAsia="仿宋_GB2312"/>
          <w:sz w:val="30"/>
          <w:szCs w:val="30"/>
        </w:rPr>
        <w:t>十三、部门政府采购情况表</w:t>
      </w:r>
    </w:p>
    <w:p>
      <w:pPr>
        <w:keepNext w:val="0"/>
        <w:keepLines w:val="0"/>
        <w:pageBreakBefore w:val="0"/>
        <w:kinsoku/>
        <w:wordWrap/>
        <w:overflowPunct/>
        <w:topLinePunct w:val="0"/>
        <w:autoSpaceDE/>
        <w:autoSpaceDN/>
        <w:bidi w:val="0"/>
        <w:adjustRightInd/>
        <w:snapToGrid/>
        <w:jc w:val="both"/>
        <w:textAlignment w:val="auto"/>
        <w:rPr>
          <w:rFonts w:ascii="Times New Roman" w:hAnsi="Times New Roman" w:eastAsia="仿宋_GB2312"/>
          <w:sz w:val="30"/>
          <w:szCs w:val="30"/>
        </w:rPr>
      </w:pPr>
    </w:p>
    <w:p>
      <w:pPr>
        <w:keepNext w:val="0"/>
        <w:keepLines w:val="0"/>
        <w:pageBreakBefore w:val="0"/>
        <w:widowControl/>
        <w:kinsoku/>
        <w:wordWrap/>
        <w:overflowPunct/>
        <w:topLinePunct w:val="0"/>
        <w:autoSpaceDE/>
        <w:autoSpaceDN/>
        <w:bidi w:val="0"/>
        <w:adjustRightInd/>
        <w:snapToGrid/>
        <w:jc w:val="both"/>
        <w:textAlignment w:val="auto"/>
        <w:rPr>
          <w:rFonts w:ascii="方正小标宋简体" w:eastAsia="方正小标宋简体"/>
          <w:kern w:val="0"/>
          <w:sz w:val="36"/>
          <w:szCs w:val="36"/>
        </w:rPr>
      </w:pPr>
      <w:r>
        <w:rPr>
          <w:rFonts w:hint="eastAsia" w:ascii="方正小标宋简体" w:eastAsia="方正小标宋简体"/>
          <w:kern w:val="0"/>
          <w:sz w:val="36"/>
          <w:szCs w:val="36"/>
          <w:lang w:eastAsia="zh-CN"/>
        </w:rPr>
        <w:t>盈江县旧城民族中学</w:t>
      </w:r>
      <w:r>
        <w:rPr>
          <w:rFonts w:hint="eastAsia" w:ascii="方正小标宋简体" w:eastAsia="方正小标宋简体"/>
          <w:kern w:val="0"/>
          <w:sz w:val="36"/>
          <w:szCs w:val="36"/>
          <w:lang w:val="en-US" w:eastAsia="zh-CN"/>
        </w:rPr>
        <w:t>2019</w:t>
      </w:r>
      <w:r>
        <w:rPr>
          <w:rFonts w:hint="eastAsia" w:ascii="方正小标宋简体" w:eastAsia="方正小标宋简体"/>
          <w:kern w:val="0"/>
          <w:sz w:val="36"/>
          <w:szCs w:val="36"/>
        </w:rPr>
        <w:t>年部门预算编制说明</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hint="eastAsia" w:ascii="仿宋_GB2312" w:hAnsi="仿宋_GB2312" w:eastAsia="仿宋_GB2312" w:cs="仿宋_GB2312"/>
          <w:b w:val="0"/>
          <w:bCs w:val="0"/>
          <w:kern w:val="0"/>
          <w:sz w:val="30"/>
          <w:szCs w:val="30"/>
        </w:rPr>
      </w:pPr>
      <w:r>
        <w:rPr>
          <w:rFonts w:hint="eastAsia" w:ascii="仿宋_GB2312" w:hAnsi="仿宋_GB2312" w:eastAsia="仿宋_GB2312" w:cs="仿宋_GB2312"/>
          <w:b w:val="0"/>
          <w:bCs w:val="0"/>
          <w:kern w:val="0"/>
          <w:sz w:val="30"/>
          <w:szCs w:val="30"/>
        </w:rPr>
        <w:t>根据《</w:t>
      </w:r>
      <w:r>
        <w:rPr>
          <w:rFonts w:hint="eastAsia" w:ascii="仿宋_GB2312" w:hAnsi="仿宋_GB2312" w:eastAsia="仿宋_GB2312" w:cs="仿宋_GB2312"/>
          <w:b w:val="0"/>
          <w:bCs w:val="0"/>
          <w:kern w:val="0"/>
          <w:sz w:val="30"/>
          <w:szCs w:val="30"/>
          <w:lang w:eastAsia="zh-CN"/>
        </w:rPr>
        <w:t>盈江县财政局</w:t>
      </w:r>
      <w:r>
        <w:rPr>
          <w:rFonts w:hint="eastAsia" w:ascii="仿宋_GB2312" w:hAnsi="仿宋_GB2312" w:eastAsia="仿宋_GB2312" w:cs="仿宋_GB2312"/>
          <w:b w:val="0"/>
          <w:bCs w:val="0"/>
          <w:kern w:val="0"/>
          <w:sz w:val="30"/>
          <w:szCs w:val="30"/>
        </w:rPr>
        <w:t>关于</w:t>
      </w:r>
      <w:r>
        <w:rPr>
          <w:rFonts w:hint="eastAsia" w:ascii="仿宋_GB2312" w:hAnsi="仿宋_GB2312" w:eastAsia="仿宋_GB2312" w:cs="仿宋_GB2312"/>
          <w:b w:val="0"/>
          <w:bCs w:val="0"/>
          <w:kern w:val="0"/>
          <w:sz w:val="30"/>
          <w:szCs w:val="30"/>
          <w:lang w:eastAsia="zh-CN"/>
        </w:rPr>
        <w:t>盈江县旧城民族中学</w:t>
      </w:r>
      <w:r>
        <w:rPr>
          <w:rFonts w:hint="eastAsia" w:ascii="仿宋_GB2312" w:hAnsi="仿宋_GB2312" w:eastAsia="仿宋_GB2312" w:cs="仿宋_GB2312"/>
          <w:b w:val="0"/>
          <w:bCs w:val="0"/>
          <w:kern w:val="0"/>
          <w:sz w:val="30"/>
          <w:szCs w:val="30"/>
        </w:rPr>
        <w:t>201</w:t>
      </w:r>
      <w:r>
        <w:rPr>
          <w:rFonts w:hint="eastAsia" w:ascii="仿宋_GB2312" w:hAnsi="仿宋_GB2312" w:eastAsia="仿宋_GB2312" w:cs="仿宋_GB2312"/>
          <w:b w:val="0"/>
          <w:bCs w:val="0"/>
          <w:kern w:val="0"/>
          <w:sz w:val="30"/>
          <w:szCs w:val="30"/>
          <w:lang w:val="en-US" w:eastAsia="zh-CN"/>
        </w:rPr>
        <w:t>9</w:t>
      </w:r>
      <w:r>
        <w:rPr>
          <w:rFonts w:hint="eastAsia" w:ascii="仿宋_GB2312" w:hAnsi="仿宋_GB2312" w:eastAsia="仿宋_GB2312" w:cs="仿宋_GB2312"/>
          <w:b w:val="0"/>
          <w:bCs w:val="0"/>
          <w:kern w:val="0"/>
          <w:sz w:val="30"/>
          <w:szCs w:val="30"/>
        </w:rPr>
        <w:t>年部门预算的批复》（</w:t>
      </w:r>
      <w:r>
        <w:rPr>
          <w:rFonts w:hint="eastAsia" w:ascii="仿宋_GB2312" w:hAnsi="仿宋_GB2312" w:eastAsia="仿宋_GB2312" w:cs="仿宋_GB2312"/>
          <w:b w:val="0"/>
          <w:bCs w:val="0"/>
          <w:kern w:val="0"/>
          <w:sz w:val="30"/>
          <w:szCs w:val="30"/>
          <w:lang w:eastAsia="zh-CN"/>
        </w:rPr>
        <w:t>盈财预分指</w:t>
      </w:r>
      <w:r>
        <w:rPr>
          <w:rFonts w:hint="eastAsia" w:ascii="仿宋_GB2312" w:hAnsi="仿宋_GB2312" w:eastAsia="仿宋_GB2312" w:cs="仿宋_GB2312"/>
          <w:b w:val="0"/>
          <w:bCs w:val="0"/>
          <w:kern w:val="0"/>
          <w:sz w:val="30"/>
          <w:szCs w:val="30"/>
        </w:rPr>
        <w:t>〔201</w:t>
      </w:r>
      <w:r>
        <w:rPr>
          <w:rFonts w:hint="eastAsia" w:ascii="仿宋_GB2312" w:hAnsi="仿宋_GB2312" w:eastAsia="仿宋_GB2312" w:cs="仿宋_GB2312"/>
          <w:b w:val="0"/>
          <w:bCs w:val="0"/>
          <w:kern w:val="0"/>
          <w:sz w:val="30"/>
          <w:szCs w:val="30"/>
          <w:lang w:val="en-US" w:eastAsia="zh-CN"/>
        </w:rPr>
        <w:t>9</w:t>
      </w:r>
      <w:r>
        <w:rPr>
          <w:rFonts w:hint="eastAsia" w:ascii="仿宋_GB2312" w:hAnsi="仿宋_GB2312" w:eastAsia="仿宋_GB2312" w:cs="仿宋_GB2312"/>
          <w:b w:val="0"/>
          <w:bCs w:val="0"/>
          <w:kern w:val="0"/>
          <w:sz w:val="30"/>
          <w:szCs w:val="30"/>
        </w:rPr>
        <w:t>〕</w:t>
      </w:r>
      <w:r>
        <w:rPr>
          <w:rFonts w:hint="eastAsia" w:ascii="仿宋_GB2312" w:hAnsi="仿宋_GB2312" w:eastAsia="仿宋_GB2312" w:cs="仿宋_GB2312"/>
          <w:b w:val="0"/>
          <w:bCs w:val="0"/>
          <w:kern w:val="0"/>
          <w:sz w:val="30"/>
          <w:szCs w:val="30"/>
          <w:lang w:val="en-US" w:eastAsia="zh-CN"/>
        </w:rPr>
        <w:t>10</w:t>
      </w:r>
      <w:r>
        <w:rPr>
          <w:rFonts w:hint="eastAsia" w:ascii="仿宋_GB2312" w:hAnsi="仿宋_GB2312" w:eastAsia="仿宋_GB2312" w:cs="仿宋_GB2312"/>
          <w:b w:val="0"/>
          <w:bCs w:val="0"/>
          <w:kern w:val="0"/>
          <w:sz w:val="30"/>
          <w:szCs w:val="30"/>
        </w:rPr>
        <w:t>号），按照预算管理的相关规定，</w:t>
      </w:r>
      <w:r>
        <w:rPr>
          <w:rFonts w:hint="eastAsia" w:ascii="仿宋_GB2312" w:hAnsi="仿宋_GB2312" w:eastAsia="仿宋_GB2312" w:cs="仿宋_GB2312"/>
          <w:b w:val="0"/>
          <w:bCs w:val="0"/>
          <w:kern w:val="0"/>
          <w:sz w:val="30"/>
          <w:szCs w:val="30"/>
          <w:lang w:eastAsia="zh-CN"/>
        </w:rPr>
        <w:t>盈江县旧城民族中学</w:t>
      </w:r>
      <w:r>
        <w:rPr>
          <w:rFonts w:hint="eastAsia" w:ascii="仿宋_GB2312" w:hAnsi="仿宋_GB2312" w:eastAsia="仿宋_GB2312" w:cs="仿宋_GB2312"/>
          <w:b w:val="0"/>
          <w:bCs w:val="0"/>
          <w:kern w:val="0"/>
          <w:sz w:val="30"/>
          <w:szCs w:val="30"/>
        </w:rPr>
        <w:t>部门预算编制实行全口径预算管理，收入和支出全部纳入预算管理。</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ascii="黑体" w:hAnsi="黑体" w:eastAsia="黑体"/>
          <w:kern w:val="0"/>
          <w:sz w:val="30"/>
          <w:szCs w:val="30"/>
        </w:rPr>
      </w:pPr>
      <w:r>
        <w:rPr>
          <w:rFonts w:ascii="黑体" w:hAnsi="黑体" w:eastAsia="黑体"/>
          <w:kern w:val="0"/>
          <w:sz w:val="30"/>
          <w:szCs w:val="30"/>
        </w:rPr>
        <w:t>一、基本职能及主要工作</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ascii="楷体_GB2312" w:eastAsia="楷体_GB2312"/>
          <w:b/>
          <w:kern w:val="0"/>
          <w:sz w:val="30"/>
          <w:szCs w:val="30"/>
        </w:rPr>
      </w:pPr>
      <w:r>
        <w:rPr>
          <w:rFonts w:hint="eastAsia" w:ascii="楷体_GB2312" w:eastAsia="楷体_GB2312"/>
          <w:kern w:val="0"/>
          <w:sz w:val="30"/>
          <w:szCs w:val="30"/>
        </w:rPr>
        <w:t>（一）部门主要职责</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hint="eastAsia"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根据盈发（2012）21号文件《贯彻国家和云南省中长期教育改革和发展规划纲要的实施意见》规定，主要职能是：全面推进素质教育，大力发展学前教育，巩固提高义务教育发展水平，稳步发展高中教育，加快发展职业教育和成人继续教育，推进</w:t>
      </w:r>
      <w:r>
        <w:rPr>
          <w:rFonts w:hint="eastAsia" w:ascii="仿宋_GB2312" w:hAnsi="仿宋_GB2312" w:eastAsia="仿宋_GB2312" w:cs="仿宋_GB2312"/>
          <w:kern w:val="0"/>
          <w:sz w:val="30"/>
          <w:szCs w:val="30"/>
          <w:lang w:eastAsia="zh-CN"/>
        </w:rPr>
        <w:t>特殊</w:t>
      </w:r>
      <w:r>
        <w:rPr>
          <w:rFonts w:hint="eastAsia" w:ascii="仿宋_GB2312" w:hAnsi="仿宋_GB2312" w:eastAsia="仿宋_GB2312" w:cs="仿宋_GB2312"/>
          <w:kern w:val="0"/>
          <w:sz w:val="30"/>
          <w:szCs w:val="30"/>
        </w:rPr>
        <w:t>教育发展，高度重视民族教育，规范发展民办教育，加强教育合作与交流。</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ascii="楷体_GB2312" w:eastAsia="楷体_GB2312"/>
          <w:color w:val="000000" w:themeColor="text1"/>
          <w:kern w:val="0"/>
          <w:sz w:val="30"/>
          <w:szCs w:val="30"/>
        </w:rPr>
      </w:pPr>
      <w:r>
        <w:rPr>
          <w:rFonts w:hint="eastAsia" w:ascii="楷体_GB2312" w:eastAsia="楷体_GB2312"/>
          <w:color w:val="000000" w:themeColor="text1"/>
          <w:kern w:val="0"/>
          <w:sz w:val="30"/>
          <w:szCs w:val="30"/>
        </w:rPr>
        <w:t>（二）机构设置情况</w:t>
      </w:r>
    </w:p>
    <w:p>
      <w:pPr>
        <w:keepNext w:val="0"/>
        <w:keepLines w:val="0"/>
        <w:pageBreakBefore w:val="0"/>
        <w:widowControl/>
        <w:kinsoku/>
        <w:wordWrap/>
        <w:overflowPunct/>
        <w:topLinePunct w:val="0"/>
        <w:autoSpaceDE/>
        <w:autoSpaceDN/>
        <w:bidi w:val="0"/>
        <w:adjustRightInd/>
        <w:snapToGrid/>
        <w:ind w:firstLine="560" w:firstLineChars="200"/>
        <w:jc w:val="both"/>
        <w:textAlignment w:val="auto"/>
        <w:outlineLvl w:val="9"/>
        <w:rPr>
          <w:rFonts w:hint="eastAsia" w:ascii="仿宋_GB2312" w:hAnsi="仿宋_GB2312" w:eastAsia="仿宋_GB2312" w:cs="仿宋_GB2312"/>
          <w:kern w:val="0"/>
          <w:sz w:val="30"/>
          <w:szCs w:val="30"/>
          <w:lang w:val="en-US" w:eastAsia="zh-CN"/>
        </w:rPr>
      </w:pPr>
      <w:r>
        <w:rPr>
          <w:rFonts w:hint="eastAsia" w:ascii="宋体" w:hAnsi="宋体" w:eastAsia="宋体" w:cs="宋体"/>
          <w:color w:val="auto"/>
          <w:kern w:val="0"/>
          <w:sz w:val="28"/>
          <w:szCs w:val="28"/>
          <w:lang w:val="en-US" w:eastAsia="zh-CN" w:bidi="ar-SA"/>
        </w:rPr>
        <w:t xml:space="preserve"> </w:t>
      </w:r>
      <w:r>
        <w:rPr>
          <w:rFonts w:hint="eastAsia" w:ascii="仿宋_GB2312" w:hAnsi="仿宋_GB2312" w:eastAsia="仿宋_GB2312" w:cs="仿宋_GB2312"/>
          <w:color w:val="auto"/>
          <w:kern w:val="0"/>
          <w:sz w:val="30"/>
          <w:szCs w:val="30"/>
          <w:lang w:val="en-US" w:eastAsia="zh-CN" w:bidi="ar-SA"/>
        </w:rPr>
        <w:t>盈江县旧城民族中学设置9个科室：办公室、总务室、教务室、政教室、党委办公室、工会办公室、团委办公室、财务室、亲爱小屋办公室。</w:t>
      </w:r>
    </w:p>
    <w:p>
      <w:pPr>
        <w:keepNext w:val="0"/>
        <w:keepLines w:val="0"/>
        <w:pageBreakBefore w:val="0"/>
        <w:widowControl/>
        <w:numPr>
          <w:ilvl w:val="0"/>
          <w:numId w:val="1"/>
        </w:numPr>
        <w:kinsoku/>
        <w:wordWrap/>
        <w:overflowPunct/>
        <w:topLinePunct w:val="0"/>
        <w:autoSpaceDE/>
        <w:autoSpaceDN/>
        <w:bidi w:val="0"/>
        <w:adjustRightInd/>
        <w:snapToGrid/>
        <w:ind w:firstLine="600" w:firstLineChars="200"/>
        <w:jc w:val="both"/>
        <w:textAlignment w:val="auto"/>
        <w:outlineLvl w:val="9"/>
        <w:rPr>
          <w:rFonts w:ascii="楷体_GB2312" w:eastAsia="楷体_GB2312"/>
          <w:color w:val="000000" w:themeColor="text1"/>
          <w:kern w:val="0"/>
          <w:sz w:val="30"/>
          <w:szCs w:val="30"/>
        </w:rPr>
      </w:pPr>
      <w:r>
        <w:rPr>
          <w:rFonts w:ascii="楷体_GB2312" w:eastAsia="楷体_GB2312"/>
          <w:color w:val="000000" w:themeColor="text1"/>
          <w:kern w:val="0"/>
          <w:sz w:val="30"/>
          <w:szCs w:val="30"/>
        </w:rPr>
        <w:t>重点工作概述</w:t>
      </w:r>
    </w:p>
    <w:p>
      <w:pPr>
        <w:keepNext w:val="0"/>
        <w:keepLines w:val="0"/>
        <w:pageBreakBefore w:val="0"/>
        <w:widowControl/>
        <w:numPr>
          <w:ilvl w:val="0"/>
          <w:numId w:val="0"/>
        </w:numPr>
        <w:kinsoku/>
        <w:wordWrap/>
        <w:overflowPunct/>
        <w:topLinePunct w:val="0"/>
        <w:autoSpaceDE/>
        <w:autoSpaceDN/>
        <w:bidi w:val="0"/>
        <w:adjustRightInd/>
        <w:snapToGrid/>
        <w:ind w:firstLine="600" w:firstLineChars="200"/>
        <w:jc w:val="both"/>
        <w:textAlignment w:val="auto"/>
        <w:outlineLvl w:val="9"/>
        <w:rPr>
          <w:rFonts w:hint="eastAsia" w:ascii="楷体_GB2312" w:eastAsia="楷体_GB2312"/>
          <w:color w:val="000000" w:themeColor="text1"/>
          <w:kern w:val="0"/>
          <w:sz w:val="30"/>
          <w:szCs w:val="30"/>
          <w:lang w:val="en-US" w:eastAsia="zh-CN"/>
        </w:rPr>
      </w:pPr>
      <w:r>
        <w:rPr>
          <w:rFonts w:hint="eastAsia" w:ascii="楷体_GB2312" w:eastAsia="楷体_GB2312"/>
          <w:color w:val="000000" w:themeColor="text1"/>
          <w:kern w:val="0"/>
          <w:sz w:val="30"/>
          <w:szCs w:val="30"/>
          <w:lang w:val="en-US" w:eastAsia="zh-CN"/>
        </w:rPr>
        <w:t>本年度开展重点工作如下：</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(一）全力推进课堂教学改革</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hint="eastAsia" w:ascii="仿宋_GB2312" w:hAnsi="仿宋_GB2312" w:eastAsia="仿宋_GB2312" w:cs="仿宋_GB2312"/>
          <w:sz w:val="30"/>
          <w:szCs w:val="30"/>
        </w:rPr>
      </w:pPr>
      <w:r>
        <w:rPr>
          <w:rFonts w:hint="eastAsia" w:ascii="仿宋_GB2312" w:hAnsi="仿宋_GB2312" w:eastAsia="仿宋_GB2312" w:cs="仿宋_GB2312"/>
          <w:color w:val="000000"/>
          <w:sz w:val="30"/>
          <w:szCs w:val="30"/>
        </w:rPr>
        <w:t>根据《盈江县教育局推进全县中小学课堂教学改革的指导意见》，</w:t>
      </w:r>
      <w:r>
        <w:rPr>
          <w:rFonts w:hint="eastAsia" w:ascii="仿宋_GB2312" w:hAnsi="仿宋_GB2312" w:eastAsia="仿宋_GB2312" w:cs="仿宋_GB2312"/>
          <w:sz w:val="30"/>
          <w:szCs w:val="30"/>
        </w:rPr>
        <w:t>学年初，我校设计了“二四六”教学模式，初步形成了我校课堂教学改革模式，以年级组、学科组为单位组织全体师生多次学习了“二四六”教学模式的具体要求和具体操作，鼓励教师大胆尝试，要求教科室和教研组成员，现场听课、评课、指导，目前我校课堂教学活动发生了可喜的变化，我校课堂教学改取得了实质性进展。</w:t>
      </w:r>
    </w:p>
    <w:p>
      <w:pPr>
        <w:keepNext w:val="0"/>
        <w:keepLines w:val="0"/>
        <w:pageBreakBefore w:val="0"/>
        <w:kinsoku/>
        <w:wordWrap/>
        <w:overflowPunct/>
        <w:topLinePunct w:val="0"/>
        <w:autoSpaceDE/>
        <w:autoSpaceDN/>
        <w:bidi w:val="0"/>
        <w:adjustRightInd/>
        <w:snapToGrid/>
        <w:ind w:firstLine="600" w:firstLineChars="200"/>
        <w:jc w:val="both"/>
        <w:textAlignment w:val="auto"/>
        <w:outlineLvl w:val="9"/>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（二）狠抓常规教学不放松</w:t>
      </w:r>
    </w:p>
    <w:p>
      <w:pPr>
        <w:keepNext w:val="0"/>
        <w:keepLines w:val="0"/>
        <w:pageBreakBefore w:val="0"/>
        <w:kinsoku/>
        <w:wordWrap/>
        <w:overflowPunct/>
        <w:topLinePunct w:val="0"/>
        <w:autoSpaceDE/>
        <w:autoSpaceDN/>
        <w:bidi w:val="0"/>
        <w:adjustRightInd/>
        <w:snapToGrid/>
        <w:ind w:firstLine="600" w:firstLineChars="200"/>
        <w:jc w:val="both"/>
        <w:textAlignment w:val="auto"/>
        <w:outlineLvl w:val="9"/>
        <w:rPr>
          <w:rFonts w:hint="eastAsia" w:ascii="仿宋_GB2312" w:hAnsi="仿宋_GB2312" w:eastAsia="仿宋_GB2312" w:cs="仿宋_GB2312"/>
          <w:sz w:val="30"/>
          <w:szCs w:val="30"/>
        </w:rPr>
      </w:pPr>
      <w:r>
        <w:rPr>
          <w:rFonts w:hint="eastAsia" w:ascii="仿宋_GB2312" w:hAnsi="仿宋_GB2312" w:eastAsia="仿宋_GB2312" w:cs="仿宋_GB2312"/>
          <w:color w:val="000000"/>
          <w:sz w:val="30"/>
          <w:szCs w:val="30"/>
        </w:rPr>
        <w:t>结合学校的实际情况制定出了备课制度、上课制度、辅导制度、作业批改制度、教学常规检查细则。</w:t>
      </w:r>
      <w:r>
        <w:rPr>
          <w:rFonts w:hint="eastAsia" w:ascii="仿宋_GB2312" w:hAnsi="仿宋_GB2312" w:eastAsia="仿宋_GB2312" w:cs="仿宋_GB2312"/>
          <w:color w:val="000000"/>
          <w:sz w:val="30"/>
          <w:szCs w:val="30"/>
          <w:shd w:val="clear" w:color="auto" w:fill="FFFFFF"/>
        </w:rPr>
        <w:t>规范教师教学行为“六个环节”，即备课、上课、作业布置和批改、辅导、测试、教学质量分析。教科室严格落实业务检查制度，</w:t>
      </w:r>
      <w:r>
        <w:rPr>
          <w:rFonts w:hint="eastAsia" w:ascii="仿宋_GB2312" w:hAnsi="仿宋_GB2312" w:eastAsia="仿宋_GB2312" w:cs="仿宋_GB2312"/>
          <w:color w:val="000000"/>
          <w:kern w:val="0"/>
          <w:sz w:val="30"/>
          <w:szCs w:val="30"/>
        </w:rPr>
        <w:t>将检查结果作为年终考核和绩效工资分配的重要依据。</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hint="eastAsia" w:ascii="仿宋_GB2312" w:hAnsi="仿宋_GB2312" w:eastAsia="仿宋_GB2312" w:cs="仿宋_GB2312"/>
          <w:color w:val="000000"/>
          <w:kern w:val="0"/>
          <w:sz w:val="30"/>
          <w:szCs w:val="30"/>
        </w:rPr>
      </w:pPr>
      <w:r>
        <w:rPr>
          <w:rFonts w:hint="eastAsia" w:ascii="仿宋_GB2312" w:hAnsi="仿宋_GB2312" w:eastAsia="仿宋_GB2312" w:cs="仿宋_GB2312"/>
          <w:color w:val="000000"/>
          <w:kern w:val="0"/>
          <w:sz w:val="30"/>
          <w:szCs w:val="30"/>
        </w:rPr>
        <w:t>（三）加强教育信息技术培训工作</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hint="eastAsia" w:ascii="仿宋_GB2312" w:hAnsi="仿宋_GB2312" w:eastAsia="仿宋_GB2312" w:cs="仿宋_GB2312"/>
          <w:color w:val="000000"/>
          <w:kern w:val="0"/>
          <w:sz w:val="30"/>
          <w:szCs w:val="30"/>
        </w:rPr>
      </w:pPr>
      <w:r>
        <w:rPr>
          <w:rFonts w:hint="eastAsia" w:ascii="仿宋_GB2312" w:hAnsi="仿宋_GB2312" w:eastAsia="仿宋_GB2312" w:cs="仿宋_GB2312"/>
          <w:color w:val="000000"/>
          <w:kern w:val="0"/>
          <w:sz w:val="30"/>
          <w:szCs w:val="30"/>
        </w:rPr>
        <w:t>学期教科室对全体教师作了关于电子白板和电子教案的应用技术培训，使我校教师的电子教育技术水平得到提高，电子白板和电子教案在教育教学活动中得到广泛应用，开阔学生的视野，提高学生的学习兴趣。</w:t>
      </w:r>
    </w:p>
    <w:p>
      <w:pPr>
        <w:keepNext w:val="0"/>
        <w:keepLines w:val="0"/>
        <w:pageBreakBefore w:val="0"/>
        <w:shd w:val="clear" w:color="auto" w:fill="FFFFFF"/>
        <w:kinsoku/>
        <w:wordWrap/>
        <w:overflowPunct/>
        <w:topLinePunct w:val="0"/>
        <w:autoSpaceDE/>
        <w:autoSpaceDN/>
        <w:bidi w:val="0"/>
        <w:adjustRightInd/>
        <w:snapToGrid/>
        <w:spacing w:line="300" w:lineRule="atLeast"/>
        <w:ind w:right="200" w:firstLine="600" w:firstLineChars="200"/>
        <w:jc w:val="both"/>
        <w:textAlignment w:val="auto"/>
        <w:outlineLvl w:val="9"/>
        <w:rPr>
          <w:rFonts w:hint="eastAsia" w:ascii="仿宋_GB2312" w:hAnsi="仿宋_GB2312" w:eastAsia="仿宋_GB2312" w:cs="仿宋_GB2312"/>
          <w:color w:val="222222"/>
          <w:kern w:val="0"/>
          <w:sz w:val="30"/>
          <w:szCs w:val="30"/>
        </w:rPr>
      </w:pPr>
      <w:r>
        <w:rPr>
          <w:rFonts w:hint="eastAsia" w:ascii="仿宋_GB2312" w:hAnsi="仿宋_GB2312" w:eastAsia="仿宋_GB2312" w:cs="仿宋_GB2312"/>
          <w:color w:val="000000"/>
          <w:kern w:val="0"/>
          <w:sz w:val="30"/>
          <w:szCs w:val="30"/>
        </w:rPr>
        <w:t>（四）</w:t>
      </w:r>
      <w:r>
        <w:rPr>
          <w:rFonts w:hint="eastAsia" w:ascii="仿宋_GB2312" w:hAnsi="仿宋_GB2312" w:eastAsia="仿宋_GB2312" w:cs="仿宋_GB2312"/>
          <w:color w:val="222222"/>
          <w:kern w:val="0"/>
          <w:sz w:val="30"/>
          <w:szCs w:val="30"/>
        </w:rPr>
        <w:t>坚定不移地做好控辍保学工作</w:t>
      </w:r>
    </w:p>
    <w:p>
      <w:pPr>
        <w:keepNext w:val="0"/>
        <w:keepLines w:val="0"/>
        <w:pageBreakBefore w:val="0"/>
        <w:shd w:val="clear" w:color="auto" w:fill="FFFFFF"/>
        <w:kinsoku/>
        <w:wordWrap/>
        <w:overflowPunct/>
        <w:topLinePunct w:val="0"/>
        <w:autoSpaceDE/>
        <w:autoSpaceDN/>
        <w:bidi w:val="0"/>
        <w:adjustRightInd/>
        <w:snapToGrid/>
        <w:spacing w:line="300" w:lineRule="atLeast"/>
        <w:ind w:right="200" w:firstLine="600" w:firstLineChars="200"/>
        <w:jc w:val="both"/>
        <w:textAlignment w:val="auto"/>
        <w:outlineLvl w:val="9"/>
        <w:rPr>
          <w:rFonts w:hint="eastAsia" w:ascii="仿宋_GB2312" w:hAnsi="仿宋_GB2312" w:eastAsia="仿宋_GB2312" w:cs="仿宋_GB2312"/>
          <w:color w:val="222222"/>
          <w:kern w:val="0"/>
          <w:sz w:val="30"/>
          <w:szCs w:val="30"/>
        </w:rPr>
      </w:pPr>
      <w:r>
        <w:rPr>
          <w:rFonts w:hint="eastAsia" w:ascii="仿宋_GB2312" w:hAnsi="仿宋_GB2312" w:eastAsia="仿宋_GB2312" w:cs="仿宋_GB2312"/>
          <w:color w:val="222222"/>
          <w:kern w:val="0"/>
          <w:sz w:val="30"/>
          <w:szCs w:val="30"/>
        </w:rPr>
        <w:t>我们继续坚持依法控辍、改革控辍、管理控辍、扶贫控辍，①是进一步宣传《义务教育法》增强家长和学生知法、懂法、守法的自觉性;②是签定控辍责任书，充分调动政府、学校和教师控辍工作的主动性，积极</w:t>
      </w:r>
      <w:r>
        <w:rPr>
          <w:rFonts w:hint="eastAsia" w:ascii="仿宋_GB2312" w:hAnsi="仿宋_GB2312" w:eastAsia="仿宋_GB2312" w:cs="仿宋_GB2312"/>
          <w:color w:val="222222"/>
          <w:kern w:val="0"/>
          <w:sz w:val="30"/>
          <w:szCs w:val="30"/>
          <w:lang w:eastAsia="zh-CN"/>
        </w:rPr>
        <w:t>做</w:t>
      </w:r>
      <w:r>
        <w:rPr>
          <w:rFonts w:hint="eastAsia" w:ascii="仿宋_GB2312" w:hAnsi="仿宋_GB2312" w:eastAsia="仿宋_GB2312" w:cs="仿宋_GB2312"/>
          <w:color w:val="222222"/>
          <w:kern w:val="0"/>
          <w:sz w:val="30"/>
          <w:szCs w:val="30"/>
        </w:rPr>
        <w:t>好控辍工作;③是加强后进生的转化工作，对他们进行理想道德教育，使他们端正学习目的、动机，教师有计划地对后进生进行文化课补差工作;④积极开展特困生的帮扶工作，开展“手拉手、献爱心”等活动;⑤是坚持因材施教的教育原则，积极探索分层次教育模式，努力开发每个学生的特点和潜能;⑥是改善住宿条件，降低伙食收费标准，保证学生能吃好穿暖;⑦是加强学籍管理，严格履行学生转出、转入、休学手续，及时填写表册，坚持实行流失生月报告制度。</w:t>
      </w:r>
    </w:p>
    <w:p>
      <w:pPr>
        <w:keepNext w:val="0"/>
        <w:keepLines w:val="0"/>
        <w:pageBreakBefore w:val="0"/>
        <w:shd w:val="clear" w:color="auto" w:fill="FFFFFF"/>
        <w:kinsoku/>
        <w:wordWrap/>
        <w:overflowPunct/>
        <w:topLinePunct w:val="0"/>
        <w:autoSpaceDE/>
        <w:autoSpaceDN/>
        <w:bidi w:val="0"/>
        <w:adjustRightInd/>
        <w:snapToGrid/>
        <w:spacing w:line="300" w:lineRule="atLeast"/>
        <w:ind w:right="200" w:firstLine="600" w:firstLineChars="200"/>
        <w:jc w:val="both"/>
        <w:textAlignment w:val="auto"/>
        <w:outlineLvl w:val="9"/>
        <w:rPr>
          <w:rFonts w:hint="eastAsia" w:ascii="仿宋_GB2312" w:hAnsi="仿宋_GB2312" w:eastAsia="仿宋_GB2312" w:cs="仿宋_GB2312"/>
          <w:color w:val="222222"/>
          <w:kern w:val="0"/>
          <w:sz w:val="30"/>
          <w:szCs w:val="30"/>
        </w:rPr>
      </w:pPr>
      <w:r>
        <w:rPr>
          <w:rFonts w:hint="eastAsia" w:ascii="仿宋_GB2312" w:hAnsi="仿宋_GB2312" w:eastAsia="仿宋_GB2312" w:cs="仿宋_GB2312"/>
          <w:color w:val="222222"/>
          <w:kern w:val="0"/>
          <w:sz w:val="30"/>
          <w:szCs w:val="30"/>
        </w:rPr>
        <w:t>（五）大力加强初三毕业班的各项管理工作</w:t>
      </w:r>
    </w:p>
    <w:p>
      <w:pPr>
        <w:keepNext w:val="0"/>
        <w:keepLines w:val="0"/>
        <w:pageBreakBefore w:val="0"/>
        <w:shd w:val="clear" w:color="auto" w:fill="FFFFFF"/>
        <w:kinsoku/>
        <w:wordWrap/>
        <w:overflowPunct/>
        <w:topLinePunct w:val="0"/>
        <w:autoSpaceDE/>
        <w:autoSpaceDN/>
        <w:bidi w:val="0"/>
        <w:adjustRightInd/>
        <w:snapToGrid/>
        <w:spacing w:line="300" w:lineRule="atLeast"/>
        <w:ind w:right="200" w:firstLine="600" w:firstLineChars="200"/>
        <w:jc w:val="both"/>
        <w:textAlignment w:val="auto"/>
        <w:outlineLvl w:val="9"/>
        <w:rPr>
          <w:rFonts w:hint="eastAsia" w:ascii="仿宋_GB2312" w:hAnsi="仿宋_GB2312" w:eastAsia="仿宋_GB2312" w:cs="仿宋_GB2312"/>
          <w:color w:val="222222"/>
          <w:kern w:val="0"/>
          <w:sz w:val="30"/>
          <w:szCs w:val="30"/>
        </w:rPr>
      </w:pPr>
      <w:r>
        <w:rPr>
          <w:rFonts w:hint="eastAsia" w:ascii="仿宋_GB2312" w:hAnsi="仿宋_GB2312" w:eastAsia="仿宋_GB2312" w:cs="仿宋_GB2312"/>
          <w:color w:val="222222"/>
          <w:kern w:val="0"/>
          <w:sz w:val="30"/>
          <w:szCs w:val="30"/>
        </w:rPr>
        <w:t>初三毕业班的升学质量是关系学校生存和发展的重中之重，为此，我们尤其重视我校的毕业班的各项工作，目前，我校教师队伍参差不齐</w:t>
      </w:r>
      <w:r>
        <w:rPr>
          <w:rFonts w:hint="eastAsia" w:ascii="仿宋_GB2312" w:hAnsi="仿宋_GB2312" w:eastAsia="仿宋_GB2312" w:cs="仿宋_GB2312"/>
          <w:color w:val="222222"/>
          <w:kern w:val="0"/>
          <w:sz w:val="30"/>
          <w:szCs w:val="30"/>
          <w:lang w:eastAsia="zh-CN"/>
        </w:rPr>
        <w:t>，</w:t>
      </w:r>
      <w:r>
        <w:rPr>
          <w:rFonts w:hint="eastAsia" w:ascii="仿宋_GB2312" w:hAnsi="仿宋_GB2312" w:eastAsia="仿宋_GB2312" w:cs="仿宋_GB2312"/>
          <w:color w:val="222222"/>
          <w:kern w:val="0"/>
          <w:sz w:val="30"/>
          <w:szCs w:val="30"/>
        </w:rPr>
        <w:t>学生的基础较差，好学生外流，这是客观的现实，但是，我们不能等、不能靠，我们要做的也是必须做的是加强管理，全力提高升教学质量，为此，我们做了以下几方面工作：①加强学生的思想教育，帮助学生树立远大的理想和</w:t>
      </w:r>
      <w:r>
        <w:rPr>
          <w:rFonts w:hint="eastAsia" w:ascii="仿宋_GB2312" w:hAnsi="仿宋_GB2312" w:eastAsia="仿宋_GB2312" w:cs="仿宋_GB2312"/>
          <w:color w:val="222222"/>
          <w:kern w:val="0"/>
          <w:sz w:val="30"/>
          <w:szCs w:val="30"/>
          <w:lang w:eastAsia="zh-CN"/>
        </w:rPr>
        <w:t>正确</w:t>
      </w:r>
      <w:r>
        <w:rPr>
          <w:rFonts w:hint="eastAsia" w:ascii="仿宋_GB2312" w:hAnsi="仿宋_GB2312" w:eastAsia="仿宋_GB2312" w:cs="仿宋_GB2312"/>
          <w:color w:val="222222"/>
          <w:kern w:val="0"/>
          <w:sz w:val="30"/>
          <w:szCs w:val="30"/>
        </w:rPr>
        <w:t>的人生观，从而端正学习态度，明确学习目的;②加强对教师的管理和思想教育。严格教学过程管理，认真检查和督促教师，提高每一节课的课堂效率，向45分钟要质量，加强对教师进行思想政治教育、师德教育</w:t>
      </w:r>
      <w:r>
        <w:rPr>
          <w:rFonts w:hint="eastAsia" w:ascii="仿宋_GB2312" w:hAnsi="仿宋_GB2312" w:eastAsia="仿宋_GB2312" w:cs="仿宋_GB2312"/>
          <w:color w:val="222222"/>
          <w:kern w:val="0"/>
          <w:sz w:val="30"/>
          <w:szCs w:val="30"/>
          <w:lang w:eastAsia="zh-CN"/>
        </w:rPr>
        <w:t>；</w:t>
      </w:r>
      <w:r>
        <w:rPr>
          <w:rFonts w:hint="eastAsia" w:ascii="仿宋_GB2312" w:hAnsi="仿宋_GB2312" w:eastAsia="仿宋_GB2312" w:cs="仿宋_GB2312"/>
          <w:color w:val="222222"/>
          <w:kern w:val="0"/>
          <w:sz w:val="30"/>
          <w:szCs w:val="30"/>
        </w:rPr>
        <w:t xml:space="preserve">③组织教师研究近三年来的中考试题，把握趋势和动态，同时，精心选择试题，强化训练。          </w:t>
      </w:r>
    </w:p>
    <w:p>
      <w:pPr>
        <w:keepNext w:val="0"/>
        <w:keepLines w:val="0"/>
        <w:pageBreakBefore w:val="0"/>
        <w:shd w:val="clear" w:color="auto" w:fill="FFFFFF"/>
        <w:kinsoku/>
        <w:wordWrap/>
        <w:overflowPunct/>
        <w:topLinePunct w:val="0"/>
        <w:autoSpaceDE/>
        <w:autoSpaceDN/>
        <w:bidi w:val="0"/>
        <w:adjustRightInd/>
        <w:snapToGrid/>
        <w:spacing w:line="300" w:lineRule="atLeast"/>
        <w:ind w:right="200" w:firstLine="600" w:firstLineChars="200"/>
        <w:jc w:val="both"/>
        <w:textAlignment w:val="auto"/>
        <w:outlineLvl w:val="9"/>
        <w:rPr>
          <w:rFonts w:hint="eastAsia" w:ascii="仿宋_GB2312" w:hAnsi="仿宋_GB2312" w:eastAsia="仿宋_GB2312" w:cs="仿宋_GB2312"/>
          <w:b w:val="0"/>
          <w:bCs/>
          <w:kern w:val="0"/>
          <w:sz w:val="30"/>
          <w:szCs w:val="30"/>
        </w:rPr>
      </w:pPr>
      <w:r>
        <w:rPr>
          <w:rFonts w:hint="eastAsia" w:ascii="仿宋_GB2312" w:hAnsi="仿宋_GB2312" w:eastAsia="仿宋_GB2312" w:cs="仿宋_GB2312"/>
          <w:b w:val="0"/>
          <w:bCs/>
          <w:color w:val="222222"/>
          <w:kern w:val="0"/>
          <w:sz w:val="30"/>
          <w:szCs w:val="30"/>
          <w:lang w:val="en-US" w:eastAsia="zh-CN"/>
        </w:rPr>
        <w:t>(六)</w:t>
      </w:r>
      <w:r>
        <w:rPr>
          <w:rFonts w:hint="eastAsia" w:ascii="仿宋_GB2312" w:hAnsi="仿宋_GB2312" w:eastAsia="仿宋_GB2312" w:cs="仿宋_GB2312"/>
          <w:b w:val="0"/>
          <w:bCs/>
          <w:color w:val="222222"/>
          <w:kern w:val="0"/>
          <w:sz w:val="30"/>
          <w:szCs w:val="30"/>
        </w:rPr>
        <w:t>、</w:t>
      </w:r>
      <w:r>
        <w:rPr>
          <w:rFonts w:hint="eastAsia" w:ascii="仿宋_GB2312" w:hAnsi="仿宋_GB2312" w:eastAsia="仿宋_GB2312" w:cs="仿宋_GB2312"/>
          <w:b w:val="0"/>
          <w:bCs/>
          <w:kern w:val="0"/>
          <w:sz w:val="30"/>
          <w:szCs w:val="30"/>
        </w:rPr>
        <w:t>积极推进办学条件均衡工作</w:t>
      </w:r>
    </w:p>
    <w:p>
      <w:pPr>
        <w:keepNext w:val="0"/>
        <w:keepLines w:val="0"/>
        <w:pageBreakBefore w:val="0"/>
        <w:kinsoku/>
        <w:wordWrap/>
        <w:overflowPunct/>
        <w:topLinePunct w:val="0"/>
        <w:autoSpaceDE/>
        <w:autoSpaceDN/>
        <w:bidi w:val="0"/>
        <w:adjustRightInd/>
        <w:snapToGrid/>
        <w:ind w:firstLine="600" w:firstLineChars="200"/>
        <w:jc w:val="both"/>
        <w:textAlignment w:val="auto"/>
        <w:outlineLvl w:val="9"/>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1、优化学校规划布局。2、积极推进学校标准化建设。在上级的关心和支持下 ，积极争取项目支持，加大薄弱环境改造力度，加快标准化学校建设，项目资金约3100万学校工程拔地而起，工程进度正常，工程建设已进入尾声。3、加强教育信息网和资源裤建设。按省定标准加强学校教育装备建设，配足配齐图书、实验仪器和音体美教学器材。4、我校认真对照了“云南省义务教育学校办学基本标准达标评估指标及标准（修订稿）”的10项指标，全部达标。</w:t>
      </w:r>
    </w:p>
    <w:p>
      <w:pPr>
        <w:keepNext w:val="0"/>
        <w:keepLines w:val="0"/>
        <w:pageBreakBefore w:val="0"/>
        <w:kinsoku/>
        <w:wordWrap/>
        <w:overflowPunct/>
        <w:topLinePunct w:val="0"/>
        <w:autoSpaceDE/>
        <w:autoSpaceDN/>
        <w:bidi w:val="0"/>
        <w:adjustRightInd/>
        <w:snapToGrid/>
        <w:ind w:firstLine="600" w:firstLineChars="200"/>
        <w:jc w:val="both"/>
        <w:textAlignment w:val="auto"/>
        <w:outlineLvl w:val="9"/>
        <w:rPr>
          <w:rFonts w:hint="eastAsia" w:ascii="仿宋_GB2312" w:hAnsi="仿宋_GB2312" w:eastAsia="仿宋_GB2312" w:cs="仿宋_GB2312"/>
          <w:sz w:val="30"/>
          <w:szCs w:val="30"/>
          <w:lang w:eastAsia="zh-CN"/>
        </w:rPr>
      </w:pPr>
      <w:r>
        <w:rPr>
          <w:rFonts w:hint="eastAsia" w:ascii="仿宋_GB2312" w:hAnsi="仿宋_GB2312" w:eastAsia="仿宋_GB2312" w:cs="仿宋_GB2312"/>
          <w:sz w:val="30"/>
          <w:szCs w:val="30"/>
          <w:lang w:eastAsia="zh-CN"/>
        </w:rPr>
        <w:t>（七）安全工作方面</w:t>
      </w:r>
    </w:p>
    <w:p>
      <w:pPr>
        <w:keepNext w:val="0"/>
        <w:keepLines w:val="0"/>
        <w:pageBreakBefore w:val="0"/>
        <w:kinsoku/>
        <w:wordWrap/>
        <w:overflowPunct/>
        <w:topLinePunct w:val="0"/>
        <w:autoSpaceDE/>
        <w:autoSpaceDN/>
        <w:bidi w:val="0"/>
        <w:adjustRightInd/>
        <w:snapToGrid/>
        <w:ind w:firstLine="600" w:firstLineChars="200"/>
        <w:jc w:val="both"/>
        <w:textAlignment w:val="auto"/>
        <w:outlineLvl w:val="9"/>
        <w:rPr>
          <w:rFonts w:hint="eastAsia" w:ascii="仿宋_GB2312" w:hAnsi="仿宋_GB2312" w:eastAsia="仿宋_GB2312" w:cs="仿宋_GB2312"/>
          <w:color w:val="000000"/>
          <w:sz w:val="30"/>
          <w:szCs w:val="30"/>
        </w:rPr>
      </w:pPr>
      <w:r>
        <w:rPr>
          <w:rFonts w:hint="eastAsia" w:ascii="仿宋_GB2312" w:hAnsi="仿宋_GB2312" w:eastAsia="仿宋_GB2312" w:cs="仿宋_GB2312"/>
          <w:sz w:val="30"/>
          <w:szCs w:val="30"/>
        </w:rPr>
        <w:t>学校</w:t>
      </w:r>
      <w:r>
        <w:rPr>
          <w:rFonts w:hint="eastAsia" w:ascii="仿宋_GB2312" w:hAnsi="仿宋_GB2312" w:eastAsia="仿宋_GB2312" w:cs="仿宋_GB2312"/>
          <w:color w:val="000000"/>
          <w:sz w:val="30"/>
          <w:szCs w:val="30"/>
          <w:shd w:val="clear" w:color="auto" w:fill="FFFFFF"/>
        </w:rPr>
        <w:t>成立以校长为组长的安全工作领导小组，聘请法制副校长，层层落实学校安全工作责任，完善各项安全工作制度，建立健全校园突发事件预警机制，落实各项应急措施。充分利用国旗下讲话、班会、团队活动、活动课、宣传单、宣传栏、致学生家长的一封信、校园广播、黑板报等途径进行安全教育渗透。对学生开展安全预防教育，使学生接受系统的防溺水、防交通事故、防触电、防楼梯踩踏、防火、防盗、防中毒、防传染病等安全知识和技能教育，进行安全逃生演练。定期对校舍、围墙、大门、教学设施等进行安全常规检查，发现隐患及时上报并整改。</w:t>
      </w:r>
      <w:r>
        <w:rPr>
          <w:rFonts w:hint="eastAsia" w:ascii="仿宋_GB2312" w:hAnsi="仿宋_GB2312" w:eastAsia="仿宋_GB2312" w:cs="仿宋_GB2312"/>
          <w:color w:val="000000"/>
          <w:sz w:val="30"/>
          <w:szCs w:val="30"/>
        </w:rPr>
        <w:t>一年来我校无重大安全事故发生。</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ascii="黑体" w:hAnsi="黑体" w:eastAsia="黑体"/>
          <w:kern w:val="0"/>
          <w:sz w:val="30"/>
          <w:szCs w:val="30"/>
        </w:rPr>
      </w:pPr>
      <w:r>
        <w:rPr>
          <w:rFonts w:ascii="黑体" w:hAnsi="黑体" w:eastAsia="黑体"/>
          <w:kern w:val="0"/>
          <w:sz w:val="30"/>
          <w:szCs w:val="30"/>
        </w:rPr>
        <w:t>二、预算单位基本情况</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hint="eastAsia" w:ascii="仿宋_GB2312" w:hAnsi="仿宋_GB2312" w:eastAsia="仿宋_GB2312" w:cs="仿宋_GB2312"/>
          <w:kern w:val="0"/>
          <w:sz w:val="30"/>
          <w:szCs w:val="30"/>
        </w:rPr>
      </w:pPr>
      <w:r>
        <w:rPr>
          <w:rFonts w:eastAsia="仿宋_GB2312"/>
          <w:kern w:val="0"/>
          <w:sz w:val="30"/>
          <w:szCs w:val="30"/>
        </w:rPr>
        <w:t>我部门编制</w:t>
      </w:r>
      <w:r>
        <w:rPr>
          <w:rFonts w:hint="eastAsia" w:eastAsia="仿宋_GB2312"/>
          <w:kern w:val="0"/>
          <w:sz w:val="30"/>
          <w:szCs w:val="30"/>
          <w:lang w:val="en-US" w:eastAsia="zh-CN"/>
        </w:rPr>
        <w:t>2019</w:t>
      </w:r>
      <w:r>
        <w:rPr>
          <w:rFonts w:eastAsia="仿宋_GB2312"/>
          <w:kern w:val="0"/>
          <w:sz w:val="30"/>
          <w:szCs w:val="30"/>
        </w:rPr>
        <w:t>年部门预算单位共</w:t>
      </w:r>
      <w:r>
        <w:rPr>
          <w:rFonts w:hint="eastAsia" w:eastAsia="仿宋_GB2312"/>
          <w:kern w:val="0"/>
          <w:sz w:val="30"/>
          <w:szCs w:val="30"/>
          <w:lang w:val="en-US" w:eastAsia="zh-CN"/>
        </w:rPr>
        <w:t>1</w:t>
      </w:r>
      <w:r>
        <w:rPr>
          <w:rFonts w:eastAsia="仿宋_GB2312"/>
          <w:kern w:val="0"/>
          <w:sz w:val="30"/>
          <w:szCs w:val="30"/>
        </w:rPr>
        <w:t>个。其中：财政全供给单位</w:t>
      </w:r>
      <w:r>
        <w:rPr>
          <w:rFonts w:hint="eastAsia" w:eastAsia="仿宋_GB2312"/>
          <w:kern w:val="0"/>
          <w:sz w:val="30"/>
          <w:szCs w:val="30"/>
          <w:lang w:val="en-US" w:eastAsia="zh-CN"/>
        </w:rPr>
        <w:t>1</w:t>
      </w:r>
      <w:r>
        <w:rPr>
          <w:rFonts w:eastAsia="仿宋_GB2312"/>
          <w:kern w:val="0"/>
          <w:sz w:val="30"/>
          <w:szCs w:val="30"/>
        </w:rPr>
        <w:t>个；部分供给单位</w:t>
      </w:r>
      <w:r>
        <w:rPr>
          <w:rFonts w:hint="eastAsia" w:eastAsia="仿宋_GB2312"/>
          <w:kern w:val="0"/>
          <w:sz w:val="30"/>
          <w:szCs w:val="30"/>
          <w:lang w:val="en-US" w:eastAsia="zh-CN"/>
        </w:rPr>
        <w:t>0</w:t>
      </w:r>
      <w:r>
        <w:rPr>
          <w:rFonts w:eastAsia="仿宋_GB2312"/>
          <w:kern w:val="0"/>
          <w:sz w:val="30"/>
          <w:szCs w:val="30"/>
        </w:rPr>
        <w:t>个；特殊供给单位</w:t>
      </w:r>
      <w:r>
        <w:rPr>
          <w:rFonts w:hint="eastAsia" w:eastAsia="仿宋_GB2312"/>
          <w:kern w:val="0"/>
          <w:sz w:val="30"/>
          <w:szCs w:val="30"/>
          <w:lang w:val="en-US" w:eastAsia="zh-CN"/>
        </w:rPr>
        <w:t>0</w:t>
      </w:r>
      <w:r>
        <w:rPr>
          <w:rFonts w:eastAsia="仿宋_GB2312"/>
          <w:kern w:val="0"/>
          <w:sz w:val="30"/>
          <w:szCs w:val="30"/>
        </w:rPr>
        <w:t>个；自收自支单位</w:t>
      </w:r>
      <w:r>
        <w:rPr>
          <w:rFonts w:hint="eastAsia" w:eastAsia="仿宋_GB2312"/>
          <w:kern w:val="0"/>
          <w:sz w:val="30"/>
          <w:szCs w:val="30"/>
          <w:lang w:val="en-US" w:eastAsia="zh-CN"/>
        </w:rPr>
        <w:t>0</w:t>
      </w:r>
      <w:r>
        <w:rPr>
          <w:rFonts w:eastAsia="仿宋_GB2312"/>
          <w:kern w:val="0"/>
          <w:sz w:val="30"/>
          <w:szCs w:val="30"/>
        </w:rPr>
        <w:t>个。财政全供给单位中行政单位</w:t>
      </w:r>
      <w:r>
        <w:rPr>
          <w:rFonts w:hint="eastAsia" w:eastAsia="仿宋_GB2312"/>
          <w:kern w:val="0"/>
          <w:sz w:val="30"/>
          <w:szCs w:val="30"/>
          <w:lang w:val="en-US" w:eastAsia="zh-CN"/>
        </w:rPr>
        <w:t>0</w:t>
      </w:r>
      <w:r>
        <w:rPr>
          <w:rFonts w:eastAsia="仿宋_GB2312"/>
          <w:kern w:val="0"/>
          <w:sz w:val="30"/>
          <w:szCs w:val="30"/>
        </w:rPr>
        <w:t>个；参公管理事业单位</w:t>
      </w:r>
      <w:r>
        <w:rPr>
          <w:rFonts w:hint="eastAsia" w:eastAsia="仿宋_GB2312"/>
          <w:kern w:val="0"/>
          <w:sz w:val="30"/>
          <w:szCs w:val="30"/>
          <w:lang w:val="en-US" w:eastAsia="zh-CN"/>
        </w:rPr>
        <w:t>0</w:t>
      </w:r>
      <w:r>
        <w:rPr>
          <w:rFonts w:eastAsia="仿宋_GB2312"/>
          <w:kern w:val="0"/>
          <w:sz w:val="30"/>
          <w:szCs w:val="30"/>
        </w:rPr>
        <w:t>个；非参公管理事业单位</w:t>
      </w:r>
      <w:r>
        <w:rPr>
          <w:rFonts w:hint="eastAsia" w:eastAsia="仿宋_GB2312"/>
          <w:kern w:val="0"/>
          <w:sz w:val="30"/>
          <w:szCs w:val="30"/>
          <w:lang w:val="en-US" w:eastAsia="zh-CN"/>
        </w:rPr>
        <w:t>1</w:t>
      </w:r>
      <w:r>
        <w:rPr>
          <w:rFonts w:eastAsia="仿宋_GB2312"/>
          <w:kern w:val="0"/>
          <w:sz w:val="30"/>
          <w:szCs w:val="30"/>
        </w:rPr>
        <w:t>个。</w:t>
      </w:r>
      <w:r>
        <w:rPr>
          <w:rFonts w:hint="eastAsia" w:ascii="仿宋_GB2312" w:hAnsi="仿宋_GB2312" w:eastAsia="仿宋_GB2312" w:cs="仿宋_GB2312"/>
          <w:kern w:val="0"/>
          <w:sz w:val="30"/>
          <w:szCs w:val="30"/>
        </w:rPr>
        <w:t>截止20</w:t>
      </w:r>
      <w:r>
        <w:rPr>
          <w:rFonts w:hint="eastAsia" w:ascii="仿宋_GB2312" w:hAnsi="仿宋_GB2312" w:eastAsia="仿宋_GB2312" w:cs="仿宋_GB2312"/>
          <w:kern w:val="0"/>
          <w:sz w:val="30"/>
          <w:szCs w:val="30"/>
          <w:lang w:val="en-US" w:eastAsia="zh-CN"/>
        </w:rPr>
        <w:t>18</w:t>
      </w:r>
      <w:r>
        <w:rPr>
          <w:rFonts w:hint="eastAsia" w:ascii="仿宋_GB2312" w:hAnsi="仿宋_GB2312" w:eastAsia="仿宋_GB2312" w:cs="仿宋_GB2312"/>
          <w:kern w:val="0"/>
          <w:sz w:val="30"/>
          <w:szCs w:val="30"/>
        </w:rPr>
        <w:t>年11月统计，部门基本情况如下：</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hint="eastAsia" w:ascii="仿宋_GB2312" w:hAnsi="仿宋_GB2312" w:eastAsia="仿宋_GB2312" w:cs="仿宋_GB2312"/>
          <w:color w:val="000000" w:themeColor="text1"/>
          <w:kern w:val="0"/>
          <w:sz w:val="30"/>
          <w:szCs w:val="30"/>
        </w:rPr>
      </w:pPr>
      <w:r>
        <w:rPr>
          <w:rFonts w:hint="eastAsia" w:ascii="仿宋_GB2312" w:hAnsi="仿宋_GB2312" w:eastAsia="仿宋_GB2312" w:cs="仿宋_GB2312"/>
          <w:color w:val="000000" w:themeColor="text1"/>
          <w:kern w:val="0"/>
          <w:sz w:val="30"/>
          <w:szCs w:val="30"/>
        </w:rPr>
        <w:t>在职人员编</w:t>
      </w:r>
      <w:r>
        <w:rPr>
          <w:rFonts w:hint="eastAsia" w:ascii="仿宋_GB2312" w:hAnsi="仿宋_GB2312" w:eastAsia="仿宋_GB2312" w:cs="仿宋_GB2312"/>
          <w:color w:val="000000" w:themeColor="text1"/>
          <w:kern w:val="0"/>
          <w:sz w:val="30"/>
          <w:szCs w:val="30"/>
          <w:lang w:eastAsia="zh-CN"/>
        </w:rPr>
        <w:t>制</w:t>
      </w:r>
      <w:r>
        <w:rPr>
          <w:rFonts w:hint="eastAsia" w:ascii="仿宋_GB2312" w:hAnsi="仿宋_GB2312" w:eastAsia="仿宋_GB2312" w:cs="仿宋_GB2312"/>
          <w:color w:val="000000" w:themeColor="text1"/>
          <w:kern w:val="0"/>
          <w:sz w:val="30"/>
          <w:szCs w:val="30"/>
          <w:lang w:val="en-US" w:eastAsia="zh-CN"/>
        </w:rPr>
        <w:t>68</w:t>
      </w:r>
      <w:r>
        <w:rPr>
          <w:rFonts w:hint="eastAsia" w:ascii="仿宋_GB2312" w:hAnsi="仿宋_GB2312" w:eastAsia="仿宋_GB2312" w:cs="仿宋_GB2312"/>
          <w:color w:val="000000" w:themeColor="text1"/>
          <w:kern w:val="0"/>
          <w:sz w:val="30"/>
          <w:szCs w:val="30"/>
        </w:rPr>
        <w:t xml:space="preserve">人，其中：行政编制 </w:t>
      </w:r>
      <w:r>
        <w:rPr>
          <w:rFonts w:hint="eastAsia" w:ascii="仿宋_GB2312" w:hAnsi="仿宋_GB2312" w:eastAsia="仿宋_GB2312" w:cs="仿宋_GB2312"/>
          <w:color w:val="000000" w:themeColor="text1"/>
          <w:kern w:val="0"/>
          <w:sz w:val="30"/>
          <w:szCs w:val="30"/>
          <w:lang w:val="en-US" w:eastAsia="zh-CN"/>
        </w:rPr>
        <w:t>0</w:t>
      </w:r>
      <w:r>
        <w:rPr>
          <w:rFonts w:hint="eastAsia" w:ascii="仿宋_GB2312" w:hAnsi="仿宋_GB2312" w:eastAsia="仿宋_GB2312" w:cs="仿宋_GB2312"/>
          <w:color w:val="000000" w:themeColor="text1"/>
          <w:kern w:val="0"/>
          <w:sz w:val="30"/>
          <w:szCs w:val="30"/>
        </w:rPr>
        <w:t>人，事业编制</w:t>
      </w:r>
      <w:r>
        <w:rPr>
          <w:rFonts w:hint="eastAsia" w:ascii="仿宋_GB2312" w:hAnsi="仿宋_GB2312" w:eastAsia="仿宋_GB2312" w:cs="仿宋_GB2312"/>
          <w:color w:val="000000" w:themeColor="text1"/>
          <w:kern w:val="0"/>
          <w:sz w:val="30"/>
          <w:szCs w:val="30"/>
          <w:lang w:val="en-US" w:eastAsia="zh-CN"/>
        </w:rPr>
        <w:t>68</w:t>
      </w:r>
      <w:r>
        <w:rPr>
          <w:rFonts w:hint="eastAsia" w:ascii="仿宋_GB2312" w:hAnsi="仿宋_GB2312" w:eastAsia="仿宋_GB2312" w:cs="仿宋_GB2312"/>
          <w:color w:val="000000" w:themeColor="text1"/>
          <w:kern w:val="0"/>
          <w:sz w:val="30"/>
          <w:szCs w:val="30"/>
        </w:rPr>
        <w:t>人。在职实有</w:t>
      </w:r>
      <w:r>
        <w:rPr>
          <w:rFonts w:hint="eastAsia" w:ascii="仿宋_GB2312" w:hAnsi="仿宋_GB2312" w:eastAsia="仿宋_GB2312" w:cs="仿宋_GB2312"/>
          <w:color w:val="000000" w:themeColor="text1"/>
          <w:kern w:val="0"/>
          <w:sz w:val="30"/>
          <w:szCs w:val="30"/>
          <w:lang w:val="en-US" w:eastAsia="zh-CN"/>
        </w:rPr>
        <w:t>68</w:t>
      </w:r>
      <w:r>
        <w:rPr>
          <w:rFonts w:hint="eastAsia" w:ascii="仿宋_GB2312" w:hAnsi="仿宋_GB2312" w:eastAsia="仿宋_GB2312" w:cs="仿宋_GB2312"/>
          <w:color w:val="000000" w:themeColor="text1"/>
          <w:kern w:val="0"/>
          <w:sz w:val="30"/>
          <w:szCs w:val="30"/>
        </w:rPr>
        <w:t xml:space="preserve">人，其中： 财政全供养 </w:t>
      </w:r>
      <w:r>
        <w:rPr>
          <w:rFonts w:hint="eastAsia" w:ascii="仿宋_GB2312" w:hAnsi="仿宋_GB2312" w:eastAsia="仿宋_GB2312" w:cs="仿宋_GB2312"/>
          <w:color w:val="000000" w:themeColor="text1"/>
          <w:kern w:val="0"/>
          <w:sz w:val="30"/>
          <w:szCs w:val="30"/>
          <w:lang w:val="en-US" w:eastAsia="zh-CN"/>
        </w:rPr>
        <w:t>68</w:t>
      </w:r>
      <w:r>
        <w:rPr>
          <w:rFonts w:hint="eastAsia" w:ascii="仿宋_GB2312" w:hAnsi="仿宋_GB2312" w:eastAsia="仿宋_GB2312" w:cs="仿宋_GB2312"/>
          <w:color w:val="000000" w:themeColor="text1"/>
          <w:kern w:val="0"/>
          <w:sz w:val="30"/>
          <w:szCs w:val="30"/>
        </w:rPr>
        <w:t>人，财政部分供养</w:t>
      </w:r>
      <w:r>
        <w:rPr>
          <w:rFonts w:hint="eastAsia" w:ascii="仿宋_GB2312" w:hAnsi="仿宋_GB2312" w:eastAsia="仿宋_GB2312" w:cs="仿宋_GB2312"/>
          <w:color w:val="000000" w:themeColor="text1"/>
          <w:kern w:val="0"/>
          <w:sz w:val="30"/>
          <w:szCs w:val="30"/>
          <w:lang w:val="en-US" w:eastAsia="zh-CN"/>
        </w:rPr>
        <w:t>0</w:t>
      </w:r>
      <w:r>
        <w:rPr>
          <w:rFonts w:hint="eastAsia" w:ascii="仿宋_GB2312" w:hAnsi="仿宋_GB2312" w:eastAsia="仿宋_GB2312" w:cs="仿宋_GB2312"/>
          <w:color w:val="000000" w:themeColor="text1"/>
          <w:kern w:val="0"/>
          <w:sz w:val="30"/>
          <w:szCs w:val="30"/>
        </w:rPr>
        <w:t>人，非财政供养</w:t>
      </w:r>
      <w:r>
        <w:rPr>
          <w:rFonts w:hint="eastAsia" w:ascii="仿宋_GB2312" w:hAnsi="仿宋_GB2312" w:eastAsia="仿宋_GB2312" w:cs="仿宋_GB2312"/>
          <w:color w:val="000000" w:themeColor="text1"/>
          <w:kern w:val="0"/>
          <w:sz w:val="30"/>
          <w:szCs w:val="30"/>
          <w:lang w:val="en-US" w:eastAsia="zh-CN"/>
        </w:rPr>
        <w:t>0</w:t>
      </w:r>
      <w:r>
        <w:rPr>
          <w:rFonts w:hint="eastAsia" w:ascii="仿宋_GB2312" w:hAnsi="仿宋_GB2312" w:eastAsia="仿宋_GB2312" w:cs="仿宋_GB2312"/>
          <w:color w:val="000000" w:themeColor="text1"/>
          <w:kern w:val="0"/>
          <w:sz w:val="30"/>
          <w:szCs w:val="30"/>
        </w:rPr>
        <w:t>人。</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hint="eastAsia" w:ascii="仿宋_GB2312" w:hAnsi="仿宋_GB2312" w:eastAsia="仿宋_GB2312" w:cs="仿宋_GB2312"/>
          <w:color w:val="000000" w:themeColor="text1"/>
          <w:kern w:val="0"/>
          <w:sz w:val="30"/>
          <w:szCs w:val="30"/>
        </w:rPr>
      </w:pPr>
      <w:r>
        <w:rPr>
          <w:rFonts w:hint="eastAsia" w:ascii="仿宋_GB2312" w:hAnsi="仿宋_GB2312" w:eastAsia="仿宋_GB2312" w:cs="仿宋_GB2312"/>
          <w:color w:val="000000" w:themeColor="text1"/>
          <w:kern w:val="0"/>
          <w:sz w:val="30"/>
          <w:szCs w:val="30"/>
        </w:rPr>
        <w:t xml:space="preserve">离退休人员 </w:t>
      </w:r>
      <w:r>
        <w:rPr>
          <w:rFonts w:hint="eastAsia" w:ascii="仿宋_GB2312" w:hAnsi="仿宋_GB2312" w:eastAsia="仿宋_GB2312" w:cs="仿宋_GB2312"/>
          <w:color w:val="000000" w:themeColor="text1"/>
          <w:kern w:val="0"/>
          <w:sz w:val="30"/>
          <w:szCs w:val="30"/>
          <w:lang w:val="en-US" w:eastAsia="zh-CN"/>
        </w:rPr>
        <w:t>35</w:t>
      </w:r>
      <w:r>
        <w:rPr>
          <w:rFonts w:hint="eastAsia" w:ascii="仿宋_GB2312" w:hAnsi="仿宋_GB2312" w:eastAsia="仿宋_GB2312" w:cs="仿宋_GB2312"/>
          <w:color w:val="000000" w:themeColor="text1"/>
          <w:kern w:val="0"/>
          <w:sz w:val="30"/>
          <w:szCs w:val="30"/>
        </w:rPr>
        <w:t>人，其中： 离休</w:t>
      </w:r>
      <w:r>
        <w:rPr>
          <w:rFonts w:hint="eastAsia" w:ascii="仿宋_GB2312" w:hAnsi="仿宋_GB2312" w:eastAsia="仿宋_GB2312" w:cs="仿宋_GB2312"/>
          <w:color w:val="000000" w:themeColor="text1"/>
          <w:kern w:val="0"/>
          <w:sz w:val="30"/>
          <w:szCs w:val="30"/>
          <w:lang w:val="en-US" w:eastAsia="zh-CN"/>
        </w:rPr>
        <w:t>0</w:t>
      </w:r>
      <w:r>
        <w:rPr>
          <w:rFonts w:hint="eastAsia" w:ascii="仿宋_GB2312" w:hAnsi="仿宋_GB2312" w:eastAsia="仿宋_GB2312" w:cs="仿宋_GB2312"/>
          <w:color w:val="000000" w:themeColor="text1"/>
          <w:kern w:val="0"/>
          <w:sz w:val="30"/>
          <w:szCs w:val="30"/>
        </w:rPr>
        <w:t xml:space="preserve"> 人，退休</w:t>
      </w:r>
      <w:r>
        <w:rPr>
          <w:rFonts w:hint="eastAsia" w:ascii="仿宋_GB2312" w:hAnsi="仿宋_GB2312" w:eastAsia="仿宋_GB2312" w:cs="仿宋_GB2312"/>
          <w:color w:val="000000" w:themeColor="text1"/>
          <w:kern w:val="0"/>
          <w:sz w:val="30"/>
          <w:szCs w:val="30"/>
          <w:lang w:val="en-US" w:eastAsia="zh-CN"/>
        </w:rPr>
        <w:t>35</w:t>
      </w:r>
      <w:r>
        <w:rPr>
          <w:rFonts w:hint="eastAsia" w:ascii="仿宋_GB2312" w:hAnsi="仿宋_GB2312" w:eastAsia="仿宋_GB2312" w:cs="仿宋_GB2312"/>
          <w:color w:val="000000" w:themeColor="text1"/>
          <w:kern w:val="0"/>
          <w:sz w:val="30"/>
          <w:szCs w:val="30"/>
        </w:rPr>
        <w:t>人。</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hint="eastAsia"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车辆编制</w:t>
      </w:r>
      <w:r>
        <w:rPr>
          <w:rFonts w:hint="eastAsia" w:ascii="仿宋_GB2312" w:hAnsi="仿宋_GB2312" w:eastAsia="仿宋_GB2312" w:cs="仿宋_GB2312"/>
          <w:kern w:val="0"/>
          <w:sz w:val="30"/>
          <w:szCs w:val="30"/>
          <w:lang w:val="en-US" w:eastAsia="zh-CN"/>
        </w:rPr>
        <w:t>1</w:t>
      </w:r>
      <w:r>
        <w:rPr>
          <w:rFonts w:hint="eastAsia" w:ascii="仿宋_GB2312" w:hAnsi="仿宋_GB2312" w:eastAsia="仿宋_GB2312" w:cs="仿宋_GB2312"/>
          <w:kern w:val="0"/>
          <w:sz w:val="30"/>
          <w:szCs w:val="30"/>
        </w:rPr>
        <w:t>辆，实有车辆</w:t>
      </w:r>
      <w:r>
        <w:rPr>
          <w:rFonts w:hint="eastAsia" w:ascii="仿宋_GB2312" w:hAnsi="仿宋_GB2312" w:eastAsia="仿宋_GB2312" w:cs="仿宋_GB2312"/>
          <w:kern w:val="0"/>
          <w:sz w:val="30"/>
          <w:szCs w:val="30"/>
          <w:lang w:val="en-US" w:eastAsia="zh-CN"/>
        </w:rPr>
        <w:t>1</w:t>
      </w:r>
      <w:r>
        <w:rPr>
          <w:rFonts w:hint="eastAsia" w:ascii="仿宋_GB2312" w:hAnsi="仿宋_GB2312" w:eastAsia="仿宋_GB2312" w:cs="仿宋_GB2312"/>
          <w:kern w:val="0"/>
          <w:sz w:val="30"/>
          <w:szCs w:val="30"/>
        </w:rPr>
        <w:t>辆。</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ascii="黑体" w:hAnsi="黑体" w:eastAsia="黑体"/>
          <w:kern w:val="0"/>
          <w:sz w:val="30"/>
          <w:szCs w:val="30"/>
        </w:rPr>
      </w:pPr>
      <w:r>
        <w:rPr>
          <w:rFonts w:ascii="黑体" w:hAnsi="黑体" w:eastAsia="黑体"/>
          <w:kern w:val="0"/>
          <w:sz w:val="30"/>
          <w:szCs w:val="30"/>
        </w:rPr>
        <w:t>三、预算单位收入情况</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ascii="楷体_GB2312" w:eastAsia="楷体_GB2312"/>
          <w:kern w:val="0"/>
          <w:sz w:val="30"/>
          <w:szCs w:val="30"/>
        </w:rPr>
      </w:pPr>
      <w:r>
        <w:rPr>
          <w:rFonts w:ascii="楷体_GB2312" w:eastAsia="楷体_GB2312"/>
          <w:kern w:val="0"/>
          <w:sz w:val="30"/>
          <w:szCs w:val="30"/>
        </w:rPr>
        <w:t>（一）部门财务收入情况</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eastAsia="仿宋_GB2312"/>
          <w:kern w:val="0"/>
          <w:sz w:val="30"/>
          <w:szCs w:val="30"/>
        </w:rPr>
      </w:pPr>
      <w:r>
        <w:rPr>
          <w:rFonts w:hint="eastAsia" w:eastAsia="仿宋_GB2312"/>
          <w:kern w:val="0"/>
          <w:sz w:val="30"/>
          <w:szCs w:val="30"/>
          <w:lang w:val="en-US" w:eastAsia="zh-CN"/>
        </w:rPr>
        <w:t>2019</w:t>
      </w:r>
      <w:r>
        <w:rPr>
          <w:rFonts w:eastAsia="仿宋_GB2312"/>
          <w:kern w:val="0"/>
          <w:sz w:val="30"/>
          <w:szCs w:val="30"/>
        </w:rPr>
        <w:t>年</w:t>
      </w:r>
      <w:r>
        <w:rPr>
          <w:rFonts w:hint="eastAsia" w:eastAsia="仿宋_GB2312"/>
          <w:kern w:val="0"/>
          <w:sz w:val="30"/>
          <w:szCs w:val="30"/>
          <w:lang w:eastAsia="zh-CN"/>
        </w:rPr>
        <w:t>盈江县旧城民族中学</w:t>
      </w:r>
      <w:r>
        <w:rPr>
          <w:rFonts w:eastAsia="仿宋_GB2312"/>
          <w:kern w:val="0"/>
          <w:sz w:val="30"/>
          <w:szCs w:val="30"/>
        </w:rPr>
        <w:t>财务总收入</w:t>
      </w:r>
      <w:r>
        <w:rPr>
          <w:rFonts w:hint="eastAsia" w:eastAsia="仿宋_GB2312"/>
          <w:kern w:val="0"/>
          <w:sz w:val="30"/>
          <w:szCs w:val="30"/>
          <w:lang w:val="en-US" w:eastAsia="zh-CN"/>
        </w:rPr>
        <w:t>800.43</w:t>
      </w:r>
      <w:r>
        <w:rPr>
          <w:rFonts w:eastAsia="仿宋_GB2312"/>
          <w:kern w:val="0"/>
          <w:sz w:val="30"/>
          <w:szCs w:val="30"/>
        </w:rPr>
        <w:t>万元，其中：一般公共预算</w:t>
      </w:r>
      <w:r>
        <w:rPr>
          <w:rFonts w:hint="eastAsia" w:eastAsia="仿宋_GB2312"/>
          <w:kern w:val="0"/>
          <w:sz w:val="30"/>
          <w:szCs w:val="30"/>
        </w:rPr>
        <w:t>财政拨款</w:t>
      </w:r>
      <w:r>
        <w:rPr>
          <w:rFonts w:hint="eastAsia" w:eastAsia="仿宋_GB2312"/>
          <w:kern w:val="0"/>
          <w:sz w:val="30"/>
          <w:szCs w:val="30"/>
          <w:lang w:val="en-US" w:eastAsia="zh-CN"/>
        </w:rPr>
        <w:t>800.43</w:t>
      </w:r>
      <w:r>
        <w:rPr>
          <w:rFonts w:eastAsia="仿宋_GB2312"/>
          <w:kern w:val="0"/>
          <w:sz w:val="30"/>
          <w:szCs w:val="30"/>
        </w:rPr>
        <w:t>万元，政府性基金</w:t>
      </w:r>
      <w:r>
        <w:rPr>
          <w:rFonts w:hint="eastAsia" w:eastAsia="仿宋_GB2312"/>
          <w:kern w:val="0"/>
          <w:sz w:val="30"/>
          <w:szCs w:val="30"/>
        </w:rPr>
        <w:t>预算财政拨款</w:t>
      </w:r>
      <w:r>
        <w:rPr>
          <w:rFonts w:hint="eastAsia" w:eastAsia="仿宋_GB2312"/>
          <w:kern w:val="0"/>
          <w:sz w:val="30"/>
          <w:szCs w:val="30"/>
          <w:lang w:val="en-US" w:eastAsia="zh-CN"/>
        </w:rPr>
        <w:t>0</w:t>
      </w:r>
      <w:r>
        <w:rPr>
          <w:rFonts w:eastAsia="仿宋_GB2312"/>
          <w:kern w:val="0"/>
          <w:sz w:val="30"/>
          <w:szCs w:val="30"/>
        </w:rPr>
        <w:t>万元，国有资本经营</w:t>
      </w:r>
      <w:r>
        <w:rPr>
          <w:rFonts w:hint="eastAsia" w:eastAsia="仿宋_GB2312"/>
          <w:kern w:val="0"/>
          <w:sz w:val="30"/>
          <w:szCs w:val="30"/>
        </w:rPr>
        <w:t>预算财政拨款</w:t>
      </w:r>
      <w:r>
        <w:rPr>
          <w:rFonts w:hint="eastAsia" w:eastAsia="仿宋_GB2312"/>
          <w:kern w:val="0"/>
          <w:sz w:val="30"/>
          <w:szCs w:val="30"/>
          <w:lang w:val="en-US" w:eastAsia="zh-CN"/>
        </w:rPr>
        <w:t>0</w:t>
      </w:r>
      <w:r>
        <w:rPr>
          <w:rFonts w:eastAsia="仿宋_GB2312"/>
          <w:kern w:val="0"/>
          <w:sz w:val="30"/>
          <w:szCs w:val="30"/>
        </w:rPr>
        <w:t>万元，事业收入</w:t>
      </w:r>
      <w:r>
        <w:rPr>
          <w:rFonts w:hint="eastAsia" w:eastAsia="仿宋_GB2312"/>
          <w:kern w:val="0"/>
          <w:sz w:val="30"/>
          <w:szCs w:val="30"/>
          <w:lang w:val="en-US" w:eastAsia="zh-CN"/>
        </w:rPr>
        <w:t>0</w:t>
      </w:r>
      <w:r>
        <w:rPr>
          <w:rFonts w:eastAsia="仿宋_GB2312"/>
          <w:kern w:val="0"/>
          <w:sz w:val="30"/>
          <w:szCs w:val="30"/>
        </w:rPr>
        <w:t>万元，事业单位经营收入</w:t>
      </w:r>
      <w:r>
        <w:rPr>
          <w:rFonts w:hint="eastAsia" w:eastAsia="仿宋_GB2312"/>
          <w:kern w:val="0"/>
          <w:sz w:val="30"/>
          <w:szCs w:val="30"/>
          <w:lang w:val="en-US" w:eastAsia="zh-CN"/>
        </w:rPr>
        <w:t>0</w:t>
      </w:r>
      <w:r>
        <w:rPr>
          <w:rFonts w:eastAsia="仿宋_GB2312"/>
          <w:kern w:val="0"/>
          <w:sz w:val="30"/>
          <w:szCs w:val="30"/>
        </w:rPr>
        <w:t>万元，其他收入</w:t>
      </w:r>
      <w:r>
        <w:rPr>
          <w:rFonts w:hint="eastAsia" w:eastAsia="仿宋_GB2312"/>
          <w:kern w:val="0"/>
          <w:sz w:val="30"/>
          <w:szCs w:val="30"/>
          <w:lang w:val="en-US" w:eastAsia="zh-CN"/>
        </w:rPr>
        <w:t>0</w:t>
      </w:r>
      <w:r>
        <w:rPr>
          <w:rFonts w:eastAsia="仿宋_GB2312"/>
          <w:kern w:val="0"/>
          <w:sz w:val="30"/>
          <w:szCs w:val="30"/>
        </w:rPr>
        <w:t>万元</w:t>
      </w:r>
      <w:r>
        <w:rPr>
          <w:rFonts w:hint="eastAsia" w:eastAsia="仿宋_GB2312"/>
          <w:kern w:val="0"/>
          <w:sz w:val="30"/>
          <w:szCs w:val="30"/>
        </w:rPr>
        <w:t>，上年结转</w:t>
      </w:r>
      <w:r>
        <w:rPr>
          <w:rFonts w:hint="eastAsia" w:eastAsia="仿宋_GB2312"/>
          <w:kern w:val="0"/>
          <w:sz w:val="30"/>
          <w:szCs w:val="30"/>
          <w:lang w:val="en-US" w:eastAsia="zh-CN"/>
        </w:rPr>
        <w:t>0</w:t>
      </w:r>
      <w:r>
        <w:rPr>
          <w:rFonts w:hint="eastAsia" w:eastAsia="仿宋_GB2312"/>
          <w:kern w:val="0"/>
          <w:sz w:val="30"/>
          <w:szCs w:val="30"/>
        </w:rPr>
        <w:t>万元</w:t>
      </w:r>
      <w:r>
        <w:rPr>
          <w:rFonts w:eastAsia="仿宋_GB2312"/>
          <w:kern w:val="0"/>
          <w:sz w:val="30"/>
          <w:szCs w:val="30"/>
        </w:rPr>
        <w:t>。</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ascii="楷体_GB2312" w:eastAsia="楷体_GB2312"/>
          <w:kern w:val="0"/>
          <w:sz w:val="30"/>
          <w:szCs w:val="30"/>
        </w:rPr>
      </w:pPr>
      <w:r>
        <w:rPr>
          <w:rFonts w:ascii="楷体_GB2312" w:eastAsia="楷体_GB2312"/>
          <w:kern w:val="0"/>
          <w:sz w:val="30"/>
          <w:szCs w:val="30"/>
        </w:rPr>
        <w:t>（二）财政拨款收入情况</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eastAsia="仿宋_GB2312"/>
          <w:kern w:val="0"/>
          <w:sz w:val="30"/>
          <w:szCs w:val="30"/>
        </w:rPr>
      </w:pPr>
      <w:r>
        <w:rPr>
          <w:rFonts w:hint="eastAsia" w:eastAsia="仿宋_GB2312"/>
          <w:kern w:val="0"/>
          <w:sz w:val="30"/>
          <w:szCs w:val="30"/>
          <w:lang w:val="en-US" w:eastAsia="zh-CN"/>
        </w:rPr>
        <w:t>2019</w:t>
      </w:r>
      <w:r>
        <w:rPr>
          <w:rFonts w:eastAsia="仿宋_GB2312"/>
          <w:kern w:val="0"/>
          <w:sz w:val="30"/>
          <w:szCs w:val="30"/>
        </w:rPr>
        <w:t xml:space="preserve">年部门财政拨款收入 </w:t>
      </w:r>
      <w:r>
        <w:rPr>
          <w:rFonts w:hint="eastAsia" w:eastAsia="仿宋_GB2312"/>
          <w:kern w:val="0"/>
          <w:sz w:val="30"/>
          <w:szCs w:val="30"/>
          <w:lang w:val="en-US" w:eastAsia="zh-CN"/>
        </w:rPr>
        <w:t>800.43</w:t>
      </w:r>
      <w:r>
        <w:rPr>
          <w:rFonts w:eastAsia="仿宋_GB2312"/>
          <w:kern w:val="0"/>
          <w:sz w:val="30"/>
          <w:szCs w:val="30"/>
        </w:rPr>
        <w:t>万元，其中:本年收入</w:t>
      </w:r>
      <w:r>
        <w:rPr>
          <w:rFonts w:hint="eastAsia" w:eastAsia="仿宋_GB2312"/>
          <w:kern w:val="0"/>
          <w:sz w:val="30"/>
          <w:szCs w:val="30"/>
          <w:lang w:val="en-US" w:eastAsia="zh-CN"/>
        </w:rPr>
        <w:t>800.43</w:t>
      </w:r>
      <w:r>
        <w:rPr>
          <w:rFonts w:eastAsia="仿宋_GB2312"/>
          <w:kern w:val="0"/>
          <w:sz w:val="30"/>
          <w:szCs w:val="30"/>
        </w:rPr>
        <w:t>万元，上年结转</w:t>
      </w:r>
      <w:r>
        <w:rPr>
          <w:rFonts w:hint="eastAsia" w:eastAsia="仿宋_GB2312"/>
          <w:kern w:val="0"/>
          <w:sz w:val="30"/>
          <w:szCs w:val="30"/>
          <w:lang w:val="en-US" w:eastAsia="zh-CN"/>
        </w:rPr>
        <w:t>0</w:t>
      </w:r>
      <w:r>
        <w:rPr>
          <w:rFonts w:eastAsia="仿宋_GB2312"/>
          <w:kern w:val="0"/>
          <w:sz w:val="30"/>
          <w:szCs w:val="30"/>
        </w:rPr>
        <w:t>万元。本年收入中，一般公共预算财政拨款</w:t>
      </w:r>
      <w:r>
        <w:rPr>
          <w:rFonts w:hint="eastAsia" w:eastAsia="仿宋_GB2312"/>
          <w:kern w:val="0"/>
          <w:sz w:val="30"/>
          <w:szCs w:val="30"/>
          <w:lang w:val="en-US" w:eastAsia="zh-CN"/>
        </w:rPr>
        <w:t>800.43</w:t>
      </w:r>
      <w:r>
        <w:rPr>
          <w:rFonts w:eastAsia="仿宋_GB2312"/>
          <w:kern w:val="0"/>
          <w:sz w:val="30"/>
          <w:szCs w:val="30"/>
        </w:rPr>
        <w:t>万元（本级财力</w:t>
      </w:r>
      <w:r>
        <w:rPr>
          <w:rFonts w:hint="eastAsia" w:eastAsia="仿宋_GB2312"/>
          <w:kern w:val="0"/>
          <w:sz w:val="30"/>
          <w:szCs w:val="30"/>
          <w:lang w:val="en-US" w:eastAsia="zh-CN"/>
        </w:rPr>
        <w:t>0</w:t>
      </w:r>
      <w:r>
        <w:rPr>
          <w:rFonts w:eastAsia="仿宋_GB2312"/>
          <w:kern w:val="0"/>
          <w:sz w:val="30"/>
          <w:szCs w:val="30"/>
        </w:rPr>
        <w:t>万元，专项收入</w:t>
      </w:r>
      <w:r>
        <w:rPr>
          <w:rFonts w:hint="eastAsia" w:eastAsia="仿宋_GB2312"/>
          <w:kern w:val="0"/>
          <w:sz w:val="30"/>
          <w:szCs w:val="30"/>
          <w:lang w:val="en-US" w:eastAsia="zh-CN"/>
        </w:rPr>
        <w:t>0</w:t>
      </w:r>
      <w:r>
        <w:rPr>
          <w:rFonts w:eastAsia="仿宋_GB2312"/>
          <w:kern w:val="0"/>
          <w:sz w:val="30"/>
          <w:szCs w:val="30"/>
        </w:rPr>
        <w:t>万元，执法办案补助</w:t>
      </w:r>
      <w:r>
        <w:rPr>
          <w:rFonts w:hint="eastAsia" w:eastAsia="仿宋_GB2312"/>
          <w:kern w:val="0"/>
          <w:sz w:val="30"/>
          <w:szCs w:val="30"/>
          <w:lang w:val="en-US" w:eastAsia="zh-CN"/>
        </w:rPr>
        <w:t>0</w:t>
      </w:r>
      <w:r>
        <w:rPr>
          <w:rFonts w:eastAsia="仿宋_GB2312"/>
          <w:kern w:val="0"/>
          <w:sz w:val="30"/>
          <w:szCs w:val="30"/>
        </w:rPr>
        <w:t>万元，收费成本补偿</w:t>
      </w:r>
      <w:r>
        <w:rPr>
          <w:rFonts w:hint="eastAsia" w:eastAsia="仿宋_GB2312"/>
          <w:kern w:val="0"/>
          <w:sz w:val="30"/>
          <w:szCs w:val="30"/>
          <w:lang w:val="en-US" w:eastAsia="zh-CN"/>
        </w:rPr>
        <w:t>0</w:t>
      </w:r>
      <w:r>
        <w:rPr>
          <w:rFonts w:eastAsia="仿宋_GB2312"/>
          <w:kern w:val="0"/>
          <w:sz w:val="30"/>
          <w:szCs w:val="30"/>
        </w:rPr>
        <w:t>万元，财政专户管理的收入</w:t>
      </w:r>
      <w:r>
        <w:rPr>
          <w:rFonts w:hint="eastAsia" w:eastAsia="仿宋_GB2312"/>
          <w:kern w:val="0"/>
          <w:sz w:val="30"/>
          <w:szCs w:val="30"/>
          <w:lang w:val="en-US" w:eastAsia="zh-CN"/>
        </w:rPr>
        <w:t>0</w:t>
      </w:r>
      <w:r>
        <w:rPr>
          <w:rFonts w:eastAsia="仿宋_GB2312"/>
          <w:kern w:val="0"/>
          <w:sz w:val="30"/>
          <w:szCs w:val="30"/>
        </w:rPr>
        <w:t>万元，国有资源（资产）有偿使用</w:t>
      </w:r>
      <w:r>
        <w:rPr>
          <w:rFonts w:hint="eastAsia" w:eastAsia="仿宋_GB2312"/>
          <w:kern w:val="0"/>
          <w:sz w:val="30"/>
          <w:szCs w:val="30"/>
        </w:rPr>
        <w:t>成本补偿</w:t>
      </w:r>
      <w:r>
        <w:rPr>
          <w:rFonts w:hint="eastAsia" w:eastAsia="仿宋_GB2312"/>
          <w:kern w:val="0"/>
          <w:sz w:val="30"/>
          <w:szCs w:val="30"/>
          <w:lang w:val="en-US" w:eastAsia="zh-CN"/>
        </w:rPr>
        <w:t>0</w:t>
      </w:r>
      <w:r>
        <w:rPr>
          <w:rFonts w:eastAsia="仿宋_GB2312"/>
          <w:kern w:val="0"/>
          <w:sz w:val="30"/>
          <w:szCs w:val="30"/>
        </w:rPr>
        <w:t>万元），政府性基金</w:t>
      </w:r>
      <w:r>
        <w:rPr>
          <w:rFonts w:hint="eastAsia" w:eastAsia="仿宋_GB2312"/>
          <w:kern w:val="0"/>
          <w:sz w:val="30"/>
          <w:szCs w:val="30"/>
        </w:rPr>
        <w:t>预算</w:t>
      </w:r>
      <w:r>
        <w:rPr>
          <w:rFonts w:eastAsia="仿宋_GB2312"/>
          <w:kern w:val="0"/>
          <w:sz w:val="30"/>
          <w:szCs w:val="30"/>
        </w:rPr>
        <w:t>财政拨款</w:t>
      </w:r>
      <w:r>
        <w:rPr>
          <w:rFonts w:hint="eastAsia" w:eastAsia="仿宋_GB2312"/>
          <w:kern w:val="0"/>
          <w:sz w:val="30"/>
          <w:szCs w:val="30"/>
          <w:lang w:val="en-US" w:eastAsia="zh-CN"/>
        </w:rPr>
        <w:t>0</w:t>
      </w:r>
      <w:r>
        <w:rPr>
          <w:rFonts w:eastAsia="仿宋_GB2312"/>
          <w:kern w:val="0"/>
          <w:sz w:val="30"/>
          <w:szCs w:val="30"/>
        </w:rPr>
        <w:t>万元，国有资本经营</w:t>
      </w:r>
      <w:r>
        <w:rPr>
          <w:rFonts w:hint="eastAsia" w:eastAsia="仿宋_GB2312"/>
          <w:kern w:val="0"/>
          <w:sz w:val="30"/>
          <w:szCs w:val="30"/>
        </w:rPr>
        <w:t>预算</w:t>
      </w:r>
      <w:r>
        <w:rPr>
          <w:rFonts w:eastAsia="仿宋_GB2312"/>
          <w:kern w:val="0"/>
          <w:sz w:val="30"/>
          <w:szCs w:val="30"/>
        </w:rPr>
        <w:t>财政拨款</w:t>
      </w:r>
      <w:r>
        <w:rPr>
          <w:rFonts w:hint="eastAsia" w:eastAsia="仿宋_GB2312"/>
          <w:kern w:val="0"/>
          <w:sz w:val="30"/>
          <w:szCs w:val="30"/>
          <w:lang w:val="en-US" w:eastAsia="zh-CN"/>
        </w:rPr>
        <w:t>0</w:t>
      </w:r>
      <w:r>
        <w:rPr>
          <w:rFonts w:eastAsia="仿宋_GB2312"/>
          <w:kern w:val="0"/>
          <w:sz w:val="30"/>
          <w:szCs w:val="30"/>
        </w:rPr>
        <w:t>万元。</w:t>
      </w:r>
    </w:p>
    <w:p>
      <w:pPr>
        <w:keepNext w:val="0"/>
        <w:keepLines w:val="0"/>
        <w:pageBreakBefore w:val="0"/>
        <w:widowControl/>
        <w:numPr>
          <w:ilvl w:val="0"/>
          <w:numId w:val="2"/>
        </w:numPr>
        <w:kinsoku/>
        <w:wordWrap/>
        <w:overflowPunct/>
        <w:topLinePunct w:val="0"/>
        <w:autoSpaceDE/>
        <w:autoSpaceDN/>
        <w:bidi w:val="0"/>
        <w:adjustRightInd/>
        <w:snapToGrid/>
        <w:ind w:firstLine="600" w:firstLineChars="200"/>
        <w:jc w:val="both"/>
        <w:textAlignment w:val="auto"/>
        <w:outlineLvl w:val="9"/>
        <w:rPr>
          <w:rFonts w:ascii="黑体" w:hAnsi="黑体" w:eastAsia="黑体"/>
          <w:kern w:val="0"/>
          <w:sz w:val="30"/>
          <w:szCs w:val="30"/>
        </w:rPr>
      </w:pPr>
      <w:r>
        <w:rPr>
          <w:rFonts w:ascii="黑体" w:hAnsi="黑体" w:eastAsia="黑体"/>
          <w:kern w:val="0"/>
          <w:sz w:val="30"/>
          <w:szCs w:val="30"/>
        </w:rPr>
        <w:t>预算单位支出情况</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eastAsia="仿宋_GB2312"/>
          <w:kern w:val="0"/>
          <w:sz w:val="30"/>
          <w:szCs w:val="30"/>
        </w:rPr>
      </w:pPr>
      <w:r>
        <w:rPr>
          <w:rFonts w:hint="eastAsia" w:eastAsia="仿宋_GB2312"/>
          <w:kern w:val="0"/>
          <w:sz w:val="30"/>
          <w:szCs w:val="30"/>
          <w:lang w:val="en-US" w:eastAsia="zh-CN"/>
        </w:rPr>
        <w:t>2019</w:t>
      </w:r>
      <w:r>
        <w:rPr>
          <w:rFonts w:eastAsia="仿宋_GB2312"/>
          <w:kern w:val="0"/>
          <w:sz w:val="30"/>
          <w:szCs w:val="30"/>
        </w:rPr>
        <w:t xml:space="preserve">年部门预算总支出 </w:t>
      </w:r>
      <w:r>
        <w:rPr>
          <w:rFonts w:hint="eastAsia" w:eastAsia="仿宋_GB2312"/>
          <w:kern w:val="0"/>
          <w:sz w:val="30"/>
          <w:szCs w:val="30"/>
          <w:lang w:val="en-US" w:eastAsia="zh-CN"/>
        </w:rPr>
        <w:t>800.43</w:t>
      </w:r>
      <w:r>
        <w:rPr>
          <w:rFonts w:eastAsia="仿宋_GB2312"/>
          <w:kern w:val="0"/>
          <w:sz w:val="30"/>
          <w:szCs w:val="30"/>
        </w:rPr>
        <w:t>万元。</w:t>
      </w:r>
      <w:r>
        <w:rPr>
          <w:rFonts w:hint="eastAsia" w:eastAsia="仿宋_GB2312"/>
          <w:kern w:val="0"/>
          <w:sz w:val="30"/>
          <w:szCs w:val="30"/>
        </w:rPr>
        <w:t>财政拨款</w:t>
      </w:r>
      <w:r>
        <w:rPr>
          <w:rFonts w:eastAsia="仿宋_GB2312"/>
          <w:kern w:val="0"/>
          <w:sz w:val="30"/>
          <w:szCs w:val="30"/>
        </w:rPr>
        <w:t xml:space="preserve">安排支出 </w:t>
      </w:r>
      <w:r>
        <w:rPr>
          <w:rFonts w:hint="eastAsia" w:eastAsia="仿宋_GB2312"/>
          <w:kern w:val="0"/>
          <w:sz w:val="30"/>
          <w:szCs w:val="30"/>
          <w:lang w:val="en-US" w:eastAsia="zh-CN"/>
        </w:rPr>
        <w:t>800.43</w:t>
      </w:r>
      <w:r>
        <w:rPr>
          <w:rFonts w:eastAsia="仿宋_GB2312"/>
          <w:kern w:val="0"/>
          <w:sz w:val="30"/>
          <w:szCs w:val="30"/>
        </w:rPr>
        <w:t>万元，其中，基本支出</w:t>
      </w:r>
      <w:r>
        <w:rPr>
          <w:rFonts w:hint="eastAsia" w:eastAsia="仿宋_GB2312"/>
          <w:kern w:val="0"/>
          <w:sz w:val="30"/>
          <w:szCs w:val="30"/>
          <w:lang w:val="en-US" w:eastAsia="zh-CN"/>
        </w:rPr>
        <w:t>800.43</w:t>
      </w:r>
      <w:r>
        <w:rPr>
          <w:rFonts w:eastAsia="仿宋_GB2312"/>
          <w:kern w:val="0"/>
          <w:sz w:val="30"/>
          <w:szCs w:val="30"/>
        </w:rPr>
        <w:t>万元，项目支出</w:t>
      </w:r>
      <w:r>
        <w:rPr>
          <w:rFonts w:hint="eastAsia" w:eastAsia="仿宋_GB2312"/>
          <w:kern w:val="0"/>
          <w:sz w:val="30"/>
          <w:szCs w:val="30"/>
          <w:lang w:val="en-US" w:eastAsia="zh-CN"/>
        </w:rPr>
        <w:t>0</w:t>
      </w:r>
      <w:r>
        <w:rPr>
          <w:rFonts w:eastAsia="仿宋_GB2312"/>
          <w:kern w:val="0"/>
          <w:sz w:val="30"/>
          <w:szCs w:val="30"/>
        </w:rPr>
        <w:t>万元。</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hint="eastAsia" w:ascii="仿宋_GB2312" w:hAnsi="仿宋_GB2312" w:eastAsia="仿宋_GB2312" w:cs="仿宋_GB2312"/>
          <w:kern w:val="0"/>
          <w:sz w:val="30"/>
          <w:szCs w:val="30"/>
        </w:rPr>
      </w:pPr>
      <w:r>
        <w:rPr>
          <w:rFonts w:ascii="楷体_GB2312" w:eastAsia="楷体_GB2312"/>
          <w:kern w:val="0"/>
          <w:sz w:val="30"/>
          <w:szCs w:val="30"/>
        </w:rPr>
        <w:t>（一）</w:t>
      </w:r>
      <w:r>
        <w:rPr>
          <w:rFonts w:hint="eastAsia" w:ascii="楷体_GB2312" w:eastAsia="楷体_GB2312"/>
          <w:kern w:val="0"/>
          <w:sz w:val="30"/>
          <w:szCs w:val="30"/>
        </w:rPr>
        <w:t>财政拨款安排</w:t>
      </w:r>
      <w:r>
        <w:rPr>
          <w:rFonts w:ascii="楷体_GB2312" w:eastAsia="楷体_GB2312"/>
          <w:kern w:val="0"/>
          <w:sz w:val="30"/>
          <w:szCs w:val="30"/>
        </w:rPr>
        <w:t>支出按功能科目分类情况</w:t>
      </w:r>
    </w:p>
    <w:p>
      <w:pPr>
        <w:pStyle w:val="14"/>
        <w:keepNext w:val="0"/>
        <w:keepLines w:val="0"/>
        <w:pageBreakBefore w:val="0"/>
        <w:numPr>
          <w:ilvl w:val="0"/>
          <w:numId w:val="0"/>
        </w:numPr>
        <w:kinsoku/>
        <w:wordWrap/>
        <w:overflowPunct/>
        <w:topLinePunct w:val="0"/>
        <w:autoSpaceDE/>
        <w:autoSpaceDN/>
        <w:bidi w:val="0"/>
        <w:adjustRightInd/>
        <w:snapToGrid/>
        <w:ind w:firstLine="600" w:firstLineChars="200"/>
        <w:jc w:val="both"/>
        <w:textAlignment w:val="auto"/>
        <w:outlineLvl w:val="9"/>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val="en-US" w:eastAsia="zh-CN"/>
        </w:rPr>
        <w:t>“2050203” 初中教育604.85万元，主要用于工资福利支出和日常学校运行运转。</w:t>
      </w:r>
    </w:p>
    <w:p>
      <w:pPr>
        <w:pStyle w:val="14"/>
        <w:keepNext w:val="0"/>
        <w:keepLines w:val="0"/>
        <w:pageBreakBefore w:val="0"/>
        <w:numPr>
          <w:ilvl w:val="0"/>
          <w:numId w:val="0"/>
        </w:numPr>
        <w:kinsoku/>
        <w:wordWrap/>
        <w:overflowPunct/>
        <w:topLinePunct w:val="0"/>
        <w:autoSpaceDE/>
        <w:autoSpaceDN/>
        <w:bidi w:val="0"/>
        <w:adjustRightInd/>
        <w:snapToGrid/>
        <w:ind w:firstLine="600" w:firstLineChars="200"/>
        <w:jc w:val="both"/>
        <w:textAlignment w:val="auto"/>
        <w:outlineLvl w:val="9"/>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val="en-US" w:eastAsia="zh-CN"/>
        </w:rPr>
        <w:t>“2080502”事业单位离退休2.10万元，主要用于离退休人员公用经费支出。</w:t>
      </w:r>
    </w:p>
    <w:p>
      <w:pPr>
        <w:pStyle w:val="7"/>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Lines="0" w:beforeAutospacing="0" w:after="0" w:afterLines="0" w:afterAutospacing="0" w:line="27" w:lineRule="atLeast"/>
        <w:ind w:left="0" w:right="0" w:firstLine="600" w:firstLineChars="200"/>
        <w:jc w:val="both"/>
        <w:textAlignment w:val="auto"/>
        <w:outlineLvl w:val="9"/>
        <w:rPr>
          <w:rFonts w:hint="eastAsia" w:ascii="仿宋_GB2312" w:hAnsi="仿宋_GB2312" w:eastAsia="仿宋_GB2312" w:cs="仿宋_GB2312"/>
          <w:color w:val="333333"/>
          <w:sz w:val="30"/>
          <w:szCs w:val="30"/>
          <w:shd w:val="clear" w:color="040000" w:fill="FFFFFF"/>
        </w:rPr>
      </w:pPr>
      <w:r>
        <w:rPr>
          <w:rFonts w:hint="eastAsia" w:ascii="仿宋_GB2312" w:hAnsi="仿宋_GB2312" w:eastAsia="仿宋_GB2312" w:cs="仿宋_GB2312"/>
          <w:sz w:val="30"/>
          <w:szCs w:val="30"/>
          <w:lang w:val="en-US" w:eastAsia="zh-CN"/>
        </w:rPr>
        <w:t>“2080505”事业单位基本养老保险缴费支出115.85万元，</w:t>
      </w:r>
      <w:r>
        <w:rPr>
          <w:rFonts w:hint="eastAsia" w:ascii="仿宋_GB2312" w:hAnsi="仿宋_GB2312" w:eastAsia="仿宋_GB2312" w:cs="仿宋_GB2312"/>
          <w:color w:val="333333"/>
          <w:sz w:val="30"/>
          <w:szCs w:val="30"/>
          <w:shd w:val="clear" w:color="040000" w:fill="FFFFFF"/>
        </w:rPr>
        <w:t>主要反映单位缴交的养老保险支出。</w:t>
      </w:r>
    </w:p>
    <w:p>
      <w:pPr>
        <w:pStyle w:val="7"/>
        <w:keepNext w:val="0"/>
        <w:keepLines w:val="0"/>
        <w:pageBreakBefore w:val="0"/>
        <w:widowControl/>
        <w:suppressLineNumbers w:val="0"/>
        <w:kinsoku/>
        <w:wordWrap/>
        <w:overflowPunct/>
        <w:topLinePunct w:val="0"/>
        <w:autoSpaceDE/>
        <w:autoSpaceDN/>
        <w:bidi w:val="0"/>
        <w:adjustRightInd/>
        <w:snapToGrid/>
        <w:spacing w:before="0" w:beforeLines="0" w:beforeAutospacing="0" w:after="0" w:afterLines="0" w:afterAutospacing="0" w:line="27" w:lineRule="atLeast"/>
        <w:ind w:right="0" w:firstLine="600" w:firstLineChars="200"/>
        <w:jc w:val="both"/>
        <w:textAlignment w:val="auto"/>
        <w:outlineLvl w:val="9"/>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val="en-US" w:eastAsia="zh-CN"/>
        </w:rPr>
        <w:t>“2210201”</w:t>
      </w:r>
      <w:r>
        <w:rPr>
          <w:rFonts w:hint="eastAsia" w:ascii="仿宋_GB2312" w:hAnsi="仿宋_GB2312" w:eastAsia="仿宋_GB2312" w:cs="仿宋_GB2312"/>
          <w:color w:val="333333"/>
          <w:sz w:val="30"/>
          <w:szCs w:val="30"/>
          <w:shd w:val="clear" w:color="040000" w:fill="FFFFFF"/>
        </w:rPr>
        <w:t>住房公积金</w:t>
      </w:r>
      <w:r>
        <w:rPr>
          <w:rFonts w:hint="eastAsia" w:ascii="仿宋_GB2312" w:hAnsi="仿宋_GB2312" w:eastAsia="仿宋_GB2312" w:cs="仿宋_GB2312"/>
          <w:color w:val="333333"/>
          <w:sz w:val="30"/>
          <w:szCs w:val="30"/>
          <w:shd w:val="clear" w:color="040000" w:fill="FFFFFF"/>
          <w:lang w:val="en-US" w:eastAsia="zh-CN"/>
        </w:rPr>
        <w:t>77.63</w:t>
      </w:r>
      <w:r>
        <w:rPr>
          <w:rFonts w:hint="eastAsia" w:ascii="仿宋_GB2312" w:hAnsi="仿宋_GB2312" w:eastAsia="仿宋_GB2312" w:cs="仿宋_GB2312"/>
          <w:color w:val="333333"/>
          <w:sz w:val="30"/>
          <w:szCs w:val="30"/>
          <w:shd w:val="clear" w:color="040000" w:fill="FFFFFF"/>
        </w:rPr>
        <w:t>万元，主要用于单位住房公积金支出。</w:t>
      </w:r>
    </w:p>
    <w:p>
      <w:pPr>
        <w:keepNext w:val="0"/>
        <w:keepLines w:val="0"/>
        <w:pageBreakBefore w:val="0"/>
        <w:widowControl/>
        <w:numPr>
          <w:ilvl w:val="0"/>
          <w:numId w:val="3"/>
        </w:numPr>
        <w:kinsoku/>
        <w:wordWrap/>
        <w:overflowPunct/>
        <w:topLinePunct w:val="0"/>
        <w:autoSpaceDE/>
        <w:autoSpaceDN/>
        <w:bidi w:val="0"/>
        <w:adjustRightInd/>
        <w:snapToGrid/>
        <w:ind w:firstLine="600" w:firstLineChars="200"/>
        <w:jc w:val="both"/>
        <w:textAlignment w:val="auto"/>
        <w:outlineLvl w:val="9"/>
        <w:rPr>
          <w:rFonts w:ascii="楷体_GB2312" w:eastAsia="楷体_GB2312"/>
          <w:kern w:val="0"/>
          <w:sz w:val="30"/>
          <w:szCs w:val="30"/>
        </w:rPr>
      </w:pPr>
      <w:r>
        <w:rPr>
          <w:rFonts w:hint="eastAsia" w:ascii="楷体_GB2312" w:eastAsia="楷体_GB2312"/>
          <w:kern w:val="0"/>
          <w:sz w:val="30"/>
          <w:szCs w:val="30"/>
        </w:rPr>
        <w:t>财政拨款安排</w:t>
      </w:r>
      <w:r>
        <w:rPr>
          <w:rFonts w:ascii="楷体_GB2312" w:eastAsia="楷体_GB2312"/>
          <w:kern w:val="0"/>
          <w:sz w:val="30"/>
          <w:szCs w:val="30"/>
        </w:rPr>
        <w:t>支出按经济科目分类情况</w:t>
      </w:r>
    </w:p>
    <w:p>
      <w:pPr>
        <w:pStyle w:val="7"/>
        <w:keepNext w:val="0"/>
        <w:keepLines w:val="0"/>
        <w:pageBreakBefore w:val="0"/>
        <w:widowControl/>
        <w:suppressLineNumbers w:val="0"/>
        <w:kinsoku/>
        <w:wordWrap/>
        <w:overflowPunct/>
        <w:topLinePunct w:val="0"/>
        <w:autoSpaceDE/>
        <w:autoSpaceDN/>
        <w:bidi w:val="0"/>
        <w:adjustRightInd/>
        <w:snapToGrid/>
        <w:spacing w:before="0" w:beforeLines="0" w:beforeAutospacing="0" w:after="0" w:afterLines="0" w:afterAutospacing="0" w:line="27" w:lineRule="atLeast"/>
        <w:ind w:left="0" w:right="0" w:firstLine="600" w:firstLineChars="200"/>
        <w:jc w:val="both"/>
        <w:textAlignment w:val="auto"/>
        <w:outlineLvl w:val="9"/>
        <w:rPr>
          <w:rFonts w:hint="eastAsia" w:ascii="仿宋_GB2312" w:hAnsi="仿宋_GB2312" w:eastAsia="仿宋_GB2312" w:cs="仿宋_GB2312"/>
          <w:color w:val="333333"/>
          <w:sz w:val="30"/>
          <w:szCs w:val="30"/>
          <w:shd w:val="clear" w:color="040000" w:fill="FFFFFF"/>
          <w:lang w:val="en-US" w:eastAsia="zh-CN"/>
        </w:rPr>
      </w:pPr>
      <w:r>
        <w:rPr>
          <w:rFonts w:hint="eastAsia" w:ascii="仿宋_GB2312" w:hAnsi="仿宋_GB2312" w:eastAsia="仿宋_GB2312" w:cs="仿宋_GB2312"/>
          <w:color w:val="333333"/>
          <w:sz w:val="30"/>
          <w:szCs w:val="30"/>
          <w:shd w:val="clear" w:color="040000" w:fill="FFFFFF"/>
          <w:lang w:val="en-US" w:eastAsia="zh-CN"/>
        </w:rPr>
        <w:t>2050203初中教育604.85万元，其中:基本支出604.85万元，主要用于301工资福利支出599.99万元，302商品和服务支出3.78万元，303对个人和家庭的补助1.08万元；项目支出0万元。</w:t>
      </w:r>
    </w:p>
    <w:p>
      <w:pPr>
        <w:pStyle w:val="7"/>
        <w:keepNext w:val="0"/>
        <w:keepLines w:val="0"/>
        <w:pageBreakBefore w:val="0"/>
        <w:widowControl/>
        <w:suppressLineNumbers w:val="0"/>
        <w:kinsoku/>
        <w:wordWrap/>
        <w:overflowPunct/>
        <w:topLinePunct w:val="0"/>
        <w:autoSpaceDE/>
        <w:autoSpaceDN/>
        <w:bidi w:val="0"/>
        <w:adjustRightInd/>
        <w:snapToGrid/>
        <w:spacing w:before="0" w:beforeLines="0" w:beforeAutospacing="0" w:after="0" w:afterLines="0" w:afterAutospacing="0" w:line="27" w:lineRule="atLeast"/>
        <w:ind w:left="0" w:right="0" w:firstLine="600" w:firstLineChars="200"/>
        <w:jc w:val="both"/>
        <w:textAlignment w:val="auto"/>
        <w:outlineLvl w:val="9"/>
        <w:rPr>
          <w:rFonts w:hint="eastAsia" w:ascii="仿宋_GB2312" w:hAnsi="仿宋_GB2312" w:eastAsia="仿宋_GB2312" w:cs="仿宋_GB2312"/>
          <w:color w:val="333333"/>
          <w:sz w:val="30"/>
          <w:szCs w:val="30"/>
          <w:shd w:val="clear" w:color="040000" w:fill="FFFFFF"/>
          <w:lang w:val="en-US" w:eastAsia="zh-CN"/>
        </w:rPr>
      </w:pPr>
      <w:r>
        <w:rPr>
          <w:rFonts w:hint="eastAsia" w:ascii="仿宋_GB2312" w:hAnsi="仿宋_GB2312" w:eastAsia="仿宋_GB2312" w:cs="仿宋_GB2312"/>
          <w:color w:val="333333"/>
          <w:sz w:val="30"/>
          <w:szCs w:val="30"/>
          <w:shd w:val="clear" w:color="040000" w:fill="FFFFFF"/>
          <w:lang w:val="en-US" w:eastAsia="zh-CN"/>
        </w:rPr>
        <w:t>2080502事业单位离退休2.10万元，其中:基本支出2.10万元，主要用于302商品和服务支出2.10万元；项目支出0万元。</w:t>
      </w:r>
    </w:p>
    <w:p>
      <w:pPr>
        <w:pStyle w:val="7"/>
        <w:keepNext w:val="0"/>
        <w:keepLines w:val="0"/>
        <w:pageBreakBefore w:val="0"/>
        <w:widowControl/>
        <w:suppressLineNumbers w:val="0"/>
        <w:kinsoku/>
        <w:wordWrap/>
        <w:overflowPunct/>
        <w:topLinePunct w:val="0"/>
        <w:autoSpaceDE/>
        <w:autoSpaceDN/>
        <w:bidi w:val="0"/>
        <w:adjustRightInd/>
        <w:snapToGrid/>
        <w:spacing w:before="0" w:beforeLines="0" w:beforeAutospacing="0" w:after="0" w:afterLines="0" w:afterAutospacing="0" w:line="27" w:lineRule="atLeast"/>
        <w:ind w:left="0" w:right="0" w:firstLine="600" w:firstLineChars="200"/>
        <w:jc w:val="both"/>
        <w:textAlignment w:val="auto"/>
        <w:outlineLvl w:val="9"/>
        <w:rPr>
          <w:rFonts w:hint="eastAsia" w:ascii="仿宋_GB2312" w:hAnsi="仿宋_GB2312" w:eastAsia="仿宋_GB2312" w:cs="仿宋_GB2312"/>
          <w:color w:val="333333"/>
          <w:sz w:val="30"/>
          <w:szCs w:val="30"/>
          <w:shd w:val="clear" w:color="040000" w:fill="FFFFFF"/>
          <w:lang w:val="en-US" w:eastAsia="zh-CN"/>
        </w:rPr>
      </w:pPr>
      <w:r>
        <w:rPr>
          <w:rFonts w:hint="eastAsia" w:ascii="仿宋_GB2312" w:hAnsi="仿宋_GB2312" w:eastAsia="仿宋_GB2312" w:cs="仿宋_GB2312"/>
          <w:color w:val="333333"/>
          <w:sz w:val="30"/>
          <w:szCs w:val="30"/>
          <w:shd w:val="clear" w:color="040000" w:fill="FFFFFF"/>
          <w:lang w:val="en-US" w:eastAsia="zh-CN"/>
        </w:rPr>
        <w:t>2080505机关事业单位基本养老保险缴费支出115.85万元，其中:基本支出115.85万元，主要用于301工资和福利支出115.85万元；项目支出0万元。</w:t>
      </w:r>
    </w:p>
    <w:p>
      <w:pPr>
        <w:pStyle w:val="7"/>
        <w:keepNext w:val="0"/>
        <w:keepLines w:val="0"/>
        <w:pageBreakBefore w:val="0"/>
        <w:widowControl/>
        <w:suppressLineNumbers w:val="0"/>
        <w:kinsoku/>
        <w:wordWrap/>
        <w:overflowPunct/>
        <w:topLinePunct w:val="0"/>
        <w:autoSpaceDE/>
        <w:autoSpaceDN/>
        <w:bidi w:val="0"/>
        <w:adjustRightInd/>
        <w:snapToGrid/>
        <w:spacing w:before="0" w:beforeLines="0" w:beforeAutospacing="0" w:after="0" w:afterLines="0" w:afterAutospacing="0" w:line="27" w:lineRule="atLeast"/>
        <w:ind w:left="0" w:right="0" w:firstLine="600" w:firstLineChars="200"/>
        <w:jc w:val="both"/>
        <w:textAlignment w:val="auto"/>
        <w:outlineLvl w:val="9"/>
        <w:rPr>
          <w:rFonts w:hint="eastAsia" w:ascii="仿宋_GB2312" w:hAnsi="仿宋_GB2312" w:eastAsia="仿宋_GB2312" w:cs="仿宋_GB2312"/>
          <w:color w:val="333333"/>
          <w:sz w:val="30"/>
          <w:szCs w:val="30"/>
          <w:shd w:val="clear" w:color="040000" w:fill="FFFFFF"/>
          <w:lang w:val="en-US" w:eastAsia="zh-CN"/>
        </w:rPr>
      </w:pPr>
      <w:r>
        <w:rPr>
          <w:rFonts w:hint="eastAsia" w:ascii="仿宋_GB2312" w:hAnsi="仿宋_GB2312" w:eastAsia="仿宋_GB2312" w:cs="仿宋_GB2312"/>
          <w:color w:val="333333"/>
          <w:sz w:val="30"/>
          <w:szCs w:val="30"/>
          <w:shd w:val="clear" w:color="040000" w:fill="FFFFFF"/>
          <w:lang w:val="en-US" w:eastAsia="zh-CN"/>
        </w:rPr>
        <w:t>2210201住房公积金77.63万元，其中:基本支出77.63万元，主要用于301工资和福利支出77.63万元；项目支出0万元。</w:t>
      </w:r>
    </w:p>
    <w:p>
      <w:pPr>
        <w:keepNext w:val="0"/>
        <w:keepLines w:val="0"/>
        <w:pageBreakBefore w:val="0"/>
        <w:widowControl/>
        <w:numPr>
          <w:ilvl w:val="0"/>
          <w:numId w:val="0"/>
        </w:numPr>
        <w:kinsoku/>
        <w:wordWrap/>
        <w:overflowPunct/>
        <w:topLinePunct w:val="0"/>
        <w:autoSpaceDE/>
        <w:autoSpaceDN/>
        <w:bidi w:val="0"/>
        <w:adjustRightInd/>
        <w:snapToGrid/>
        <w:ind w:firstLine="600" w:firstLineChars="200"/>
        <w:jc w:val="both"/>
        <w:textAlignment w:val="auto"/>
        <w:outlineLvl w:val="9"/>
        <w:rPr>
          <w:rFonts w:ascii="黑体" w:hAnsi="黑体" w:eastAsia="黑体"/>
          <w:kern w:val="0"/>
          <w:sz w:val="30"/>
          <w:szCs w:val="30"/>
        </w:rPr>
      </w:pPr>
      <w:r>
        <w:rPr>
          <w:rFonts w:hint="eastAsia" w:ascii="黑体" w:hAnsi="黑体" w:eastAsia="黑体"/>
          <w:kern w:val="0"/>
          <w:sz w:val="30"/>
          <w:szCs w:val="30"/>
          <w:lang w:eastAsia="zh-CN"/>
        </w:rPr>
        <w:t>五、县</w:t>
      </w:r>
      <w:r>
        <w:rPr>
          <w:rFonts w:ascii="黑体" w:hAnsi="黑体" w:eastAsia="黑体"/>
          <w:kern w:val="0"/>
          <w:sz w:val="30"/>
          <w:szCs w:val="30"/>
        </w:rPr>
        <w:t>对下</w:t>
      </w:r>
      <w:r>
        <w:rPr>
          <w:rFonts w:hint="eastAsia" w:ascii="黑体" w:hAnsi="黑体" w:eastAsia="黑体"/>
          <w:kern w:val="0"/>
          <w:sz w:val="30"/>
          <w:szCs w:val="30"/>
        </w:rPr>
        <w:t>专</w:t>
      </w:r>
      <w:r>
        <w:rPr>
          <w:rFonts w:ascii="黑体" w:hAnsi="黑体" w:eastAsia="黑体"/>
          <w:kern w:val="0"/>
          <w:sz w:val="30"/>
          <w:szCs w:val="30"/>
        </w:rPr>
        <w:t>项转移支付情况</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hint="eastAsia" w:ascii="仿宋_GB2312" w:hAnsi="仿宋_GB2312" w:eastAsia="仿宋_GB2312" w:cs="仿宋_GB2312"/>
          <w:kern w:val="0"/>
          <w:sz w:val="30"/>
          <w:szCs w:val="30"/>
        </w:rPr>
      </w:pPr>
      <w:r>
        <w:rPr>
          <w:rFonts w:hint="eastAsia" w:ascii="黑体" w:hAnsi="黑体" w:eastAsia="黑体"/>
          <w:kern w:val="0"/>
          <w:sz w:val="30"/>
          <w:szCs w:val="30"/>
        </w:rPr>
        <w:t xml:space="preserve">  </w:t>
      </w:r>
      <w:r>
        <w:rPr>
          <w:rFonts w:hint="eastAsia" w:ascii="仿宋_GB2312" w:hAnsi="仿宋_GB2312" w:eastAsia="仿宋_GB2312" w:cs="仿宋_GB2312"/>
          <w:kern w:val="0"/>
          <w:sz w:val="30"/>
          <w:szCs w:val="30"/>
        </w:rPr>
        <w:t xml:space="preserve"> 本单位2019年无</w:t>
      </w:r>
      <w:r>
        <w:rPr>
          <w:rFonts w:hint="eastAsia" w:ascii="仿宋_GB2312" w:hAnsi="仿宋_GB2312" w:eastAsia="仿宋_GB2312" w:cs="仿宋_GB2312"/>
          <w:kern w:val="0"/>
          <w:sz w:val="30"/>
          <w:szCs w:val="30"/>
          <w:lang w:eastAsia="zh-CN"/>
        </w:rPr>
        <w:t>县</w:t>
      </w:r>
      <w:r>
        <w:rPr>
          <w:rFonts w:hint="eastAsia" w:ascii="仿宋_GB2312" w:hAnsi="仿宋_GB2312" w:eastAsia="仿宋_GB2312" w:cs="仿宋_GB2312"/>
          <w:kern w:val="0"/>
          <w:sz w:val="30"/>
          <w:szCs w:val="30"/>
        </w:rPr>
        <w:t>对下专项转移支付项目</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ascii="黑体" w:hAnsi="黑体" w:eastAsia="黑体"/>
          <w:kern w:val="0"/>
          <w:sz w:val="30"/>
          <w:szCs w:val="30"/>
        </w:rPr>
      </w:pPr>
      <w:r>
        <w:rPr>
          <w:rFonts w:ascii="黑体" w:hAnsi="黑体" w:eastAsia="黑体"/>
          <w:kern w:val="0"/>
          <w:sz w:val="30"/>
          <w:szCs w:val="30"/>
        </w:rPr>
        <w:t>六、政府采购预算情况</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hint="eastAsia" w:eastAsia="仿宋_GB2312"/>
          <w:kern w:val="0"/>
          <w:sz w:val="30"/>
          <w:szCs w:val="30"/>
          <w:lang w:eastAsia="zh-CN"/>
        </w:rPr>
      </w:pPr>
      <w:r>
        <w:rPr>
          <w:rFonts w:hint="eastAsia" w:eastAsia="仿宋_GB2312"/>
          <w:kern w:val="0"/>
          <w:sz w:val="30"/>
          <w:szCs w:val="30"/>
          <w:lang w:eastAsia="zh-CN"/>
        </w:rPr>
        <w:t>无</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eastAsia="仿宋_GB2312"/>
          <w:kern w:val="0"/>
          <w:sz w:val="30"/>
          <w:szCs w:val="30"/>
        </w:rPr>
      </w:pPr>
      <w:r>
        <w:rPr>
          <w:rFonts w:hint="eastAsia" w:ascii="黑体" w:hAnsi="黑体" w:eastAsia="黑体"/>
          <w:kern w:val="0"/>
          <w:sz w:val="30"/>
          <w:szCs w:val="30"/>
        </w:rPr>
        <w:t>七、预算收支增减变化情况说明</w:t>
      </w:r>
    </w:p>
    <w:p>
      <w:pPr>
        <w:keepNext w:val="0"/>
        <w:keepLines w:val="0"/>
        <w:pageBreakBefore w:val="0"/>
        <w:widowControl/>
        <w:numPr>
          <w:ilvl w:val="0"/>
          <w:numId w:val="4"/>
        </w:numPr>
        <w:kinsoku/>
        <w:wordWrap/>
        <w:overflowPunct/>
        <w:topLinePunct w:val="0"/>
        <w:autoSpaceDE/>
        <w:autoSpaceDN/>
        <w:bidi w:val="0"/>
        <w:adjustRightInd/>
        <w:snapToGrid/>
        <w:ind w:firstLine="600" w:firstLineChars="200"/>
        <w:jc w:val="both"/>
        <w:textAlignment w:val="auto"/>
        <w:outlineLvl w:val="9"/>
        <w:rPr>
          <w:rFonts w:hint="eastAsia" w:ascii="楷体_GB2312" w:eastAsia="楷体_GB2312"/>
          <w:kern w:val="0"/>
          <w:sz w:val="30"/>
          <w:szCs w:val="30"/>
        </w:rPr>
      </w:pPr>
      <w:r>
        <w:rPr>
          <w:rFonts w:hint="eastAsia" w:ascii="楷体_GB2312" w:eastAsia="楷体_GB2312"/>
          <w:kern w:val="0"/>
          <w:sz w:val="30"/>
          <w:szCs w:val="30"/>
        </w:rPr>
        <w:t>部门“三公”经费增减变化情况及原因说明</w:t>
      </w:r>
    </w:p>
    <w:p>
      <w:pPr>
        <w:pStyle w:val="7"/>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600" w:lineRule="atLeast"/>
        <w:ind w:left="0" w:right="0" w:firstLine="600" w:firstLineChars="200"/>
        <w:jc w:val="both"/>
        <w:textAlignment w:val="auto"/>
        <w:outlineLvl w:val="9"/>
        <w:rPr>
          <w:rFonts w:hint="eastAsia" w:ascii="仿宋_GB2312" w:eastAsia="仿宋_GB2312"/>
          <w:kern w:val="0"/>
          <w:sz w:val="30"/>
          <w:szCs w:val="30"/>
        </w:rPr>
      </w:pPr>
      <w:r>
        <w:rPr>
          <w:rFonts w:hint="eastAsia" w:ascii="仿宋_GB2312" w:eastAsia="仿宋_GB2312"/>
          <w:kern w:val="0"/>
          <w:sz w:val="30"/>
          <w:szCs w:val="30"/>
        </w:rPr>
        <w:t>2019年盈江县</w:t>
      </w:r>
      <w:r>
        <w:rPr>
          <w:rFonts w:hint="eastAsia" w:ascii="仿宋_GB2312" w:eastAsia="仿宋_GB2312"/>
          <w:kern w:val="0"/>
          <w:sz w:val="30"/>
          <w:szCs w:val="30"/>
          <w:lang w:eastAsia="zh-CN"/>
        </w:rPr>
        <w:t>旧城民族中学</w:t>
      </w:r>
      <w:r>
        <w:rPr>
          <w:rFonts w:hint="eastAsia" w:ascii="仿宋_GB2312" w:eastAsia="仿宋_GB2312"/>
          <w:kern w:val="0"/>
          <w:sz w:val="30"/>
          <w:szCs w:val="30"/>
        </w:rPr>
        <w:t>“三公”经费预算数为</w:t>
      </w:r>
      <w:r>
        <w:rPr>
          <w:rFonts w:hint="eastAsia" w:ascii="仿宋_GB2312" w:eastAsia="仿宋_GB2312"/>
          <w:kern w:val="0"/>
          <w:sz w:val="30"/>
          <w:szCs w:val="30"/>
          <w:lang w:val="en-US" w:eastAsia="zh-CN"/>
        </w:rPr>
        <w:t>2.60</w:t>
      </w:r>
      <w:r>
        <w:rPr>
          <w:rFonts w:hint="eastAsia" w:ascii="仿宋_GB2312" w:eastAsia="仿宋_GB2312"/>
          <w:kern w:val="0"/>
          <w:sz w:val="30"/>
          <w:szCs w:val="30"/>
        </w:rPr>
        <w:t>万元，其中：因公出国（境）费用0万元、公务接待费</w:t>
      </w:r>
      <w:r>
        <w:rPr>
          <w:rFonts w:hint="eastAsia" w:ascii="仿宋_GB2312" w:eastAsia="仿宋_GB2312"/>
          <w:kern w:val="0"/>
          <w:sz w:val="30"/>
          <w:szCs w:val="30"/>
          <w:lang w:val="en-US" w:eastAsia="zh-CN"/>
        </w:rPr>
        <w:t>1.08</w:t>
      </w:r>
      <w:r>
        <w:rPr>
          <w:rFonts w:hint="eastAsia" w:ascii="仿宋_GB2312" w:eastAsia="仿宋_GB2312"/>
          <w:kern w:val="0"/>
          <w:sz w:val="30"/>
          <w:szCs w:val="30"/>
        </w:rPr>
        <w:t>万元、公务用车购置及运行费</w:t>
      </w:r>
      <w:r>
        <w:rPr>
          <w:rFonts w:hint="eastAsia" w:ascii="仿宋_GB2312" w:eastAsia="仿宋_GB2312"/>
          <w:kern w:val="0"/>
          <w:sz w:val="30"/>
          <w:szCs w:val="30"/>
          <w:lang w:val="en-US" w:eastAsia="zh-CN"/>
        </w:rPr>
        <w:t>1.52</w:t>
      </w:r>
      <w:r>
        <w:rPr>
          <w:rFonts w:hint="eastAsia" w:ascii="仿宋_GB2312" w:eastAsia="仿宋_GB2312"/>
          <w:kern w:val="0"/>
          <w:sz w:val="30"/>
          <w:szCs w:val="30"/>
        </w:rPr>
        <w:t>万元,其中:公务用车购置费0万元、公务用车运行费</w:t>
      </w:r>
      <w:r>
        <w:rPr>
          <w:rFonts w:hint="eastAsia" w:ascii="仿宋_GB2312" w:eastAsia="仿宋_GB2312"/>
          <w:kern w:val="0"/>
          <w:sz w:val="30"/>
          <w:szCs w:val="30"/>
          <w:lang w:val="en-US" w:eastAsia="zh-CN"/>
        </w:rPr>
        <w:t>1.52</w:t>
      </w:r>
      <w:r>
        <w:rPr>
          <w:rFonts w:hint="eastAsia" w:ascii="仿宋_GB2312" w:eastAsia="仿宋_GB2312"/>
          <w:kern w:val="0"/>
          <w:sz w:val="30"/>
          <w:szCs w:val="30"/>
        </w:rPr>
        <w:t>万元。与上年</w:t>
      </w:r>
      <w:r>
        <w:rPr>
          <w:rFonts w:hint="eastAsia" w:ascii="仿宋_GB2312" w:eastAsia="仿宋_GB2312"/>
          <w:kern w:val="0"/>
          <w:sz w:val="30"/>
          <w:szCs w:val="30"/>
          <w:lang w:eastAsia="zh-CN"/>
        </w:rPr>
        <w:t>“</w:t>
      </w:r>
      <w:r>
        <w:rPr>
          <w:rFonts w:hint="eastAsia" w:ascii="仿宋_GB2312" w:eastAsia="仿宋_GB2312"/>
          <w:kern w:val="0"/>
          <w:sz w:val="30"/>
          <w:szCs w:val="30"/>
        </w:rPr>
        <w:t>三公”经费预算数</w:t>
      </w:r>
      <w:r>
        <w:rPr>
          <w:rFonts w:hint="eastAsia" w:ascii="仿宋_GB2312" w:eastAsia="仿宋_GB2312"/>
          <w:kern w:val="0"/>
          <w:sz w:val="30"/>
          <w:szCs w:val="30"/>
          <w:lang w:val="en-US" w:eastAsia="zh-CN"/>
        </w:rPr>
        <w:t>2.60</w:t>
      </w:r>
      <w:r>
        <w:rPr>
          <w:rFonts w:hint="eastAsia" w:ascii="仿宋_GB2312" w:eastAsia="仿宋_GB2312"/>
          <w:kern w:val="0"/>
          <w:sz w:val="30"/>
          <w:szCs w:val="30"/>
        </w:rPr>
        <w:t>万元相比持平。其中:因公出国（境）费用0万元与上年预算数0万元持平，公务接待费</w:t>
      </w:r>
      <w:r>
        <w:rPr>
          <w:rFonts w:hint="eastAsia" w:ascii="仿宋_GB2312" w:eastAsia="仿宋_GB2312"/>
          <w:kern w:val="0"/>
          <w:sz w:val="30"/>
          <w:szCs w:val="30"/>
          <w:lang w:val="en-US" w:eastAsia="zh-CN"/>
        </w:rPr>
        <w:t>1.08</w:t>
      </w:r>
      <w:r>
        <w:rPr>
          <w:rFonts w:hint="eastAsia" w:ascii="仿宋_GB2312" w:eastAsia="仿宋_GB2312"/>
          <w:kern w:val="0"/>
          <w:sz w:val="30"/>
          <w:szCs w:val="30"/>
        </w:rPr>
        <w:t>万元与上年预算数</w:t>
      </w:r>
      <w:r>
        <w:rPr>
          <w:rFonts w:hint="eastAsia" w:ascii="仿宋_GB2312" w:eastAsia="仿宋_GB2312"/>
          <w:kern w:val="0"/>
          <w:sz w:val="30"/>
          <w:szCs w:val="30"/>
          <w:lang w:val="en-US" w:eastAsia="zh-CN"/>
        </w:rPr>
        <w:t>1.08</w:t>
      </w:r>
      <w:r>
        <w:rPr>
          <w:rFonts w:hint="eastAsia" w:ascii="仿宋_GB2312" w:eastAsia="仿宋_GB2312"/>
          <w:kern w:val="0"/>
          <w:sz w:val="30"/>
          <w:szCs w:val="30"/>
        </w:rPr>
        <w:t>万元持平，公务用车购置及运行费</w:t>
      </w:r>
      <w:r>
        <w:rPr>
          <w:rFonts w:hint="eastAsia" w:ascii="仿宋_GB2312" w:eastAsia="仿宋_GB2312"/>
          <w:kern w:val="0"/>
          <w:sz w:val="30"/>
          <w:szCs w:val="30"/>
          <w:lang w:val="en-US" w:eastAsia="zh-CN"/>
        </w:rPr>
        <w:t>1.52</w:t>
      </w:r>
      <w:r>
        <w:rPr>
          <w:rFonts w:hint="eastAsia" w:ascii="仿宋_GB2312" w:eastAsia="仿宋_GB2312"/>
          <w:kern w:val="0"/>
          <w:sz w:val="30"/>
          <w:szCs w:val="30"/>
        </w:rPr>
        <w:t>万元</w:t>
      </w:r>
      <w:r>
        <w:rPr>
          <w:rFonts w:hint="eastAsia" w:ascii="仿宋_GB2312" w:eastAsia="仿宋_GB2312"/>
          <w:kern w:val="0"/>
          <w:sz w:val="30"/>
          <w:szCs w:val="30"/>
          <w:lang w:eastAsia="zh-CN"/>
        </w:rPr>
        <w:t>，</w:t>
      </w:r>
      <w:r>
        <w:rPr>
          <w:rFonts w:hint="eastAsia" w:ascii="仿宋_GB2312" w:eastAsia="仿宋_GB2312"/>
          <w:kern w:val="0"/>
          <w:sz w:val="30"/>
          <w:szCs w:val="30"/>
        </w:rPr>
        <w:t>其中:公务用车购置费0万元、公务用车运行费</w:t>
      </w:r>
      <w:r>
        <w:rPr>
          <w:rFonts w:hint="eastAsia" w:ascii="仿宋_GB2312" w:eastAsia="仿宋_GB2312"/>
          <w:kern w:val="0"/>
          <w:sz w:val="30"/>
          <w:szCs w:val="30"/>
          <w:lang w:val="en-US" w:eastAsia="zh-CN"/>
        </w:rPr>
        <w:t>1.52</w:t>
      </w:r>
      <w:r>
        <w:rPr>
          <w:rFonts w:hint="eastAsia" w:ascii="仿宋_GB2312" w:eastAsia="仿宋_GB2312"/>
          <w:kern w:val="0"/>
          <w:sz w:val="30"/>
          <w:szCs w:val="30"/>
        </w:rPr>
        <w:t>万元与上年预算数</w:t>
      </w:r>
      <w:r>
        <w:rPr>
          <w:rFonts w:hint="eastAsia" w:ascii="仿宋_GB2312" w:eastAsia="仿宋_GB2312"/>
          <w:kern w:val="0"/>
          <w:sz w:val="30"/>
          <w:szCs w:val="30"/>
          <w:lang w:val="en-US" w:eastAsia="zh-CN"/>
        </w:rPr>
        <w:t>1.52</w:t>
      </w:r>
      <w:r>
        <w:rPr>
          <w:rFonts w:hint="eastAsia" w:ascii="仿宋_GB2312" w:eastAsia="仿宋_GB2312"/>
          <w:kern w:val="0"/>
          <w:sz w:val="30"/>
          <w:szCs w:val="30"/>
        </w:rPr>
        <w:t>万元持平。</w:t>
      </w:r>
    </w:p>
    <w:p>
      <w:pPr>
        <w:keepNext w:val="0"/>
        <w:keepLines w:val="0"/>
        <w:pageBreakBefore w:val="0"/>
        <w:kinsoku/>
        <w:wordWrap/>
        <w:overflowPunct/>
        <w:topLinePunct w:val="0"/>
        <w:autoSpaceDE/>
        <w:autoSpaceDN/>
        <w:bidi w:val="0"/>
        <w:adjustRightInd/>
        <w:snapToGrid/>
        <w:ind w:firstLine="600" w:firstLineChars="200"/>
        <w:jc w:val="both"/>
        <w:textAlignment w:val="auto"/>
        <w:outlineLvl w:val="9"/>
        <w:rPr>
          <w:rFonts w:hint="eastAsia" w:ascii="仿宋_GB2312" w:hAnsi="仿宋_GB2312" w:eastAsia="仿宋_GB2312" w:cs="仿宋_GB2312"/>
          <w:color w:val="0C0C0C" w:themeColor="text1" w:themeTint="F2"/>
          <w:sz w:val="30"/>
          <w:szCs w:val="30"/>
          <w:lang w:eastAsia="zh-CN"/>
        </w:rPr>
      </w:pPr>
      <w:r>
        <w:rPr>
          <w:rFonts w:hint="eastAsia" w:ascii="楷体" w:hAnsi="楷体" w:eastAsia="楷体" w:cs="楷体"/>
          <w:color w:val="0C0C0C" w:themeColor="text1" w:themeTint="F2"/>
          <w:kern w:val="0"/>
          <w:sz w:val="30"/>
          <w:szCs w:val="30"/>
        </w:rPr>
        <w:t>（二）</w:t>
      </w:r>
      <w:r>
        <w:rPr>
          <w:rFonts w:hint="eastAsia" w:ascii="仿宋_GB2312" w:hAnsi="仿宋_GB2312" w:eastAsia="仿宋_GB2312" w:cs="仿宋_GB2312"/>
          <w:color w:val="0C0C0C" w:themeColor="text1" w:themeTint="F2"/>
          <w:sz w:val="30"/>
          <w:szCs w:val="30"/>
        </w:rPr>
        <w:t>基本支出情况</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hint="eastAsia" w:ascii="仿宋_GB2312" w:hAnsi="仿宋_GB2312" w:eastAsia="仿宋_GB2312" w:cs="仿宋_GB2312"/>
          <w:color w:val="FF0000"/>
          <w:sz w:val="30"/>
          <w:szCs w:val="30"/>
          <w:lang w:eastAsia="zh-CN"/>
        </w:rPr>
      </w:pPr>
      <w:r>
        <w:rPr>
          <w:rFonts w:hint="eastAsia" w:ascii="仿宋_GB2312" w:hAnsi="仿宋_GB2312" w:eastAsia="仿宋_GB2312" w:cs="仿宋_GB2312"/>
          <w:kern w:val="0"/>
          <w:sz w:val="30"/>
          <w:szCs w:val="30"/>
          <w:lang w:val="en-US" w:eastAsia="zh-CN"/>
        </w:rPr>
        <w:t>2019年部门预算收入800.43</w:t>
      </w:r>
      <w:r>
        <w:rPr>
          <w:rFonts w:hint="eastAsia" w:ascii="仿宋_GB2312" w:hAnsi="仿宋_GB2312" w:eastAsia="仿宋_GB2312" w:cs="仿宋_GB2312"/>
          <w:kern w:val="0"/>
          <w:sz w:val="30"/>
          <w:szCs w:val="30"/>
        </w:rPr>
        <w:t>万元</w:t>
      </w:r>
      <w:r>
        <w:rPr>
          <w:rFonts w:hint="eastAsia" w:ascii="仿宋_GB2312" w:hAnsi="仿宋_GB2312" w:eastAsia="仿宋_GB2312" w:cs="仿宋_GB2312"/>
          <w:kern w:val="0"/>
          <w:sz w:val="30"/>
          <w:szCs w:val="30"/>
          <w:lang w:eastAsia="zh-CN"/>
        </w:rPr>
        <w:t>，比上年预算数</w:t>
      </w:r>
      <w:r>
        <w:rPr>
          <w:rFonts w:hint="eastAsia" w:ascii="仿宋_GB2312" w:hAnsi="仿宋_GB2312" w:eastAsia="仿宋_GB2312" w:cs="仿宋_GB2312"/>
          <w:kern w:val="0"/>
          <w:sz w:val="30"/>
          <w:szCs w:val="30"/>
          <w:lang w:val="en-US" w:eastAsia="zh-CN"/>
        </w:rPr>
        <w:t>753.23万元</w:t>
      </w:r>
      <w:r>
        <w:rPr>
          <w:rFonts w:hint="eastAsia" w:ascii="仿宋_GB2312" w:hAnsi="仿宋_GB2312" w:eastAsia="仿宋_GB2312" w:cs="仿宋_GB2312"/>
          <w:kern w:val="0"/>
          <w:sz w:val="30"/>
          <w:szCs w:val="30"/>
          <w:lang w:eastAsia="zh-CN"/>
        </w:rPr>
        <w:t>增加</w:t>
      </w:r>
      <w:r>
        <w:rPr>
          <w:rFonts w:hint="eastAsia" w:ascii="仿宋_GB2312" w:hAnsi="仿宋_GB2312" w:eastAsia="仿宋_GB2312" w:cs="仿宋_GB2312"/>
          <w:kern w:val="0"/>
          <w:sz w:val="30"/>
          <w:szCs w:val="30"/>
          <w:lang w:val="en-US" w:eastAsia="zh-CN"/>
        </w:rPr>
        <w:t>47.20万元，增加6.27%。增加原因：调增人员工资。</w:t>
      </w:r>
    </w:p>
    <w:p>
      <w:pPr>
        <w:keepNext w:val="0"/>
        <w:keepLines w:val="0"/>
        <w:pageBreakBefore w:val="0"/>
        <w:kinsoku/>
        <w:wordWrap/>
        <w:overflowPunct/>
        <w:topLinePunct w:val="0"/>
        <w:autoSpaceDE/>
        <w:autoSpaceDN/>
        <w:bidi w:val="0"/>
        <w:adjustRightInd/>
        <w:snapToGrid/>
        <w:ind w:firstLine="600" w:firstLineChars="200"/>
        <w:jc w:val="both"/>
        <w:textAlignment w:val="auto"/>
        <w:outlineLvl w:val="9"/>
        <w:rPr>
          <w:rFonts w:hint="eastAsia" w:ascii="仿宋_GB2312" w:hAnsi="仿宋_GB2312" w:eastAsia="仿宋_GB2312" w:cs="仿宋_GB2312"/>
          <w:sz w:val="30"/>
          <w:szCs w:val="30"/>
        </w:rPr>
      </w:pPr>
      <w:r>
        <w:rPr>
          <w:rFonts w:hint="eastAsia" w:ascii="楷体" w:hAnsi="楷体" w:eastAsia="楷体" w:cs="楷体"/>
          <w:kern w:val="0"/>
          <w:sz w:val="30"/>
          <w:szCs w:val="30"/>
        </w:rPr>
        <w:t>（三）</w:t>
      </w:r>
      <w:r>
        <w:rPr>
          <w:rFonts w:hint="eastAsia" w:ascii="仿宋_GB2312" w:hAnsi="仿宋_GB2312" w:eastAsia="仿宋_GB2312" w:cs="仿宋_GB2312"/>
          <w:sz w:val="30"/>
          <w:szCs w:val="30"/>
        </w:rPr>
        <w:t>项目支出情况</w:t>
      </w:r>
    </w:p>
    <w:p>
      <w:pPr>
        <w:pStyle w:val="14"/>
        <w:keepNext w:val="0"/>
        <w:keepLines w:val="0"/>
        <w:pageBreakBefore w:val="0"/>
        <w:kinsoku/>
        <w:wordWrap/>
        <w:overflowPunct/>
        <w:topLinePunct w:val="0"/>
        <w:autoSpaceDE/>
        <w:autoSpaceDN/>
        <w:bidi w:val="0"/>
        <w:adjustRightInd/>
        <w:snapToGrid/>
        <w:ind w:firstLine="600" w:firstLineChars="200"/>
        <w:jc w:val="both"/>
        <w:textAlignment w:val="auto"/>
        <w:outlineLvl w:val="9"/>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201</w:t>
      </w:r>
      <w:r>
        <w:rPr>
          <w:rFonts w:hint="eastAsia" w:ascii="仿宋_GB2312" w:hAnsi="仿宋_GB2312" w:eastAsia="仿宋_GB2312" w:cs="仿宋_GB2312"/>
          <w:sz w:val="30"/>
          <w:szCs w:val="30"/>
          <w:lang w:val="en-US" w:eastAsia="zh-CN"/>
        </w:rPr>
        <w:t>9</w:t>
      </w:r>
      <w:r>
        <w:rPr>
          <w:rFonts w:hint="eastAsia" w:ascii="仿宋_GB2312" w:hAnsi="仿宋_GB2312" w:eastAsia="仿宋_GB2312" w:cs="仿宋_GB2312"/>
          <w:sz w:val="30"/>
          <w:szCs w:val="30"/>
        </w:rPr>
        <w:t>年盈江县</w:t>
      </w:r>
      <w:r>
        <w:rPr>
          <w:rFonts w:hint="eastAsia" w:ascii="仿宋_GB2312" w:hAnsi="仿宋_GB2312" w:eastAsia="仿宋_GB2312" w:cs="仿宋_GB2312"/>
          <w:sz w:val="30"/>
          <w:szCs w:val="30"/>
          <w:lang w:eastAsia="zh-CN"/>
        </w:rPr>
        <w:t>旧城民族中学无</w:t>
      </w:r>
      <w:r>
        <w:rPr>
          <w:rFonts w:hint="eastAsia" w:ascii="仿宋_GB2312" w:hAnsi="仿宋_GB2312" w:eastAsia="仿宋_GB2312" w:cs="仿宋_GB2312"/>
          <w:sz w:val="30"/>
          <w:szCs w:val="30"/>
        </w:rPr>
        <w:t>项目支出</w:t>
      </w:r>
      <w:r>
        <w:rPr>
          <w:rFonts w:hint="eastAsia" w:ascii="仿宋_GB2312" w:hAnsi="仿宋_GB2312" w:eastAsia="仿宋_GB2312" w:cs="仿宋_GB2312"/>
          <w:sz w:val="30"/>
          <w:szCs w:val="30"/>
          <w:lang w:eastAsia="zh-CN"/>
        </w:rPr>
        <w:t>预算</w:t>
      </w:r>
      <w:r>
        <w:rPr>
          <w:rFonts w:hint="eastAsia" w:ascii="仿宋_GB2312" w:hAnsi="仿宋_GB2312" w:eastAsia="仿宋_GB2312" w:cs="仿宋_GB2312"/>
          <w:sz w:val="30"/>
          <w:szCs w:val="30"/>
        </w:rPr>
        <w:t>。</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ascii="黑体" w:hAnsi="黑体" w:eastAsia="黑体"/>
          <w:kern w:val="0"/>
          <w:sz w:val="30"/>
          <w:szCs w:val="30"/>
        </w:rPr>
      </w:pPr>
      <w:r>
        <w:rPr>
          <w:rFonts w:hint="eastAsia" w:ascii="黑体" w:hAnsi="黑体" w:eastAsia="黑体"/>
          <w:kern w:val="0"/>
          <w:sz w:val="30"/>
          <w:szCs w:val="30"/>
        </w:rPr>
        <w:t>八</w:t>
      </w:r>
      <w:r>
        <w:rPr>
          <w:rFonts w:ascii="黑体" w:hAnsi="黑体" w:eastAsia="黑体"/>
          <w:kern w:val="0"/>
          <w:sz w:val="30"/>
          <w:szCs w:val="30"/>
        </w:rPr>
        <w:t>、其他公开信息</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ascii="楷体_GB2312" w:eastAsia="楷体_GB2312"/>
          <w:kern w:val="0"/>
          <w:sz w:val="30"/>
          <w:szCs w:val="30"/>
        </w:rPr>
      </w:pPr>
      <w:r>
        <w:rPr>
          <w:rFonts w:ascii="楷体_GB2312" w:eastAsia="楷体_GB2312"/>
          <w:kern w:val="0"/>
          <w:sz w:val="30"/>
          <w:szCs w:val="30"/>
        </w:rPr>
        <w:t>（一）专业名词解释</w:t>
      </w:r>
    </w:p>
    <w:p>
      <w:pPr>
        <w:keepNext w:val="0"/>
        <w:keepLines w:val="0"/>
        <w:pageBreakBefore w:val="0"/>
        <w:widowControl/>
        <w:kinsoku/>
        <w:wordWrap/>
        <w:overflowPunct/>
        <w:topLinePunct w:val="0"/>
        <w:autoSpaceDE/>
        <w:autoSpaceDN/>
        <w:bidi w:val="0"/>
        <w:adjustRightInd/>
        <w:snapToGrid/>
        <w:spacing w:line="560" w:lineRule="exact"/>
        <w:ind w:firstLine="600" w:firstLineChars="200"/>
        <w:jc w:val="both"/>
        <w:textAlignment w:val="auto"/>
        <w:outlineLvl w:val="9"/>
        <w:rPr>
          <w:rFonts w:ascii="仿宋_GB2312" w:hAnsi="仿宋_GB2312" w:eastAsia="仿宋_GB2312" w:cs="仿宋_GB2312"/>
          <w:kern w:val="0"/>
          <w:sz w:val="30"/>
          <w:szCs w:val="30"/>
        </w:rPr>
      </w:pPr>
      <w:r>
        <w:rPr>
          <w:rFonts w:hint="eastAsia" w:ascii="仿宋_GB2312" w:hAnsi="仿宋_GB2312" w:eastAsia="仿宋_GB2312" w:cs="仿宋_GB2312"/>
          <w:color w:val="333333"/>
          <w:kern w:val="0"/>
          <w:sz w:val="30"/>
          <w:szCs w:val="30"/>
        </w:rPr>
        <w:t xml:space="preserve">1.财政拨款（补助）收入指财政部门当年拨付的资金。 </w:t>
      </w:r>
    </w:p>
    <w:p>
      <w:pPr>
        <w:keepNext w:val="0"/>
        <w:keepLines w:val="0"/>
        <w:pageBreakBefore w:val="0"/>
        <w:widowControl/>
        <w:kinsoku/>
        <w:wordWrap/>
        <w:overflowPunct/>
        <w:topLinePunct w:val="0"/>
        <w:autoSpaceDE/>
        <w:autoSpaceDN/>
        <w:bidi w:val="0"/>
        <w:adjustRightInd/>
        <w:snapToGrid/>
        <w:spacing w:line="560" w:lineRule="exact"/>
        <w:ind w:firstLine="600" w:firstLineChars="200"/>
        <w:jc w:val="both"/>
        <w:textAlignment w:val="auto"/>
        <w:outlineLvl w:val="9"/>
        <w:rPr>
          <w:rFonts w:ascii="仿宋_GB2312" w:hAnsi="仿宋_GB2312" w:eastAsia="仿宋_GB2312" w:cs="仿宋_GB2312"/>
          <w:kern w:val="0"/>
          <w:sz w:val="30"/>
          <w:szCs w:val="30"/>
        </w:rPr>
      </w:pPr>
      <w:r>
        <w:rPr>
          <w:rFonts w:hint="eastAsia" w:ascii="仿宋_GB2312" w:hAnsi="仿宋_GB2312" w:eastAsia="仿宋_GB2312" w:cs="仿宋_GB2312"/>
          <w:color w:val="333333"/>
          <w:kern w:val="0"/>
          <w:sz w:val="30"/>
          <w:szCs w:val="30"/>
        </w:rPr>
        <w:t xml:space="preserve">2.事业收入指事业单位开展业务活动取得的收入。 </w:t>
      </w:r>
    </w:p>
    <w:p>
      <w:pPr>
        <w:keepNext w:val="0"/>
        <w:keepLines w:val="0"/>
        <w:pageBreakBefore w:val="0"/>
        <w:widowControl/>
        <w:kinsoku/>
        <w:wordWrap/>
        <w:overflowPunct/>
        <w:topLinePunct w:val="0"/>
        <w:autoSpaceDE/>
        <w:autoSpaceDN/>
        <w:bidi w:val="0"/>
        <w:adjustRightInd/>
        <w:snapToGrid/>
        <w:spacing w:line="560" w:lineRule="exact"/>
        <w:ind w:firstLine="600" w:firstLineChars="200"/>
        <w:jc w:val="both"/>
        <w:textAlignment w:val="auto"/>
        <w:outlineLvl w:val="9"/>
        <w:rPr>
          <w:rFonts w:ascii="仿宋_GB2312" w:hAnsi="仿宋_GB2312" w:eastAsia="仿宋_GB2312" w:cs="仿宋_GB2312"/>
          <w:kern w:val="0"/>
          <w:sz w:val="30"/>
          <w:szCs w:val="30"/>
        </w:rPr>
      </w:pPr>
      <w:r>
        <w:rPr>
          <w:rFonts w:hint="eastAsia" w:ascii="仿宋_GB2312" w:hAnsi="仿宋_GB2312" w:eastAsia="仿宋_GB2312" w:cs="仿宋_GB2312"/>
          <w:color w:val="333333"/>
          <w:kern w:val="0"/>
          <w:sz w:val="30"/>
          <w:szCs w:val="30"/>
        </w:rPr>
        <w:t xml:space="preserve">3.事业单位经营收入指事业单位在业务活动之外开展非独立核算经营活动取得的收入。 </w:t>
      </w:r>
    </w:p>
    <w:p>
      <w:pPr>
        <w:keepNext w:val="0"/>
        <w:keepLines w:val="0"/>
        <w:pageBreakBefore w:val="0"/>
        <w:widowControl/>
        <w:kinsoku/>
        <w:wordWrap/>
        <w:overflowPunct/>
        <w:topLinePunct w:val="0"/>
        <w:autoSpaceDE/>
        <w:autoSpaceDN/>
        <w:bidi w:val="0"/>
        <w:adjustRightInd/>
        <w:snapToGrid/>
        <w:spacing w:line="560" w:lineRule="exact"/>
        <w:ind w:firstLine="600" w:firstLineChars="200"/>
        <w:jc w:val="both"/>
        <w:textAlignment w:val="auto"/>
        <w:outlineLvl w:val="9"/>
        <w:rPr>
          <w:rFonts w:ascii="仿宋_GB2312" w:hAnsi="仿宋_GB2312" w:eastAsia="仿宋_GB2312" w:cs="仿宋_GB2312"/>
          <w:kern w:val="0"/>
          <w:sz w:val="30"/>
          <w:szCs w:val="30"/>
        </w:rPr>
      </w:pPr>
      <w:r>
        <w:rPr>
          <w:rFonts w:hint="eastAsia" w:ascii="仿宋_GB2312" w:hAnsi="仿宋_GB2312" w:eastAsia="仿宋_GB2312" w:cs="仿宋_GB2312"/>
          <w:color w:val="333333"/>
          <w:kern w:val="0"/>
          <w:sz w:val="30"/>
          <w:szCs w:val="30"/>
        </w:rPr>
        <w:t xml:space="preserve">4.其他收入指预算单位在“财政拨款收入”、“事业收入”、“经营收入”之外取得的收入。 </w:t>
      </w:r>
    </w:p>
    <w:p>
      <w:pPr>
        <w:keepNext w:val="0"/>
        <w:keepLines w:val="0"/>
        <w:pageBreakBefore w:val="0"/>
        <w:widowControl/>
        <w:kinsoku/>
        <w:wordWrap/>
        <w:overflowPunct/>
        <w:topLinePunct w:val="0"/>
        <w:autoSpaceDE/>
        <w:autoSpaceDN/>
        <w:bidi w:val="0"/>
        <w:adjustRightInd/>
        <w:snapToGrid/>
        <w:spacing w:line="560" w:lineRule="exact"/>
        <w:ind w:firstLine="600" w:firstLineChars="200"/>
        <w:jc w:val="both"/>
        <w:textAlignment w:val="auto"/>
        <w:outlineLvl w:val="9"/>
        <w:rPr>
          <w:rFonts w:ascii="仿宋_GB2312" w:hAnsi="仿宋_GB2312" w:eastAsia="仿宋_GB2312" w:cs="仿宋_GB2312"/>
          <w:kern w:val="0"/>
          <w:sz w:val="30"/>
          <w:szCs w:val="30"/>
        </w:rPr>
      </w:pPr>
      <w:r>
        <w:rPr>
          <w:rFonts w:hint="eastAsia" w:ascii="仿宋_GB2312" w:hAnsi="仿宋_GB2312" w:eastAsia="仿宋_GB2312" w:cs="仿宋_GB2312"/>
          <w:color w:val="333333"/>
          <w:kern w:val="0"/>
          <w:sz w:val="30"/>
          <w:szCs w:val="30"/>
        </w:rPr>
        <w:t xml:space="preserve">5.基本支出指为保障机构正常运转、完成日常工作任务而发生的人员支出和公用支出。 </w:t>
      </w:r>
    </w:p>
    <w:p>
      <w:pPr>
        <w:keepNext w:val="0"/>
        <w:keepLines w:val="0"/>
        <w:pageBreakBefore w:val="0"/>
        <w:widowControl/>
        <w:kinsoku/>
        <w:wordWrap/>
        <w:overflowPunct/>
        <w:topLinePunct w:val="0"/>
        <w:autoSpaceDE/>
        <w:autoSpaceDN/>
        <w:bidi w:val="0"/>
        <w:adjustRightInd/>
        <w:snapToGrid/>
        <w:spacing w:line="560" w:lineRule="exact"/>
        <w:ind w:firstLine="600" w:firstLineChars="200"/>
        <w:jc w:val="both"/>
        <w:textAlignment w:val="auto"/>
        <w:outlineLvl w:val="9"/>
        <w:rPr>
          <w:rFonts w:ascii="仿宋_GB2312" w:hAnsi="仿宋_GB2312" w:eastAsia="仿宋_GB2312" w:cs="仿宋_GB2312"/>
          <w:kern w:val="0"/>
          <w:sz w:val="30"/>
          <w:szCs w:val="30"/>
        </w:rPr>
      </w:pPr>
      <w:r>
        <w:rPr>
          <w:rFonts w:hint="eastAsia" w:ascii="仿宋_GB2312" w:hAnsi="仿宋_GB2312" w:eastAsia="仿宋_GB2312" w:cs="仿宋_GB2312"/>
          <w:color w:val="333333"/>
          <w:kern w:val="0"/>
          <w:sz w:val="30"/>
          <w:szCs w:val="30"/>
        </w:rPr>
        <w:t xml:space="preserve">6.项目支出指在基本支出之外为完成相关行政任务和事业发展目标所发生的支出。 </w:t>
      </w:r>
    </w:p>
    <w:p>
      <w:pPr>
        <w:keepNext w:val="0"/>
        <w:keepLines w:val="0"/>
        <w:pageBreakBefore w:val="0"/>
        <w:widowControl/>
        <w:kinsoku/>
        <w:wordWrap/>
        <w:overflowPunct/>
        <w:topLinePunct w:val="0"/>
        <w:autoSpaceDE/>
        <w:autoSpaceDN/>
        <w:bidi w:val="0"/>
        <w:adjustRightInd/>
        <w:snapToGrid/>
        <w:spacing w:line="560" w:lineRule="exact"/>
        <w:ind w:firstLine="600" w:firstLineChars="200"/>
        <w:jc w:val="both"/>
        <w:textAlignment w:val="auto"/>
        <w:outlineLvl w:val="9"/>
        <w:rPr>
          <w:rFonts w:ascii="仿宋_GB2312" w:hAnsi="仿宋_GB2312" w:eastAsia="仿宋_GB2312" w:cs="仿宋_GB2312"/>
          <w:sz w:val="30"/>
          <w:szCs w:val="30"/>
        </w:rPr>
      </w:pPr>
      <w:r>
        <w:rPr>
          <w:rFonts w:hint="eastAsia" w:ascii="仿宋_GB2312" w:hAnsi="仿宋_GB2312" w:eastAsia="仿宋_GB2312" w:cs="仿宋_GB2312"/>
          <w:color w:val="333333"/>
          <w:kern w:val="0"/>
          <w:sz w:val="30"/>
          <w:szCs w:val="30"/>
          <w:lang w:bidi="ar"/>
        </w:rPr>
        <w:t xml:space="preserve">7.机关运行经费指行政单位和参照公务员法管理的事业单位使用一般公共预算财政拨款安排的基本支出中的日常公用经费支出。包括办公及印刷费、邮电费、差旅费、会议费、福利费、日常维修费、专用材料及一般设备购置费、办公用房水电费、办公用房取暖费、办公用房物业管理费、公务用车运行维护费以及其他费用。 </w:t>
      </w:r>
    </w:p>
    <w:p>
      <w:pPr>
        <w:keepNext w:val="0"/>
        <w:keepLines w:val="0"/>
        <w:pageBreakBefore w:val="0"/>
        <w:widowControl/>
        <w:kinsoku/>
        <w:wordWrap/>
        <w:overflowPunct/>
        <w:topLinePunct w:val="0"/>
        <w:autoSpaceDE/>
        <w:autoSpaceDN/>
        <w:bidi w:val="0"/>
        <w:adjustRightInd/>
        <w:snapToGrid/>
        <w:spacing w:line="560" w:lineRule="exact"/>
        <w:ind w:firstLine="600" w:firstLineChars="200"/>
        <w:jc w:val="both"/>
        <w:textAlignment w:val="auto"/>
        <w:outlineLvl w:val="9"/>
        <w:rPr>
          <w:rFonts w:ascii="仿宋_GB2312" w:hAnsi="仿宋_GB2312" w:eastAsia="仿宋_GB2312" w:cs="仿宋_GB2312"/>
          <w:sz w:val="30"/>
          <w:szCs w:val="30"/>
        </w:rPr>
      </w:pPr>
      <w:r>
        <w:rPr>
          <w:rFonts w:hint="eastAsia" w:ascii="仿宋_GB2312" w:hAnsi="仿宋_GB2312" w:eastAsia="仿宋_GB2312" w:cs="仿宋_GB2312"/>
          <w:color w:val="333333"/>
          <w:kern w:val="0"/>
          <w:sz w:val="30"/>
          <w:szCs w:val="30"/>
          <w:lang w:bidi="ar"/>
        </w:rPr>
        <w:t>8.“三公”经费包括因公出国（境）费、公务用车购置及运行费、公务接待费。其中：因公出国（境）费，指单位工作人员公务出国（境）的住宿费、</w:t>
      </w:r>
      <w:r>
        <w:rPr>
          <w:rFonts w:hint="eastAsia" w:ascii="仿宋_GB2312" w:hAnsi="仿宋_GB2312" w:eastAsia="仿宋_GB2312" w:cs="仿宋_GB2312"/>
          <w:color w:val="333333"/>
          <w:kern w:val="0"/>
          <w:sz w:val="30"/>
          <w:szCs w:val="30"/>
          <w:lang w:eastAsia="zh-CN" w:bidi="ar"/>
        </w:rPr>
        <w:t>差</w:t>
      </w:r>
      <w:r>
        <w:rPr>
          <w:rFonts w:hint="eastAsia" w:ascii="仿宋_GB2312" w:hAnsi="仿宋_GB2312" w:eastAsia="仿宋_GB2312" w:cs="仿宋_GB2312"/>
          <w:color w:val="333333"/>
          <w:kern w:val="0"/>
          <w:sz w:val="30"/>
          <w:szCs w:val="30"/>
          <w:lang w:bidi="ar"/>
        </w:rPr>
        <w:t xml:space="preserve">旅费、伙食补助费、杂费、培训费等支出；公务用车购置及运行费，指单位公务用车购置费及租用费、燃料费、维修费、过路过桥费、保险费、安全奖励费用等支出，公务用车指用于履行公务的机动车辆，包括省部级干部专车、一般公务用车和执法执勤用车；公务接待费，指单位按规定开支的各类公务接待（含外宾接待）支出。 </w:t>
      </w:r>
    </w:p>
    <w:p>
      <w:pPr>
        <w:keepNext w:val="0"/>
        <w:keepLines w:val="0"/>
        <w:pageBreakBefore w:val="0"/>
        <w:widowControl/>
        <w:kinsoku/>
        <w:wordWrap/>
        <w:overflowPunct/>
        <w:topLinePunct w:val="0"/>
        <w:autoSpaceDE/>
        <w:autoSpaceDN/>
        <w:bidi w:val="0"/>
        <w:adjustRightInd/>
        <w:snapToGrid/>
        <w:spacing w:line="560" w:lineRule="exact"/>
        <w:ind w:firstLine="600" w:firstLineChars="200"/>
        <w:jc w:val="both"/>
        <w:textAlignment w:val="auto"/>
        <w:outlineLvl w:val="9"/>
        <w:rPr>
          <w:rFonts w:ascii="仿宋_GB2312" w:hAnsi="仿宋_GB2312" w:eastAsia="仿宋_GB2312" w:cs="仿宋_GB2312"/>
          <w:sz w:val="30"/>
          <w:szCs w:val="30"/>
        </w:rPr>
      </w:pPr>
      <w:r>
        <w:rPr>
          <w:rFonts w:hint="eastAsia" w:ascii="仿宋_GB2312" w:hAnsi="仿宋_GB2312" w:eastAsia="仿宋_GB2312" w:cs="仿宋_GB2312"/>
          <w:color w:val="333333"/>
          <w:kern w:val="0"/>
          <w:sz w:val="30"/>
          <w:szCs w:val="30"/>
          <w:lang w:bidi="ar"/>
        </w:rPr>
        <w:t xml:space="preserve">9.一般公共预算是对以税收为主体的财政收入，安排用于保障和改善民生、推动经济社会发展、维护国家安全、维护国家机构正常运转等方面的收支预算。 </w:t>
      </w:r>
    </w:p>
    <w:p>
      <w:pPr>
        <w:keepNext w:val="0"/>
        <w:keepLines w:val="0"/>
        <w:pageBreakBefore w:val="0"/>
        <w:widowControl/>
        <w:kinsoku/>
        <w:wordWrap/>
        <w:overflowPunct/>
        <w:topLinePunct w:val="0"/>
        <w:autoSpaceDE/>
        <w:autoSpaceDN/>
        <w:bidi w:val="0"/>
        <w:adjustRightInd/>
        <w:snapToGrid/>
        <w:spacing w:line="560" w:lineRule="exact"/>
        <w:ind w:firstLine="600" w:firstLineChars="200"/>
        <w:jc w:val="both"/>
        <w:textAlignment w:val="auto"/>
        <w:outlineLvl w:val="9"/>
        <w:rPr>
          <w:rFonts w:ascii="仿宋_GB2312" w:hAnsi="仿宋_GB2312" w:eastAsia="仿宋_GB2312" w:cs="仿宋_GB2312"/>
          <w:sz w:val="30"/>
          <w:szCs w:val="30"/>
        </w:rPr>
      </w:pPr>
      <w:r>
        <w:rPr>
          <w:rFonts w:hint="eastAsia" w:ascii="仿宋_GB2312" w:hAnsi="仿宋_GB2312" w:eastAsia="仿宋_GB2312" w:cs="仿宋_GB2312"/>
          <w:color w:val="333333"/>
          <w:kern w:val="0"/>
          <w:sz w:val="30"/>
          <w:szCs w:val="30"/>
          <w:lang w:bidi="ar"/>
        </w:rPr>
        <w:t xml:space="preserve">10.非税收入是各级政府及其所属部门和单位依法利用行政权力、政府信誉、国家资源、国有资产或提供特定公共服务征收、收取、提取、募集的除税收和政府债务收入以外的财政收入。 </w:t>
      </w:r>
    </w:p>
    <w:p>
      <w:pPr>
        <w:keepNext w:val="0"/>
        <w:keepLines w:val="0"/>
        <w:pageBreakBefore w:val="0"/>
        <w:widowControl/>
        <w:kinsoku/>
        <w:wordWrap/>
        <w:overflowPunct/>
        <w:topLinePunct w:val="0"/>
        <w:autoSpaceDE/>
        <w:autoSpaceDN/>
        <w:bidi w:val="0"/>
        <w:adjustRightInd/>
        <w:snapToGrid/>
        <w:spacing w:line="560" w:lineRule="exact"/>
        <w:ind w:firstLine="600" w:firstLineChars="200"/>
        <w:jc w:val="both"/>
        <w:textAlignment w:val="auto"/>
        <w:outlineLvl w:val="9"/>
        <w:rPr>
          <w:rFonts w:ascii="仿宋_GB2312" w:hAnsi="仿宋_GB2312" w:eastAsia="仿宋_GB2312" w:cs="仿宋_GB2312"/>
          <w:sz w:val="30"/>
          <w:szCs w:val="30"/>
        </w:rPr>
      </w:pPr>
      <w:r>
        <w:rPr>
          <w:rFonts w:hint="eastAsia" w:ascii="仿宋_GB2312" w:hAnsi="仿宋_GB2312" w:eastAsia="仿宋_GB2312" w:cs="仿宋_GB2312"/>
          <w:color w:val="333333"/>
          <w:kern w:val="0"/>
          <w:sz w:val="30"/>
          <w:szCs w:val="30"/>
          <w:lang w:bidi="ar"/>
        </w:rPr>
        <w:t xml:space="preserve">11.工资福利支出反映单位开支的在职职工和编制外长期聘用人员的各类劳动报酬，以及为上述人员缴纳的各项社会保险费等。 </w:t>
      </w:r>
    </w:p>
    <w:p>
      <w:pPr>
        <w:keepNext w:val="0"/>
        <w:keepLines w:val="0"/>
        <w:pageBreakBefore w:val="0"/>
        <w:widowControl/>
        <w:kinsoku/>
        <w:wordWrap/>
        <w:overflowPunct/>
        <w:topLinePunct w:val="0"/>
        <w:autoSpaceDE/>
        <w:autoSpaceDN/>
        <w:bidi w:val="0"/>
        <w:adjustRightInd/>
        <w:snapToGrid/>
        <w:spacing w:line="560" w:lineRule="exact"/>
        <w:ind w:firstLine="600" w:firstLineChars="200"/>
        <w:jc w:val="both"/>
        <w:textAlignment w:val="auto"/>
        <w:outlineLvl w:val="9"/>
        <w:rPr>
          <w:rFonts w:ascii="仿宋_GB2312" w:hAnsi="仿宋_GB2312" w:eastAsia="仿宋_GB2312" w:cs="仿宋_GB2312"/>
          <w:sz w:val="30"/>
          <w:szCs w:val="30"/>
        </w:rPr>
      </w:pPr>
      <w:r>
        <w:rPr>
          <w:rFonts w:hint="eastAsia" w:ascii="仿宋_GB2312" w:hAnsi="仿宋_GB2312" w:eastAsia="仿宋_GB2312" w:cs="仿宋_GB2312"/>
          <w:color w:val="333333"/>
          <w:kern w:val="0"/>
          <w:sz w:val="30"/>
          <w:szCs w:val="30"/>
          <w:lang w:bidi="ar"/>
        </w:rPr>
        <w:t xml:space="preserve">12.商品和服务支出反映单位购买商品和服务的支出（不包括用于购置固定资产的支出、战略性和应急储备支出）。 </w:t>
      </w:r>
    </w:p>
    <w:p>
      <w:pPr>
        <w:keepNext w:val="0"/>
        <w:keepLines w:val="0"/>
        <w:pageBreakBefore w:val="0"/>
        <w:widowControl/>
        <w:kinsoku/>
        <w:wordWrap/>
        <w:overflowPunct/>
        <w:topLinePunct w:val="0"/>
        <w:autoSpaceDE/>
        <w:autoSpaceDN/>
        <w:bidi w:val="0"/>
        <w:adjustRightInd/>
        <w:snapToGrid/>
        <w:spacing w:line="560" w:lineRule="exact"/>
        <w:ind w:firstLine="600" w:firstLineChars="200"/>
        <w:jc w:val="both"/>
        <w:textAlignment w:val="auto"/>
        <w:outlineLvl w:val="9"/>
        <w:rPr>
          <w:rFonts w:ascii="仿宋_GB2312" w:hAnsi="仿宋_GB2312" w:eastAsia="仿宋_GB2312" w:cs="仿宋_GB2312"/>
          <w:sz w:val="30"/>
          <w:szCs w:val="30"/>
        </w:rPr>
      </w:pPr>
      <w:r>
        <w:rPr>
          <w:rFonts w:hint="eastAsia" w:ascii="仿宋_GB2312" w:hAnsi="仿宋_GB2312" w:eastAsia="仿宋_GB2312" w:cs="仿宋_GB2312"/>
          <w:color w:val="333333"/>
          <w:kern w:val="0"/>
          <w:sz w:val="30"/>
          <w:szCs w:val="30"/>
          <w:lang w:bidi="ar"/>
        </w:rPr>
        <w:t xml:space="preserve">13.对个人和家庭的补助反映政府用于对个人和家庭的补助支出。 </w:t>
      </w:r>
    </w:p>
    <w:p>
      <w:pPr>
        <w:keepNext w:val="0"/>
        <w:keepLines w:val="0"/>
        <w:pageBreakBefore w:val="0"/>
        <w:widowControl/>
        <w:kinsoku/>
        <w:wordWrap/>
        <w:overflowPunct/>
        <w:topLinePunct w:val="0"/>
        <w:autoSpaceDE/>
        <w:autoSpaceDN/>
        <w:bidi w:val="0"/>
        <w:adjustRightInd/>
        <w:snapToGrid/>
        <w:spacing w:line="560" w:lineRule="exact"/>
        <w:ind w:firstLine="600" w:firstLineChars="200"/>
        <w:jc w:val="both"/>
        <w:textAlignment w:val="auto"/>
        <w:outlineLvl w:val="9"/>
        <w:rPr>
          <w:rFonts w:ascii="仿宋_GB2312" w:hAnsi="仿宋_GB2312" w:eastAsia="仿宋_GB2312" w:cs="仿宋_GB2312"/>
          <w:kern w:val="0"/>
          <w:sz w:val="30"/>
          <w:szCs w:val="30"/>
        </w:rPr>
      </w:pPr>
      <w:r>
        <w:rPr>
          <w:rFonts w:hint="eastAsia" w:ascii="仿宋_GB2312" w:hAnsi="仿宋_GB2312" w:eastAsia="仿宋_GB2312" w:cs="仿宋_GB2312"/>
          <w:color w:val="333333"/>
          <w:kern w:val="0"/>
          <w:sz w:val="30"/>
          <w:szCs w:val="30"/>
          <w:lang w:bidi="ar"/>
        </w:rPr>
        <w:t>14.政府采购是指各级国家机关、事业单位和团体组织，使用财政性资金采购依法制定的集中采购目录以内的或者采购限额标准以上的货物、工程和服务的行为。</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ascii="楷体_GB2312" w:eastAsia="楷体_GB2312"/>
          <w:kern w:val="0"/>
          <w:sz w:val="30"/>
          <w:szCs w:val="30"/>
        </w:rPr>
      </w:pPr>
      <w:r>
        <w:rPr>
          <w:rFonts w:ascii="楷体_GB2312" w:eastAsia="楷体_GB2312"/>
          <w:kern w:val="0"/>
          <w:sz w:val="30"/>
          <w:szCs w:val="30"/>
        </w:rPr>
        <w:t>（二）</w:t>
      </w:r>
      <w:r>
        <w:rPr>
          <w:rFonts w:hint="eastAsia" w:ascii="楷体_GB2312" w:eastAsia="楷体_GB2312"/>
          <w:kern w:val="0"/>
          <w:sz w:val="30"/>
          <w:szCs w:val="30"/>
          <w:lang w:eastAsia="zh-CN"/>
        </w:rPr>
        <w:t>机关</w:t>
      </w:r>
      <w:r>
        <w:rPr>
          <w:rFonts w:ascii="楷体_GB2312" w:eastAsia="楷体_GB2312"/>
          <w:kern w:val="0"/>
          <w:sz w:val="30"/>
          <w:szCs w:val="30"/>
        </w:rPr>
        <w:t>运行经费安排</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hint="eastAsia" w:ascii="仿宋_GB2312" w:eastAsia="仿宋_GB2312"/>
          <w:kern w:val="0"/>
          <w:sz w:val="30"/>
          <w:szCs w:val="30"/>
          <w:lang w:val="en-US" w:eastAsia="zh-CN"/>
        </w:rPr>
      </w:pPr>
      <w:r>
        <w:rPr>
          <w:rFonts w:hint="eastAsia" w:ascii="仿宋_GB2312" w:eastAsia="仿宋_GB2312"/>
          <w:kern w:val="0"/>
          <w:sz w:val="30"/>
          <w:szCs w:val="30"/>
          <w:lang w:val="en-US" w:eastAsia="zh-CN"/>
        </w:rPr>
        <w:t>无</w:t>
      </w:r>
    </w:p>
    <w:p>
      <w:pPr>
        <w:keepNext w:val="0"/>
        <w:keepLines w:val="0"/>
        <w:pageBreakBefore w:val="0"/>
        <w:widowControl/>
        <w:numPr>
          <w:ilvl w:val="0"/>
          <w:numId w:val="5"/>
        </w:numPr>
        <w:kinsoku/>
        <w:wordWrap/>
        <w:overflowPunct/>
        <w:topLinePunct w:val="0"/>
        <w:autoSpaceDE/>
        <w:autoSpaceDN/>
        <w:bidi w:val="0"/>
        <w:adjustRightInd/>
        <w:snapToGrid/>
        <w:ind w:firstLine="600" w:firstLineChars="200"/>
        <w:jc w:val="both"/>
        <w:textAlignment w:val="auto"/>
        <w:outlineLvl w:val="9"/>
        <w:rPr>
          <w:rFonts w:ascii="楷体_GB2312" w:eastAsia="楷体_GB2312"/>
          <w:kern w:val="0"/>
          <w:sz w:val="30"/>
          <w:szCs w:val="30"/>
        </w:rPr>
      </w:pPr>
      <w:r>
        <w:rPr>
          <w:rFonts w:ascii="楷体_GB2312" w:eastAsia="楷体_GB2312"/>
          <w:kern w:val="0"/>
          <w:sz w:val="30"/>
          <w:szCs w:val="30"/>
        </w:rPr>
        <w:t>国有资产占用情况</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hint="eastAsia" w:ascii="仿宋_GB2312" w:eastAsia="仿宋_GB2312"/>
          <w:kern w:val="0"/>
          <w:sz w:val="30"/>
          <w:szCs w:val="30"/>
        </w:rPr>
      </w:pPr>
      <w:r>
        <w:rPr>
          <w:rFonts w:hint="eastAsia" w:ascii="楷体_GB2312" w:eastAsia="楷体_GB2312"/>
          <w:kern w:val="0"/>
          <w:sz w:val="30"/>
          <w:szCs w:val="30"/>
        </w:rPr>
        <w:t xml:space="preserve"> </w:t>
      </w:r>
      <w:r>
        <w:rPr>
          <w:rFonts w:hint="eastAsia" w:ascii="仿宋_GB2312" w:eastAsia="仿宋_GB2312"/>
          <w:kern w:val="0"/>
          <w:sz w:val="30"/>
          <w:szCs w:val="30"/>
        </w:rPr>
        <w:t>鉴于截至2019年12月31日的国有资产占有使用情况需在完成2019年决算编制后才能统计汇总相关数据，因此，将在公开</w:t>
      </w:r>
      <w:r>
        <w:rPr>
          <w:rFonts w:hint="eastAsia" w:ascii="仿宋_GB2312" w:eastAsia="仿宋_GB2312"/>
          <w:kern w:val="0"/>
          <w:sz w:val="30"/>
          <w:szCs w:val="30"/>
          <w:lang w:val="en-US" w:eastAsia="zh-CN"/>
        </w:rPr>
        <w:t>2019</w:t>
      </w:r>
      <w:r>
        <w:rPr>
          <w:rFonts w:hint="eastAsia" w:ascii="仿宋_GB2312" w:eastAsia="仿宋_GB2312"/>
          <w:kern w:val="0"/>
          <w:sz w:val="30"/>
          <w:szCs w:val="30"/>
        </w:rPr>
        <w:t>年度部门决算时一并公开部门截至2019年12月31日的国有资产占有使用情况。</w:t>
      </w:r>
    </w:p>
    <w:p>
      <w:pPr>
        <w:keepNext w:val="0"/>
        <w:keepLines w:val="0"/>
        <w:pageBreakBefore w:val="0"/>
        <w:widowControl/>
        <w:numPr>
          <w:ilvl w:val="0"/>
          <w:numId w:val="5"/>
        </w:numPr>
        <w:kinsoku/>
        <w:wordWrap/>
        <w:overflowPunct/>
        <w:topLinePunct w:val="0"/>
        <w:autoSpaceDE/>
        <w:autoSpaceDN/>
        <w:bidi w:val="0"/>
        <w:adjustRightInd/>
        <w:snapToGrid/>
        <w:ind w:firstLine="600" w:firstLineChars="200"/>
        <w:jc w:val="both"/>
        <w:textAlignment w:val="auto"/>
        <w:outlineLvl w:val="9"/>
        <w:rPr>
          <w:rFonts w:ascii="楷体_GB2312" w:eastAsia="楷体_GB2312"/>
          <w:kern w:val="0"/>
          <w:sz w:val="30"/>
          <w:szCs w:val="30"/>
        </w:rPr>
      </w:pPr>
      <w:r>
        <w:rPr>
          <w:rFonts w:hint="eastAsia" w:ascii="楷体_GB2312" w:eastAsia="楷体_GB2312"/>
          <w:kern w:val="0"/>
          <w:sz w:val="30"/>
          <w:szCs w:val="30"/>
        </w:rPr>
        <w:t>本部门预算绩效情况说明</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eastAsia="仿宋_GB2312"/>
          <w:kern w:val="0"/>
          <w:sz w:val="30"/>
          <w:szCs w:val="30"/>
        </w:rPr>
      </w:pPr>
      <w:r>
        <w:rPr>
          <w:rFonts w:hint="eastAsia" w:eastAsia="仿宋_GB2312"/>
          <w:kern w:val="0"/>
          <w:sz w:val="30"/>
          <w:szCs w:val="30"/>
          <w:lang w:val="en-US" w:eastAsia="zh-CN"/>
        </w:rPr>
        <w:t xml:space="preserve"> 2019</w:t>
      </w:r>
      <w:r>
        <w:rPr>
          <w:rFonts w:eastAsia="仿宋_GB2312"/>
          <w:kern w:val="0"/>
          <w:sz w:val="30"/>
          <w:szCs w:val="30"/>
        </w:rPr>
        <w:t xml:space="preserve">年部门预算总支出 </w:t>
      </w:r>
      <w:r>
        <w:rPr>
          <w:rFonts w:hint="eastAsia" w:eastAsia="仿宋_GB2312"/>
          <w:kern w:val="0"/>
          <w:sz w:val="30"/>
          <w:szCs w:val="30"/>
          <w:lang w:val="en-US" w:eastAsia="zh-CN"/>
        </w:rPr>
        <w:t>800.43</w:t>
      </w:r>
      <w:r>
        <w:rPr>
          <w:rFonts w:eastAsia="仿宋_GB2312"/>
          <w:kern w:val="0"/>
          <w:sz w:val="30"/>
          <w:szCs w:val="30"/>
        </w:rPr>
        <w:t>万元。</w:t>
      </w:r>
      <w:r>
        <w:rPr>
          <w:rFonts w:hint="eastAsia" w:eastAsia="仿宋_GB2312"/>
          <w:kern w:val="0"/>
          <w:sz w:val="30"/>
          <w:szCs w:val="30"/>
        </w:rPr>
        <w:t>财政拨款</w:t>
      </w:r>
      <w:r>
        <w:rPr>
          <w:rFonts w:eastAsia="仿宋_GB2312"/>
          <w:kern w:val="0"/>
          <w:sz w:val="30"/>
          <w:szCs w:val="30"/>
        </w:rPr>
        <w:t xml:space="preserve">安排支出 </w:t>
      </w:r>
      <w:r>
        <w:rPr>
          <w:rFonts w:hint="eastAsia" w:eastAsia="仿宋_GB2312"/>
          <w:kern w:val="0"/>
          <w:sz w:val="30"/>
          <w:szCs w:val="30"/>
          <w:lang w:val="en-US" w:eastAsia="zh-CN"/>
        </w:rPr>
        <w:t>800.43</w:t>
      </w:r>
      <w:r>
        <w:rPr>
          <w:rFonts w:eastAsia="仿宋_GB2312"/>
          <w:kern w:val="0"/>
          <w:sz w:val="30"/>
          <w:szCs w:val="30"/>
        </w:rPr>
        <w:t>万元，其中，基本支出</w:t>
      </w:r>
      <w:r>
        <w:rPr>
          <w:rFonts w:hint="eastAsia" w:eastAsia="仿宋_GB2312"/>
          <w:kern w:val="0"/>
          <w:sz w:val="30"/>
          <w:szCs w:val="30"/>
          <w:lang w:val="en-US" w:eastAsia="zh-CN"/>
        </w:rPr>
        <w:t>800.43</w:t>
      </w:r>
      <w:r>
        <w:rPr>
          <w:rFonts w:eastAsia="仿宋_GB2312"/>
          <w:kern w:val="0"/>
          <w:sz w:val="30"/>
          <w:szCs w:val="30"/>
        </w:rPr>
        <w:t>万元，</w:t>
      </w:r>
      <w:r>
        <w:rPr>
          <w:rFonts w:hint="eastAsia" w:ascii="仿宋_GB2312" w:eastAsia="仿宋_GB2312"/>
          <w:kern w:val="0"/>
          <w:sz w:val="30"/>
          <w:szCs w:val="30"/>
        </w:rPr>
        <w:t>主要用于发放职工工资，</w:t>
      </w:r>
      <w:r>
        <w:rPr>
          <w:rFonts w:hint="eastAsia" w:ascii="仿宋_GB2312" w:hAnsi="仿宋_GB2312" w:eastAsia="仿宋_GB2312" w:cs="仿宋_GB2312"/>
          <w:kern w:val="0"/>
          <w:sz w:val="30"/>
          <w:szCs w:val="30"/>
        </w:rPr>
        <w:t>归口管理的</w:t>
      </w:r>
      <w:r>
        <w:rPr>
          <w:rFonts w:hint="eastAsia" w:ascii="仿宋_GB2312" w:hAnsi="仿宋_GB2312" w:eastAsia="仿宋_GB2312" w:cs="仿宋_GB2312"/>
          <w:kern w:val="0"/>
          <w:sz w:val="30"/>
          <w:szCs w:val="30"/>
          <w:lang w:eastAsia="zh-CN"/>
        </w:rPr>
        <w:t>事业</w:t>
      </w:r>
      <w:r>
        <w:rPr>
          <w:rFonts w:hint="eastAsia" w:ascii="仿宋_GB2312" w:hAnsi="仿宋_GB2312" w:eastAsia="仿宋_GB2312" w:cs="仿宋_GB2312"/>
          <w:kern w:val="0"/>
          <w:sz w:val="30"/>
          <w:szCs w:val="30"/>
        </w:rPr>
        <w:t>单位离退休、</w:t>
      </w:r>
      <w:r>
        <w:rPr>
          <w:rFonts w:hint="eastAsia" w:ascii="仿宋_GB2312" w:eastAsia="仿宋_GB2312"/>
          <w:kern w:val="0"/>
          <w:sz w:val="30"/>
          <w:szCs w:val="30"/>
        </w:rPr>
        <w:t>基本养老保险缴费，住房公积金，支付公用经费确保机构正常运转</w:t>
      </w:r>
      <w:r>
        <w:rPr>
          <w:rFonts w:hint="eastAsia" w:ascii="仿宋_GB2312" w:eastAsia="仿宋_GB2312"/>
          <w:kern w:val="0"/>
          <w:sz w:val="30"/>
          <w:szCs w:val="30"/>
          <w:lang w:eastAsia="zh-CN"/>
        </w:rPr>
        <w:t>；</w:t>
      </w:r>
      <w:r>
        <w:rPr>
          <w:rFonts w:eastAsia="仿宋_GB2312"/>
          <w:kern w:val="0"/>
          <w:sz w:val="30"/>
          <w:szCs w:val="30"/>
        </w:rPr>
        <w:t>项目支出</w:t>
      </w:r>
      <w:r>
        <w:rPr>
          <w:rFonts w:hint="eastAsia" w:eastAsia="仿宋_GB2312"/>
          <w:kern w:val="0"/>
          <w:sz w:val="30"/>
          <w:szCs w:val="30"/>
          <w:lang w:val="en-US" w:eastAsia="zh-CN"/>
        </w:rPr>
        <w:t>0</w:t>
      </w:r>
      <w:r>
        <w:rPr>
          <w:rFonts w:eastAsia="仿宋_GB2312"/>
          <w:kern w:val="0"/>
          <w:sz w:val="30"/>
          <w:szCs w:val="30"/>
        </w:rPr>
        <w:t>万元。</w:t>
      </w:r>
    </w:p>
    <w:p>
      <w:pPr>
        <w:keepNext w:val="0"/>
        <w:keepLines w:val="0"/>
        <w:pageBreakBefore w:val="0"/>
        <w:widowControl/>
        <w:kinsoku/>
        <w:wordWrap/>
        <w:overflowPunct/>
        <w:topLinePunct w:val="0"/>
        <w:autoSpaceDE/>
        <w:autoSpaceDN/>
        <w:bidi w:val="0"/>
        <w:adjustRightInd/>
        <w:snapToGrid/>
        <w:jc w:val="both"/>
        <w:textAlignment w:val="auto"/>
        <w:rPr>
          <w:rFonts w:hint="eastAsia" w:ascii="仿宋_GB2312" w:eastAsia="仿宋_GB2312"/>
          <w:kern w:val="0"/>
          <w:sz w:val="30"/>
          <w:szCs w:val="30"/>
        </w:rPr>
      </w:pPr>
    </w:p>
    <w:p>
      <w:pPr>
        <w:keepNext w:val="0"/>
        <w:keepLines w:val="0"/>
        <w:pageBreakBefore w:val="0"/>
        <w:widowControl/>
        <w:kinsoku/>
        <w:wordWrap/>
        <w:overflowPunct/>
        <w:topLinePunct w:val="0"/>
        <w:autoSpaceDE/>
        <w:autoSpaceDN/>
        <w:bidi w:val="0"/>
        <w:adjustRightInd/>
        <w:snapToGrid/>
        <w:jc w:val="both"/>
        <w:textAlignment w:val="auto"/>
        <w:rPr>
          <w:rFonts w:ascii="楷体_GB2312" w:eastAsia="楷体_GB2312"/>
          <w:kern w:val="0"/>
          <w:sz w:val="30"/>
          <w:szCs w:val="30"/>
        </w:rPr>
      </w:pPr>
    </w:p>
    <w:bookmarkEnd w:id="0"/>
    <w:sectPr>
      <w:headerReference r:id="rId3" w:type="default"/>
      <w:headerReference r:id="rId4" w:type="even"/>
      <w:pgSz w:w="11906" w:h="16838"/>
      <w:pgMar w:top="1247" w:right="1797" w:bottom="1247"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C3DA9B9"/>
    <w:multiLevelType w:val="singleLevel"/>
    <w:tmpl w:val="5C3DA9B9"/>
    <w:lvl w:ilvl="0" w:tentative="0">
      <w:start w:val="3"/>
      <w:numFmt w:val="chineseCounting"/>
      <w:suff w:val="nothing"/>
      <w:lvlText w:val="（%1）"/>
      <w:lvlJc w:val="left"/>
    </w:lvl>
  </w:abstractNum>
  <w:abstractNum w:abstractNumId="1">
    <w:nsid w:val="5C47BA42"/>
    <w:multiLevelType w:val="singleLevel"/>
    <w:tmpl w:val="5C47BA42"/>
    <w:lvl w:ilvl="0" w:tentative="0">
      <w:start w:val="2"/>
      <w:numFmt w:val="chineseCounting"/>
      <w:suff w:val="nothing"/>
      <w:lvlText w:val="（%1）"/>
      <w:lvlJc w:val="left"/>
    </w:lvl>
  </w:abstractNum>
  <w:abstractNum w:abstractNumId="2">
    <w:nsid w:val="5C47DBBF"/>
    <w:multiLevelType w:val="singleLevel"/>
    <w:tmpl w:val="5C47DBBF"/>
    <w:lvl w:ilvl="0" w:tentative="0">
      <w:start w:val="4"/>
      <w:numFmt w:val="chineseCounting"/>
      <w:suff w:val="nothing"/>
      <w:lvlText w:val="%1、"/>
      <w:lvlJc w:val="left"/>
    </w:lvl>
  </w:abstractNum>
  <w:abstractNum w:abstractNumId="3">
    <w:nsid w:val="5CB6EB83"/>
    <w:multiLevelType w:val="singleLevel"/>
    <w:tmpl w:val="5CB6EB83"/>
    <w:lvl w:ilvl="0" w:tentative="0">
      <w:start w:val="1"/>
      <w:numFmt w:val="chineseCounting"/>
      <w:suff w:val="nothing"/>
      <w:lvlText w:val="（%1）"/>
      <w:lvlJc w:val="left"/>
    </w:lvl>
  </w:abstractNum>
  <w:abstractNum w:abstractNumId="4">
    <w:nsid w:val="5CC00B48"/>
    <w:multiLevelType w:val="singleLevel"/>
    <w:tmpl w:val="5CC00B48"/>
    <w:lvl w:ilvl="0" w:tentative="0">
      <w:start w:val="3"/>
      <w:numFmt w:val="chineseCounting"/>
      <w:suff w:val="nothing"/>
      <w:lvlText w:val="（%1）"/>
      <w:lvlJc w:val="left"/>
    </w:lvl>
  </w:abstractNum>
  <w:num w:numId="1">
    <w:abstractNumId w:val="4"/>
  </w:num>
  <w:num w:numId="2">
    <w:abstractNumId w:val="2"/>
  </w:num>
  <w:num w:numId="3">
    <w:abstractNumId w:val="1"/>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val="0"/>
  <w:bordersDoNotSurroundFooter w:val="0"/>
  <w:doNotTrackMoves/>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45AD5"/>
    <w:rsid w:val="0000585F"/>
    <w:rsid w:val="0000790E"/>
    <w:rsid w:val="00010713"/>
    <w:rsid w:val="00011F4A"/>
    <w:rsid w:val="00012FB3"/>
    <w:rsid w:val="00014D4F"/>
    <w:rsid w:val="000152A5"/>
    <w:rsid w:val="000237AB"/>
    <w:rsid w:val="0003248D"/>
    <w:rsid w:val="00034005"/>
    <w:rsid w:val="0005317B"/>
    <w:rsid w:val="000543CA"/>
    <w:rsid w:val="00054EA9"/>
    <w:rsid w:val="000559B2"/>
    <w:rsid w:val="00060B5F"/>
    <w:rsid w:val="00063177"/>
    <w:rsid w:val="00064C37"/>
    <w:rsid w:val="00070204"/>
    <w:rsid w:val="00073344"/>
    <w:rsid w:val="00074721"/>
    <w:rsid w:val="00081157"/>
    <w:rsid w:val="00083CB1"/>
    <w:rsid w:val="00085843"/>
    <w:rsid w:val="000860FB"/>
    <w:rsid w:val="000952C1"/>
    <w:rsid w:val="00096A53"/>
    <w:rsid w:val="000A03E5"/>
    <w:rsid w:val="000A07EA"/>
    <w:rsid w:val="000A1122"/>
    <w:rsid w:val="000A6A4C"/>
    <w:rsid w:val="000A74AF"/>
    <w:rsid w:val="000A7B19"/>
    <w:rsid w:val="000B0125"/>
    <w:rsid w:val="000B59B5"/>
    <w:rsid w:val="000B5BAB"/>
    <w:rsid w:val="000B7EA9"/>
    <w:rsid w:val="000C3AE5"/>
    <w:rsid w:val="000C5123"/>
    <w:rsid w:val="000D4394"/>
    <w:rsid w:val="000E2B18"/>
    <w:rsid w:val="000E530D"/>
    <w:rsid w:val="000F365A"/>
    <w:rsid w:val="000F4C86"/>
    <w:rsid w:val="001046C0"/>
    <w:rsid w:val="00104701"/>
    <w:rsid w:val="00114FB7"/>
    <w:rsid w:val="00122B32"/>
    <w:rsid w:val="00123DF3"/>
    <w:rsid w:val="00126D02"/>
    <w:rsid w:val="00126F40"/>
    <w:rsid w:val="00127A6B"/>
    <w:rsid w:val="001341D1"/>
    <w:rsid w:val="0013430D"/>
    <w:rsid w:val="0013484F"/>
    <w:rsid w:val="00134BE4"/>
    <w:rsid w:val="0013549C"/>
    <w:rsid w:val="001418E2"/>
    <w:rsid w:val="0014446D"/>
    <w:rsid w:val="001446A5"/>
    <w:rsid w:val="0014486B"/>
    <w:rsid w:val="00144CF1"/>
    <w:rsid w:val="0014558B"/>
    <w:rsid w:val="00146960"/>
    <w:rsid w:val="00155639"/>
    <w:rsid w:val="00155D5E"/>
    <w:rsid w:val="00157BA7"/>
    <w:rsid w:val="001704E4"/>
    <w:rsid w:val="00175223"/>
    <w:rsid w:val="00175B2E"/>
    <w:rsid w:val="00176F17"/>
    <w:rsid w:val="001804E3"/>
    <w:rsid w:val="00180C9A"/>
    <w:rsid w:val="00182D13"/>
    <w:rsid w:val="00183B42"/>
    <w:rsid w:val="00186C54"/>
    <w:rsid w:val="00192C05"/>
    <w:rsid w:val="00197CAA"/>
    <w:rsid w:val="00197E5D"/>
    <w:rsid w:val="001A1B3A"/>
    <w:rsid w:val="001A3CEE"/>
    <w:rsid w:val="001A784A"/>
    <w:rsid w:val="001B045D"/>
    <w:rsid w:val="001C1C89"/>
    <w:rsid w:val="001C55D5"/>
    <w:rsid w:val="001D120C"/>
    <w:rsid w:val="001E03BD"/>
    <w:rsid w:val="001E684A"/>
    <w:rsid w:val="00200BD6"/>
    <w:rsid w:val="00213694"/>
    <w:rsid w:val="00216177"/>
    <w:rsid w:val="002230AE"/>
    <w:rsid w:val="002247D0"/>
    <w:rsid w:val="00224F80"/>
    <w:rsid w:val="0022507C"/>
    <w:rsid w:val="00226979"/>
    <w:rsid w:val="002406F5"/>
    <w:rsid w:val="00242E76"/>
    <w:rsid w:val="00243464"/>
    <w:rsid w:val="002462A8"/>
    <w:rsid w:val="00247731"/>
    <w:rsid w:val="00253C74"/>
    <w:rsid w:val="00262BAD"/>
    <w:rsid w:val="002726B1"/>
    <w:rsid w:val="002727D0"/>
    <w:rsid w:val="002749C8"/>
    <w:rsid w:val="00275325"/>
    <w:rsid w:val="00281C06"/>
    <w:rsid w:val="00285DC4"/>
    <w:rsid w:val="00294AE7"/>
    <w:rsid w:val="002A7BAE"/>
    <w:rsid w:val="002B11FA"/>
    <w:rsid w:val="002B2CA6"/>
    <w:rsid w:val="002B34ED"/>
    <w:rsid w:val="002B37A7"/>
    <w:rsid w:val="002B4342"/>
    <w:rsid w:val="002B56EB"/>
    <w:rsid w:val="002B6D47"/>
    <w:rsid w:val="002C2555"/>
    <w:rsid w:val="002C7D21"/>
    <w:rsid w:val="002D27CD"/>
    <w:rsid w:val="002D3EC0"/>
    <w:rsid w:val="002D729F"/>
    <w:rsid w:val="002E0E3C"/>
    <w:rsid w:val="002E1812"/>
    <w:rsid w:val="002E2F7F"/>
    <w:rsid w:val="002E4B20"/>
    <w:rsid w:val="002E5FC6"/>
    <w:rsid w:val="002E6D7D"/>
    <w:rsid w:val="002F2C1E"/>
    <w:rsid w:val="002F6E99"/>
    <w:rsid w:val="00300C47"/>
    <w:rsid w:val="003050B6"/>
    <w:rsid w:val="0030726B"/>
    <w:rsid w:val="0031118B"/>
    <w:rsid w:val="0031122F"/>
    <w:rsid w:val="00315EFA"/>
    <w:rsid w:val="00316408"/>
    <w:rsid w:val="003179FB"/>
    <w:rsid w:val="00323A51"/>
    <w:rsid w:val="003244C9"/>
    <w:rsid w:val="0032468B"/>
    <w:rsid w:val="00327119"/>
    <w:rsid w:val="003333E4"/>
    <w:rsid w:val="00336580"/>
    <w:rsid w:val="0034184B"/>
    <w:rsid w:val="003535EB"/>
    <w:rsid w:val="00354D29"/>
    <w:rsid w:val="00356356"/>
    <w:rsid w:val="00360593"/>
    <w:rsid w:val="00360EF7"/>
    <w:rsid w:val="00361A07"/>
    <w:rsid w:val="003710A2"/>
    <w:rsid w:val="00372470"/>
    <w:rsid w:val="00376707"/>
    <w:rsid w:val="0037788A"/>
    <w:rsid w:val="0038029B"/>
    <w:rsid w:val="00383096"/>
    <w:rsid w:val="00392AA8"/>
    <w:rsid w:val="003931E6"/>
    <w:rsid w:val="003A324A"/>
    <w:rsid w:val="003A73EF"/>
    <w:rsid w:val="003B2514"/>
    <w:rsid w:val="003B54C2"/>
    <w:rsid w:val="003B5BA8"/>
    <w:rsid w:val="003C0093"/>
    <w:rsid w:val="003C1BE1"/>
    <w:rsid w:val="003C6315"/>
    <w:rsid w:val="003D1204"/>
    <w:rsid w:val="003D160D"/>
    <w:rsid w:val="003D35F4"/>
    <w:rsid w:val="003D6601"/>
    <w:rsid w:val="003D6C9A"/>
    <w:rsid w:val="003E2D1F"/>
    <w:rsid w:val="003E2DE1"/>
    <w:rsid w:val="003E5754"/>
    <w:rsid w:val="003F171F"/>
    <w:rsid w:val="003F201E"/>
    <w:rsid w:val="003F3C0C"/>
    <w:rsid w:val="0040002C"/>
    <w:rsid w:val="00400C3B"/>
    <w:rsid w:val="00402B1E"/>
    <w:rsid w:val="00403507"/>
    <w:rsid w:val="00403546"/>
    <w:rsid w:val="00404DA0"/>
    <w:rsid w:val="004158B8"/>
    <w:rsid w:val="00416B98"/>
    <w:rsid w:val="00421A99"/>
    <w:rsid w:val="0042780C"/>
    <w:rsid w:val="0043232E"/>
    <w:rsid w:val="00432BAC"/>
    <w:rsid w:val="00445161"/>
    <w:rsid w:val="004457F4"/>
    <w:rsid w:val="004472BF"/>
    <w:rsid w:val="00447C85"/>
    <w:rsid w:val="004544A9"/>
    <w:rsid w:val="00455E38"/>
    <w:rsid w:val="00456CDD"/>
    <w:rsid w:val="004605B3"/>
    <w:rsid w:val="00467CD2"/>
    <w:rsid w:val="004718A9"/>
    <w:rsid w:val="00476EC1"/>
    <w:rsid w:val="00480582"/>
    <w:rsid w:val="0048694C"/>
    <w:rsid w:val="004911B1"/>
    <w:rsid w:val="00495E43"/>
    <w:rsid w:val="004A362F"/>
    <w:rsid w:val="004A742B"/>
    <w:rsid w:val="004B29ED"/>
    <w:rsid w:val="004B50FC"/>
    <w:rsid w:val="004C064B"/>
    <w:rsid w:val="004C1CDF"/>
    <w:rsid w:val="004D26D3"/>
    <w:rsid w:val="004D3A59"/>
    <w:rsid w:val="004D6E1D"/>
    <w:rsid w:val="004F2C44"/>
    <w:rsid w:val="004F4F9F"/>
    <w:rsid w:val="004F5C1B"/>
    <w:rsid w:val="005054B5"/>
    <w:rsid w:val="00505533"/>
    <w:rsid w:val="00506344"/>
    <w:rsid w:val="005148D7"/>
    <w:rsid w:val="00521069"/>
    <w:rsid w:val="005248EA"/>
    <w:rsid w:val="0052572D"/>
    <w:rsid w:val="005431C8"/>
    <w:rsid w:val="005463F4"/>
    <w:rsid w:val="00552BA8"/>
    <w:rsid w:val="0055409A"/>
    <w:rsid w:val="00563EEF"/>
    <w:rsid w:val="00572E90"/>
    <w:rsid w:val="00575EDA"/>
    <w:rsid w:val="00591B91"/>
    <w:rsid w:val="005952DC"/>
    <w:rsid w:val="005A00B7"/>
    <w:rsid w:val="005A1F0D"/>
    <w:rsid w:val="005A51EE"/>
    <w:rsid w:val="005B0445"/>
    <w:rsid w:val="005B0A4A"/>
    <w:rsid w:val="005B5412"/>
    <w:rsid w:val="005B679B"/>
    <w:rsid w:val="005B77D3"/>
    <w:rsid w:val="005C470B"/>
    <w:rsid w:val="005C66D3"/>
    <w:rsid w:val="005D245F"/>
    <w:rsid w:val="005D3061"/>
    <w:rsid w:val="005D6260"/>
    <w:rsid w:val="005D6D58"/>
    <w:rsid w:val="005E6A58"/>
    <w:rsid w:val="005F310F"/>
    <w:rsid w:val="00602B8A"/>
    <w:rsid w:val="0060314C"/>
    <w:rsid w:val="00610CF7"/>
    <w:rsid w:val="00612D63"/>
    <w:rsid w:val="00614B12"/>
    <w:rsid w:val="006150EC"/>
    <w:rsid w:val="006164DB"/>
    <w:rsid w:val="0061679D"/>
    <w:rsid w:val="006253D8"/>
    <w:rsid w:val="00626153"/>
    <w:rsid w:val="006374A1"/>
    <w:rsid w:val="00651B6C"/>
    <w:rsid w:val="006540CB"/>
    <w:rsid w:val="00660B2A"/>
    <w:rsid w:val="00663D84"/>
    <w:rsid w:val="00682553"/>
    <w:rsid w:val="0068515C"/>
    <w:rsid w:val="0068667C"/>
    <w:rsid w:val="006A26A0"/>
    <w:rsid w:val="006A4FDA"/>
    <w:rsid w:val="006B1C07"/>
    <w:rsid w:val="006B3DA5"/>
    <w:rsid w:val="006B5B25"/>
    <w:rsid w:val="006B7827"/>
    <w:rsid w:val="006D0172"/>
    <w:rsid w:val="006E1A3A"/>
    <w:rsid w:val="006E2230"/>
    <w:rsid w:val="006E2B9C"/>
    <w:rsid w:val="006E7E4C"/>
    <w:rsid w:val="006F02E3"/>
    <w:rsid w:val="006F1C64"/>
    <w:rsid w:val="006F3C19"/>
    <w:rsid w:val="00700438"/>
    <w:rsid w:val="007013C6"/>
    <w:rsid w:val="00715660"/>
    <w:rsid w:val="007328B9"/>
    <w:rsid w:val="007336B0"/>
    <w:rsid w:val="0073563C"/>
    <w:rsid w:val="00735ADA"/>
    <w:rsid w:val="00735D71"/>
    <w:rsid w:val="00736386"/>
    <w:rsid w:val="0074138A"/>
    <w:rsid w:val="00750940"/>
    <w:rsid w:val="00751AB4"/>
    <w:rsid w:val="0076269B"/>
    <w:rsid w:val="00765E00"/>
    <w:rsid w:val="00766131"/>
    <w:rsid w:val="0077005A"/>
    <w:rsid w:val="00772DB4"/>
    <w:rsid w:val="00780AAD"/>
    <w:rsid w:val="0078371A"/>
    <w:rsid w:val="00783A4C"/>
    <w:rsid w:val="0079250C"/>
    <w:rsid w:val="00794375"/>
    <w:rsid w:val="007A05BD"/>
    <w:rsid w:val="007A7078"/>
    <w:rsid w:val="007A725D"/>
    <w:rsid w:val="007B4A0F"/>
    <w:rsid w:val="007C05CB"/>
    <w:rsid w:val="007C1922"/>
    <w:rsid w:val="007C3153"/>
    <w:rsid w:val="007C7656"/>
    <w:rsid w:val="007D066F"/>
    <w:rsid w:val="007D1AE5"/>
    <w:rsid w:val="007D5A91"/>
    <w:rsid w:val="007E3441"/>
    <w:rsid w:val="007E460F"/>
    <w:rsid w:val="007E68C9"/>
    <w:rsid w:val="007E76F1"/>
    <w:rsid w:val="007F1DA0"/>
    <w:rsid w:val="00803F6B"/>
    <w:rsid w:val="00805901"/>
    <w:rsid w:val="00811B53"/>
    <w:rsid w:val="00816BAB"/>
    <w:rsid w:val="00817514"/>
    <w:rsid w:val="00825E03"/>
    <w:rsid w:val="00827ECC"/>
    <w:rsid w:val="0083106D"/>
    <w:rsid w:val="0083313F"/>
    <w:rsid w:val="00834D98"/>
    <w:rsid w:val="00835730"/>
    <w:rsid w:val="00835F23"/>
    <w:rsid w:val="0084210A"/>
    <w:rsid w:val="00845657"/>
    <w:rsid w:val="0084624C"/>
    <w:rsid w:val="00851C1D"/>
    <w:rsid w:val="00864E02"/>
    <w:rsid w:val="00874702"/>
    <w:rsid w:val="008775B4"/>
    <w:rsid w:val="008808A6"/>
    <w:rsid w:val="00884461"/>
    <w:rsid w:val="00885B69"/>
    <w:rsid w:val="008A159E"/>
    <w:rsid w:val="008A38E5"/>
    <w:rsid w:val="008A3F94"/>
    <w:rsid w:val="008A4B32"/>
    <w:rsid w:val="008A6037"/>
    <w:rsid w:val="008B2777"/>
    <w:rsid w:val="008B3519"/>
    <w:rsid w:val="008B4667"/>
    <w:rsid w:val="008B7085"/>
    <w:rsid w:val="008C0CBC"/>
    <w:rsid w:val="008C1602"/>
    <w:rsid w:val="008C1FFC"/>
    <w:rsid w:val="008D1AD8"/>
    <w:rsid w:val="008D2E7D"/>
    <w:rsid w:val="008D5FED"/>
    <w:rsid w:val="008E0B11"/>
    <w:rsid w:val="008E2734"/>
    <w:rsid w:val="008E5296"/>
    <w:rsid w:val="008F35F1"/>
    <w:rsid w:val="008F3FB1"/>
    <w:rsid w:val="009008F4"/>
    <w:rsid w:val="00901A1A"/>
    <w:rsid w:val="009020BF"/>
    <w:rsid w:val="00905BB4"/>
    <w:rsid w:val="00907813"/>
    <w:rsid w:val="00911B9D"/>
    <w:rsid w:val="009142F4"/>
    <w:rsid w:val="00921C07"/>
    <w:rsid w:val="00930A10"/>
    <w:rsid w:val="0093199F"/>
    <w:rsid w:val="00932958"/>
    <w:rsid w:val="00947CC7"/>
    <w:rsid w:val="00951519"/>
    <w:rsid w:val="009535AF"/>
    <w:rsid w:val="0096301A"/>
    <w:rsid w:val="00964D6C"/>
    <w:rsid w:val="00965133"/>
    <w:rsid w:val="00965E0F"/>
    <w:rsid w:val="00971AD3"/>
    <w:rsid w:val="00980F62"/>
    <w:rsid w:val="00981123"/>
    <w:rsid w:val="00982629"/>
    <w:rsid w:val="0098468C"/>
    <w:rsid w:val="0098667C"/>
    <w:rsid w:val="009907B9"/>
    <w:rsid w:val="00992351"/>
    <w:rsid w:val="009A08B6"/>
    <w:rsid w:val="009A2377"/>
    <w:rsid w:val="009A4D11"/>
    <w:rsid w:val="009B3ED3"/>
    <w:rsid w:val="009B4ADC"/>
    <w:rsid w:val="009C1730"/>
    <w:rsid w:val="009D6232"/>
    <w:rsid w:val="009E15D4"/>
    <w:rsid w:val="009F25BD"/>
    <w:rsid w:val="009F3C7E"/>
    <w:rsid w:val="009F5646"/>
    <w:rsid w:val="009F7873"/>
    <w:rsid w:val="009F7979"/>
    <w:rsid w:val="009F7AE7"/>
    <w:rsid w:val="00A03FA7"/>
    <w:rsid w:val="00A06395"/>
    <w:rsid w:val="00A06AEF"/>
    <w:rsid w:val="00A10700"/>
    <w:rsid w:val="00A14D49"/>
    <w:rsid w:val="00A15184"/>
    <w:rsid w:val="00A1637D"/>
    <w:rsid w:val="00A2566B"/>
    <w:rsid w:val="00A32086"/>
    <w:rsid w:val="00A34E84"/>
    <w:rsid w:val="00A352B0"/>
    <w:rsid w:val="00A37886"/>
    <w:rsid w:val="00A472C6"/>
    <w:rsid w:val="00A51E78"/>
    <w:rsid w:val="00A570A1"/>
    <w:rsid w:val="00A60974"/>
    <w:rsid w:val="00A61DCD"/>
    <w:rsid w:val="00A65535"/>
    <w:rsid w:val="00A724CF"/>
    <w:rsid w:val="00A7532F"/>
    <w:rsid w:val="00A761CF"/>
    <w:rsid w:val="00A81682"/>
    <w:rsid w:val="00A84D92"/>
    <w:rsid w:val="00A84E65"/>
    <w:rsid w:val="00A95B6C"/>
    <w:rsid w:val="00AA7480"/>
    <w:rsid w:val="00AB1481"/>
    <w:rsid w:val="00AB2ABB"/>
    <w:rsid w:val="00AB5C67"/>
    <w:rsid w:val="00AB7C98"/>
    <w:rsid w:val="00AC47D9"/>
    <w:rsid w:val="00AD0DA1"/>
    <w:rsid w:val="00AE0209"/>
    <w:rsid w:val="00AE2095"/>
    <w:rsid w:val="00AE5322"/>
    <w:rsid w:val="00AE5FEF"/>
    <w:rsid w:val="00AE73E2"/>
    <w:rsid w:val="00AF1CF9"/>
    <w:rsid w:val="00AF2AE3"/>
    <w:rsid w:val="00AF7B4F"/>
    <w:rsid w:val="00AF7C58"/>
    <w:rsid w:val="00B05787"/>
    <w:rsid w:val="00B10153"/>
    <w:rsid w:val="00B15323"/>
    <w:rsid w:val="00B259AC"/>
    <w:rsid w:val="00B268D9"/>
    <w:rsid w:val="00B26EC9"/>
    <w:rsid w:val="00B31B8F"/>
    <w:rsid w:val="00B333B0"/>
    <w:rsid w:val="00B43561"/>
    <w:rsid w:val="00B440DB"/>
    <w:rsid w:val="00B4415D"/>
    <w:rsid w:val="00B45103"/>
    <w:rsid w:val="00B45D24"/>
    <w:rsid w:val="00B52992"/>
    <w:rsid w:val="00B538C6"/>
    <w:rsid w:val="00B62018"/>
    <w:rsid w:val="00B63114"/>
    <w:rsid w:val="00B64A22"/>
    <w:rsid w:val="00B67D14"/>
    <w:rsid w:val="00B700C3"/>
    <w:rsid w:val="00B8042D"/>
    <w:rsid w:val="00B810FF"/>
    <w:rsid w:val="00B8418B"/>
    <w:rsid w:val="00B84519"/>
    <w:rsid w:val="00B87463"/>
    <w:rsid w:val="00B91E5C"/>
    <w:rsid w:val="00BA00E2"/>
    <w:rsid w:val="00BA4255"/>
    <w:rsid w:val="00BA4F5A"/>
    <w:rsid w:val="00BA7BBA"/>
    <w:rsid w:val="00BB3DE5"/>
    <w:rsid w:val="00BB4394"/>
    <w:rsid w:val="00BB5ABD"/>
    <w:rsid w:val="00BC1BA9"/>
    <w:rsid w:val="00BC41E1"/>
    <w:rsid w:val="00BD2FC7"/>
    <w:rsid w:val="00BD6EC1"/>
    <w:rsid w:val="00BE25AF"/>
    <w:rsid w:val="00BE3F11"/>
    <w:rsid w:val="00BF3FBF"/>
    <w:rsid w:val="00C01D14"/>
    <w:rsid w:val="00C04DD5"/>
    <w:rsid w:val="00C073D6"/>
    <w:rsid w:val="00C07645"/>
    <w:rsid w:val="00C12785"/>
    <w:rsid w:val="00C14D2D"/>
    <w:rsid w:val="00C15327"/>
    <w:rsid w:val="00C205DD"/>
    <w:rsid w:val="00C242B2"/>
    <w:rsid w:val="00C25F74"/>
    <w:rsid w:val="00C31FE6"/>
    <w:rsid w:val="00C35546"/>
    <w:rsid w:val="00C4092D"/>
    <w:rsid w:val="00C4278B"/>
    <w:rsid w:val="00C43BD2"/>
    <w:rsid w:val="00C44F90"/>
    <w:rsid w:val="00C47E9C"/>
    <w:rsid w:val="00C52FD7"/>
    <w:rsid w:val="00C57277"/>
    <w:rsid w:val="00C616E4"/>
    <w:rsid w:val="00C648E2"/>
    <w:rsid w:val="00C6603B"/>
    <w:rsid w:val="00C71E3F"/>
    <w:rsid w:val="00C75A4D"/>
    <w:rsid w:val="00C75CE4"/>
    <w:rsid w:val="00C8367C"/>
    <w:rsid w:val="00C83EC8"/>
    <w:rsid w:val="00C84EC9"/>
    <w:rsid w:val="00C90645"/>
    <w:rsid w:val="00C92A41"/>
    <w:rsid w:val="00C95E0F"/>
    <w:rsid w:val="00CA3BAD"/>
    <w:rsid w:val="00CB1858"/>
    <w:rsid w:val="00CC0087"/>
    <w:rsid w:val="00CD0085"/>
    <w:rsid w:val="00CE1BDC"/>
    <w:rsid w:val="00CF3E52"/>
    <w:rsid w:val="00D00043"/>
    <w:rsid w:val="00D003BE"/>
    <w:rsid w:val="00D03468"/>
    <w:rsid w:val="00D03E18"/>
    <w:rsid w:val="00D06094"/>
    <w:rsid w:val="00D110CC"/>
    <w:rsid w:val="00D1310A"/>
    <w:rsid w:val="00D165B0"/>
    <w:rsid w:val="00D249EC"/>
    <w:rsid w:val="00D30CFE"/>
    <w:rsid w:val="00D314BC"/>
    <w:rsid w:val="00D319FC"/>
    <w:rsid w:val="00D37964"/>
    <w:rsid w:val="00D40468"/>
    <w:rsid w:val="00D41BD8"/>
    <w:rsid w:val="00D45FD5"/>
    <w:rsid w:val="00D501E4"/>
    <w:rsid w:val="00D51F3A"/>
    <w:rsid w:val="00D6213F"/>
    <w:rsid w:val="00D62340"/>
    <w:rsid w:val="00D63F18"/>
    <w:rsid w:val="00D6527D"/>
    <w:rsid w:val="00D6795D"/>
    <w:rsid w:val="00D729EC"/>
    <w:rsid w:val="00D74B92"/>
    <w:rsid w:val="00D83A9A"/>
    <w:rsid w:val="00D841C1"/>
    <w:rsid w:val="00D93010"/>
    <w:rsid w:val="00D946E9"/>
    <w:rsid w:val="00D9604F"/>
    <w:rsid w:val="00D9737C"/>
    <w:rsid w:val="00DA76AC"/>
    <w:rsid w:val="00DB3D0C"/>
    <w:rsid w:val="00DB4D49"/>
    <w:rsid w:val="00DB767D"/>
    <w:rsid w:val="00DC07E5"/>
    <w:rsid w:val="00DC395D"/>
    <w:rsid w:val="00DC634D"/>
    <w:rsid w:val="00DD0FFA"/>
    <w:rsid w:val="00DD202C"/>
    <w:rsid w:val="00DD3863"/>
    <w:rsid w:val="00DE5376"/>
    <w:rsid w:val="00DE60D1"/>
    <w:rsid w:val="00DF050A"/>
    <w:rsid w:val="00DF59BD"/>
    <w:rsid w:val="00DF6FC3"/>
    <w:rsid w:val="00DF751A"/>
    <w:rsid w:val="00DF7A31"/>
    <w:rsid w:val="00E01827"/>
    <w:rsid w:val="00E05A1C"/>
    <w:rsid w:val="00E07333"/>
    <w:rsid w:val="00E129EE"/>
    <w:rsid w:val="00E12BAD"/>
    <w:rsid w:val="00E13411"/>
    <w:rsid w:val="00E14AC6"/>
    <w:rsid w:val="00E30F62"/>
    <w:rsid w:val="00E36ECE"/>
    <w:rsid w:val="00E46B69"/>
    <w:rsid w:val="00E573AC"/>
    <w:rsid w:val="00E57B94"/>
    <w:rsid w:val="00E62839"/>
    <w:rsid w:val="00E62E85"/>
    <w:rsid w:val="00E64EE1"/>
    <w:rsid w:val="00E65C1E"/>
    <w:rsid w:val="00E75F13"/>
    <w:rsid w:val="00E76022"/>
    <w:rsid w:val="00E83456"/>
    <w:rsid w:val="00E97D8E"/>
    <w:rsid w:val="00EA25E4"/>
    <w:rsid w:val="00EA3E87"/>
    <w:rsid w:val="00EA7A22"/>
    <w:rsid w:val="00EA7DE2"/>
    <w:rsid w:val="00EB004F"/>
    <w:rsid w:val="00EB6AC3"/>
    <w:rsid w:val="00EC6D59"/>
    <w:rsid w:val="00EC703C"/>
    <w:rsid w:val="00ED0777"/>
    <w:rsid w:val="00ED2DE0"/>
    <w:rsid w:val="00ED6645"/>
    <w:rsid w:val="00ED6F4E"/>
    <w:rsid w:val="00EE37EE"/>
    <w:rsid w:val="00EE6EB1"/>
    <w:rsid w:val="00EF43D5"/>
    <w:rsid w:val="00EF4E23"/>
    <w:rsid w:val="00EF691D"/>
    <w:rsid w:val="00F0000C"/>
    <w:rsid w:val="00F002E5"/>
    <w:rsid w:val="00F03838"/>
    <w:rsid w:val="00F03945"/>
    <w:rsid w:val="00F04C86"/>
    <w:rsid w:val="00F0598E"/>
    <w:rsid w:val="00F11D4E"/>
    <w:rsid w:val="00F12CC8"/>
    <w:rsid w:val="00F20765"/>
    <w:rsid w:val="00F20D44"/>
    <w:rsid w:val="00F238CE"/>
    <w:rsid w:val="00F24EE1"/>
    <w:rsid w:val="00F35CB9"/>
    <w:rsid w:val="00F36445"/>
    <w:rsid w:val="00F37D41"/>
    <w:rsid w:val="00F412D7"/>
    <w:rsid w:val="00F43996"/>
    <w:rsid w:val="00F45AD5"/>
    <w:rsid w:val="00F45F72"/>
    <w:rsid w:val="00F47184"/>
    <w:rsid w:val="00F51398"/>
    <w:rsid w:val="00F521B6"/>
    <w:rsid w:val="00F53C1F"/>
    <w:rsid w:val="00F53D7D"/>
    <w:rsid w:val="00F54201"/>
    <w:rsid w:val="00F5464F"/>
    <w:rsid w:val="00F6446E"/>
    <w:rsid w:val="00F64A92"/>
    <w:rsid w:val="00F657F3"/>
    <w:rsid w:val="00F80BF6"/>
    <w:rsid w:val="00F81802"/>
    <w:rsid w:val="00F82819"/>
    <w:rsid w:val="00F8452D"/>
    <w:rsid w:val="00F95BCB"/>
    <w:rsid w:val="00F96634"/>
    <w:rsid w:val="00F96A5C"/>
    <w:rsid w:val="00FA1FBC"/>
    <w:rsid w:val="00FA2C97"/>
    <w:rsid w:val="00FA2FC5"/>
    <w:rsid w:val="00FB15C3"/>
    <w:rsid w:val="00FB35BE"/>
    <w:rsid w:val="00FC43B8"/>
    <w:rsid w:val="00FC4E58"/>
    <w:rsid w:val="00FC51C4"/>
    <w:rsid w:val="00FC7004"/>
    <w:rsid w:val="00FD06A0"/>
    <w:rsid w:val="00FD13FB"/>
    <w:rsid w:val="00FD228E"/>
    <w:rsid w:val="00FD4E9B"/>
    <w:rsid w:val="00FD7D5F"/>
    <w:rsid w:val="00FE1A2F"/>
    <w:rsid w:val="00FE5F50"/>
    <w:rsid w:val="00FF1B25"/>
    <w:rsid w:val="00FF7A85"/>
    <w:rsid w:val="013261FE"/>
    <w:rsid w:val="02450888"/>
    <w:rsid w:val="025737A0"/>
    <w:rsid w:val="03CD50E7"/>
    <w:rsid w:val="03F0214E"/>
    <w:rsid w:val="04CF1775"/>
    <w:rsid w:val="05401C79"/>
    <w:rsid w:val="05616F12"/>
    <w:rsid w:val="05FF389B"/>
    <w:rsid w:val="061D49D6"/>
    <w:rsid w:val="06325B44"/>
    <w:rsid w:val="06E43398"/>
    <w:rsid w:val="07BF3FAD"/>
    <w:rsid w:val="084A3CB5"/>
    <w:rsid w:val="096C1977"/>
    <w:rsid w:val="0AB77A2F"/>
    <w:rsid w:val="0BDE2460"/>
    <w:rsid w:val="0D1C4BE4"/>
    <w:rsid w:val="0F770C33"/>
    <w:rsid w:val="105A3BDF"/>
    <w:rsid w:val="10665444"/>
    <w:rsid w:val="13967565"/>
    <w:rsid w:val="13F52A67"/>
    <w:rsid w:val="14594CAF"/>
    <w:rsid w:val="16C85A74"/>
    <w:rsid w:val="1778225C"/>
    <w:rsid w:val="18194B15"/>
    <w:rsid w:val="18A451BD"/>
    <w:rsid w:val="1956308C"/>
    <w:rsid w:val="1A0B3DDD"/>
    <w:rsid w:val="1A685806"/>
    <w:rsid w:val="1A6B4761"/>
    <w:rsid w:val="1C226AC4"/>
    <w:rsid w:val="1CBB017E"/>
    <w:rsid w:val="1ED6407B"/>
    <w:rsid w:val="1FC2086B"/>
    <w:rsid w:val="206C0510"/>
    <w:rsid w:val="207165AF"/>
    <w:rsid w:val="21B76D32"/>
    <w:rsid w:val="22922AF4"/>
    <w:rsid w:val="23293A4E"/>
    <w:rsid w:val="23A3706A"/>
    <w:rsid w:val="23AD4812"/>
    <w:rsid w:val="23C6578F"/>
    <w:rsid w:val="242E2599"/>
    <w:rsid w:val="250172E9"/>
    <w:rsid w:val="254005A7"/>
    <w:rsid w:val="25AC4560"/>
    <w:rsid w:val="2649679E"/>
    <w:rsid w:val="26BF2FF3"/>
    <w:rsid w:val="277002DC"/>
    <w:rsid w:val="27AE53E9"/>
    <w:rsid w:val="27E3128E"/>
    <w:rsid w:val="28D26D48"/>
    <w:rsid w:val="29614F3D"/>
    <w:rsid w:val="29F4749C"/>
    <w:rsid w:val="2B696D85"/>
    <w:rsid w:val="2BFE3D78"/>
    <w:rsid w:val="2C562611"/>
    <w:rsid w:val="2D7B7E3A"/>
    <w:rsid w:val="2DA75286"/>
    <w:rsid w:val="2DDB2A82"/>
    <w:rsid w:val="2E8E7120"/>
    <w:rsid w:val="2E9B1762"/>
    <w:rsid w:val="2F3F3D8D"/>
    <w:rsid w:val="2F524578"/>
    <w:rsid w:val="2FD25EA1"/>
    <w:rsid w:val="301343BD"/>
    <w:rsid w:val="30B46EC9"/>
    <w:rsid w:val="30D85C38"/>
    <w:rsid w:val="32130E92"/>
    <w:rsid w:val="33E37726"/>
    <w:rsid w:val="351A2601"/>
    <w:rsid w:val="355518CF"/>
    <w:rsid w:val="359267BA"/>
    <w:rsid w:val="35E066D2"/>
    <w:rsid w:val="368B146B"/>
    <w:rsid w:val="369B6FF2"/>
    <w:rsid w:val="388C1B11"/>
    <w:rsid w:val="39466C4F"/>
    <w:rsid w:val="39BF048F"/>
    <w:rsid w:val="39C10A75"/>
    <w:rsid w:val="3A8C77EA"/>
    <w:rsid w:val="3CC32D4E"/>
    <w:rsid w:val="3CD14228"/>
    <w:rsid w:val="3CEA2C40"/>
    <w:rsid w:val="3DAD1623"/>
    <w:rsid w:val="3F0A02CE"/>
    <w:rsid w:val="41DB1B5E"/>
    <w:rsid w:val="42A72A11"/>
    <w:rsid w:val="43131F13"/>
    <w:rsid w:val="434433FF"/>
    <w:rsid w:val="437348E4"/>
    <w:rsid w:val="438A62FA"/>
    <w:rsid w:val="43C35C3E"/>
    <w:rsid w:val="44A11F66"/>
    <w:rsid w:val="450772FA"/>
    <w:rsid w:val="45166B3A"/>
    <w:rsid w:val="45232F8C"/>
    <w:rsid w:val="4603643C"/>
    <w:rsid w:val="46D61E29"/>
    <w:rsid w:val="48BA0E0E"/>
    <w:rsid w:val="4A940EA9"/>
    <w:rsid w:val="4E1878C9"/>
    <w:rsid w:val="4E702367"/>
    <w:rsid w:val="4F462F65"/>
    <w:rsid w:val="4F506DC2"/>
    <w:rsid w:val="4FA0174F"/>
    <w:rsid w:val="4FC334A8"/>
    <w:rsid w:val="50F26431"/>
    <w:rsid w:val="515A348C"/>
    <w:rsid w:val="528614B4"/>
    <w:rsid w:val="52E246CA"/>
    <w:rsid w:val="52EF63EA"/>
    <w:rsid w:val="54B71DA2"/>
    <w:rsid w:val="55644EF5"/>
    <w:rsid w:val="558B6B6A"/>
    <w:rsid w:val="564C72BA"/>
    <w:rsid w:val="56EB7E9F"/>
    <w:rsid w:val="570925B5"/>
    <w:rsid w:val="5825432A"/>
    <w:rsid w:val="58310B0B"/>
    <w:rsid w:val="58AF09F8"/>
    <w:rsid w:val="58C64621"/>
    <w:rsid w:val="597B1FC3"/>
    <w:rsid w:val="59971416"/>
    <w:rsid w:val="59BE7E19"/>
    <w:rsid w:val="5A212AAE"/>
    <w:rsid w:val="5AB4032D"/>
    <w:rsid w:val="5ABC61E5"/>
    <w:rsid w:val="5C423776"/>
    <w:rsid w:val="5CC61245"/>
    <w:rsid w:val="5DDB63FE"/>
    <w:rsid w:val="5E7D384C"/>
    <w:rsid w:val="5EC939E2"/>
    <w:rsid w:val="5FEE5C03"/>
    <w:rsid w:val="60B52DC5"/>
    <w:rsid w:val="65756AF5"/>
    <w:rsid w:val="65E20823"/>
    <w:rsid w:val="66447E71"/>
    <w:rsid w:val="668F3C24"/>
    <w:rsid w:val="67D95CA6"/>
    <w:rsid w:val="67DD5DBE"/>
    <w:rsid w:val="68083500"/>
    <w:rsid w:val="68C77134"/>
    <w:rsid w:val="68F80CA8"/>
    <w:rsid w:val="690515E6"/>
    <w:rsid w:val="6A8C3BB7"/>
    <w:rsid w:val="6B9E46DF"/>
    <w:rsid w:val="6BAA5358"/>
    <w:rsid w:val="6C9E12B0"/>
    <w:rsid w:val="6CAC668F"/>
    <w:rsid w:val="6DA47EEE"/>
    <w:rsid w:val="6FCD3E36"/>
    <w:rsid w:val="724A4A01"/>
    <w:rsid w:val="72646E07"/>
    <w:rsid w:val="728760C2"/>
    <w:rsid w:val="72F37DB5"/>
    <w:rsid w:val="74F974EE"/>
    <w:rsid w:val="75F37398"/>
    <w:rsid w:val="760B7D25"/>
    <w:rsid w:val="7686104C"/>
    <w:rsid w:val="76C22F3D"/>
    <w:rsid w:val="7779331C"/>
    <w:rsid w:val="77D46EE6"/>
    <w:rsid w:val="783D31F1"/>
    <w:rsid w:val="79910928"/>
    <w:rsid w:val="7A6C6962"/>
    <w:rsid w:val="7AE16F4F"/>
    <w:rsid w:val="7B1E5394"/>
    <w:rsid w:val="7C1C6924"/>
    <w:rsid w:val="7C5C26F2"/>
    <w:rsid w:val="7CC5101A"/>
    <w:rsid w:val="7E39766E"/>
    <w:rsid w:val="7E9E748B"/>
    <w:rsid w:val="7F661CB9"/>
    <w:rsid w:val="7F7C32CF"/>
    <w:rsid w:val="7FBD34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semiHidden="0"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iPriority="0" w:semiHidden="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semiHidden="0"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unhideWhenUsed/>
    <w:qFormat/>
    <w:uiPriority w:val="1"/>
  </w:style>
  <w:style w:type="table" w:default="1" w:styleId="11">
    <w:name w:val="Normal Table"/>
    <w:unhideWhenUsed/>
    <w:qFormat/>
    <w:uiPriority w:val="99"/>
    <w:tblPr>
      <w:tblLayout w:type="fixed"/>
      <w:tblCellMar>
        <w:top w:w="0" w:type="dxa"/>
        <w:left w:w="108" w:type="dxa"/>
        <w:bottom w:w="0" w:type="dxa"/>
        <w:right w:w="108" w:type="dxa"/>
      </w:tblCellMar>
    </w:tblPr>
  </w:style>
  <w:style w:type="paragraph" w:styleId="2">
    <w:name w:val="annotation subject"/>
    <w:basedOn w:val="3"/>
    <w:next w:val="3"/>
    <w:semiHidden/>
    <w:qFormat/>
    <w:uiPriority w:val="0"/>
    <w:rPr>
      <w:b/>
      <w:bCs/>
    </w:rPr>
  </w:style>
  <w:style w:type="paragraph" w:styleId="3">
    <w:name w:val="annotation text"/>
    <w:basedOn w:val="1"/>
    <w:semiHidden/>
    <w:qFormat/>
    <w:uiPriority w:val="0"/>
    <w:pPr>
      <w:jc w:val="left"/>
    </w:pPr>
  </w:style>
  <w:style w:type="paragraph" w:styleId="4">
    <w:name w:val="Balloon Text"/>
    <w:basedOn w:val="1"/>
    <w:semiHidden/>
    <w:qFormat/>
    <w:uiPriority w:val="0"/>
    <w:rPr>
      <w:sz w:val="18"/>
      <w:szCs w:val="18"/>
    </w:rPr>
  </w:style>
  <w:style w:type="paragraph" w:styleId="5">
    <w:name w:val="footer"/>
    <w:basedOn w:val="1"/>
    <w:qFormat/>
    <w:uiPriority w:val="0"/>
    <w:pPr>
      <w:tabs>
        <w:tab w:val="center" w:pos="4153"/>
        <w:tab w:val="right" w:pos="8306"/>
      </w:tabs>
      <w:snapToGrid w:val="0"/>
      <w:jc w:val="left"/>
    </w:pPr>
    <w:rPr>
      <w:sz w:val="18"/>
      <w:szCs w:val="18"/>
    </w:rPr>
  </w:style>
  <w:style w:type="paragraph" w:styleId="6">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7">
    <w:name w:val="Normal (Web)"/>
    <w:basedOn w:val="1"/>
    <w:unhideWhenUsed/>
    <w:qFormat/>
    <w:uiPriority w:val="0"/>
    <w:rPr>
      <w:sz w:val="24"/>
    </w:rPr>
  </w:style>
  <w:style w:type="character" w:styleId="9">
    <w:name w:val="Hyperlink"/>
    <w:basedOn w:val="8"/>
    <w:unhideWhenUsed/>
    <w:qFormat/>
    <w:uiPriority w:val="0"/>
    <w:rPr>
      <w:color w:val="0000FF"/>
      <w:u w:val="single"/>
    </w:rPr>
  </w:style>
  <w:style w:type="character" w:styleId="10">
    <w:name w:val="annotation reference"/>
    <w:semiHidden/>
    <w:qFormat/>
    <w:uiPriority w:val="0"/>
    <w:rPr>
      <w:sz w:val="21"/>
      <w:szCs w:val="21"/>
    </w:rPr>
  </w:style>
  <w:style w:type="paragraph" w:customStyle="1" w:styleId="12">
    <w:name w:val="修订1"/>
    <w:hidden/>
    <w:semiHidden/>
    <w:qFormat/>
    <w:uiPriority w:val="99"/>
    <w:rPr>
      <w:rFonts w:ascii="Times New Roman" w:hAnsi="Times New Roman" w:eastAsia="宋体" w:cs="Times New Roman"/>
      <w:kern w:val="2"/>
      <w:sz w:val="21"/>
      <w:szCs w:val="24"/>
      <w:lang w:val="en-US" w:eastAsia="zh-CN" w:bidi="ar-SA"/>
    </w:rPr>
  </w:style>
  <w:style w:type="paragraph" w:customStyle="1" w:styleId="13">
    <w:name w:val="Normal (Web)"/>
    <w:basedOn w:val="1"/>
    <w:qFormat/>
    <w:uiPriority w:val="0"/>
    <w:pPr>
      <w:jc w:val="left"/>
    </w:pPr>
    <w:rPr>
      <w:kern w:val="0"/>
      <w:sz w:val="24"/>
    </w:rPr>
  </w:style>
  <w:style w:type="paragraph" w:customStyle="1" w:styleId="14">
    <w:name w:val="p0"/>
    <w:basedOn w:val="1"/>
    <w:qFormat/>
    <w:uiPriority w:val="0"/>
    <w:pPr>
      <w:widowControl/>
    </w:pPr>
    <w:rPr>
      <w:rFonts w:ascii="Calibri" w:hAnsi="Calibri" w:cs="宋体"/>
      <w:kern w:val="0"/>
      <w:szCs w:val="21"/>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zhlx</Company>
  <Pages>4</Pages>
  <Words>187</Words>
  <Characters>1070</Characters>
  <Lines>8</Lines>
  <Paragraphs>2</Paragraphs>
  <TotalTime>43</TotalTime>
  <ScaleCrop>false</ScaleCrop>
  <LinksUpToDate>false</LinksUpToDate>
  <CharactersWithSpaces>1255</CharactersWithSpaces>
  <Application>WPS Office_10.8.2.6613_F1E327BC-269C-435d-A152-05C5408002CA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2012-01-07T11:13:00Z</dcterms:created>
  <dc:creator>lx</dc:creator>
  <dc:description>ZHGenApp().GetProperty("Certification")</dc:description>
  <cp:lastModifiedBy>Bruce S</cp:lastModifiedBy>
  <cp:lastPrinted>2018-01-31T03:32:00Z</cp:lastPrinted>
  <dcterms:modified xsi:type="dcterms:W3CDTF">2019-04-29T09:02:06Z</dcterms:modified>
  <dc:title>年部门预算编制说明</dc:title>
  <cp:revision>96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2052-10.8.2.6613</vt:lpwstr>
  </property>
</Properties>
</file>