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jc w:val="both"/>
        <w:textAlignment w:val="auto"/>
        <w:outlineLvl w:val="9"/>
        <w:rPr>
          <w:rFonts w:hint="eastAsia" w:ascii="方正小标宋简体" w:eastAsia="方正小标宋简体"/>
          <w:sz w:val="36"/>
          <w:szCs w:val="36"/>
        </w:rPr>
      </w:pPr>
      <w:r>
        <w:rPr>
          <w:rFonts w:hint="eastAsia" w:ascii="方正小标宋简体" w:hAnsi="方正小标宋简体" w:eastAsia="方正小标宋简体" w:cs="方正小标宋简体"/>
          <w:sz w:val="36"/>
          <w:szCs w:val="36"/>
          <w:lang w:eastAsia="zh-CN"/>
        </w:rPr>
        <w:t>盈江县旧城镇中心学校</w:t>
      </w:r>
      <w:r>
        <w:rPr>
          <w:rFonts w:hint="eastAsia" w:ascii="方正小标宋简体" w:hAnsi="方正小标宋简体" w:eastAsia="方正小标宋简体" w:cs="方正小标宋简体"/>
          <w:sz w:val="36"/>
          <w:szCs w:val="36"/>
          <w:lang w:val="en-US" w:eastAsia="zh-CN"/>
        </w:rPr>
        <w:t>2019</w:t>
      </w:r>
      <w:r>
        <w:rPr>
          <w:rFonts w:hint="eastAsia" w:ascii="方正小标宋简体" w:hAnsi="方正小标宋简体" w:eastAsia="方正小标宋简体" w:cs="方正小标宋简体"/>
          <w:sz w:val="36"/>
          <w:szCs w:val="36"/>
        </w:rPr>
        <w:t>年</w:t>
      </w:r>
      <w:r>
        <w:rPr>
          <w:rFonts w:hint="eastAsia" w:ascii="方正小标宋简体" w:hAnsi="方正小标宋简体" w:eastAsia="方正小标宋简体" w:cs="方正小标宋简体"/>
          <w:sz w:val="36"/>
          <w:szCs w:val="36"/>
          <w:lang w:eastAsia="zh-CN"/>
        </w:rPr>
        <w:t>部门</w:t>
      </w:r>
      <w:r>
        <w:rPr>
          <w:rFonts w:hint="eastAsia" w:ascii="方正小标宋简体" w:hAnsi="方正小标宋简体" w:eastAsia="方正小标宋简体" w:cs="方正小标宋简体"/>
          <w:sz w:val="36"/>
          <w:szCs w:val="36"/>
        </w:rPr>
        <w:t>预算</w:t>
      </w:r>
      <w:r>
        <w:rPr>
          <w:rFonts w:hint="eastAsia" w:ascii="方正小标宋简体" w:hAnsi="方正小标宋简体" w:eastAsia="方正小标宋简体" w:cs="方正小标宋简体"/>
          <w:sz w:val="36"/>
          <w:szCs w:val="36"/>
          <w:lang w:eastAsia="zh-CN"/>
        </w:rPr>
        <w:t>公开</w:t>
      </w:r>
      <w:r>
        <w:rPr>
          <w:rFonts w:hint="eastAsia" w:ascii="方正小标宋简体" w:eastAsia="方正小标宋简体"/>
          <w:sz w:val="36"/>
          <w:szCs w:val="36"/>
        </w:rPr>
        <w:t>目录</w:t>
      </w:r>
    </w:p>
    <w:p>
      <w:pPr>
        <w:keepNext w:val="0"/>
        <w:keepLines w:val="0"/>
        <w:pageBreakBefore w:val="0"/>
        <w:kinsoku/>
        <w:wordWrap/>
        <w:overflowPunct/>
        <w:topLinePunct w:val="0"/>
        <w:autoSpaceDE/>
        <w:autoSpaceDN/>
        <w:bidi w:val="0"/>
        <w:adjustRightInd/>
        <w:snapToGrid/>
        <w:jc w:val="both"/>
        <w:textAlignment w:val="auto"/>
        <w:outlineLvl w:val="9"/>
        <w:rPr>
          <w:rFonts w:hint="eastAsia" w:ascii="黑体" w:hAnsi="黑体" w:eastAsia="黑体"/>
          <w:sz w:val="30"/>
          <w:szCs w:val="30"/>
        </w:rPr>
      </w:pPr>
    </w:p>
    <w:p>
      <w:pPr>
        <w:keepNext w:val="0"/>
        <w:keepLines w:val="0"/>
        <w:pageBreakBefore w:val="0"/>
        <w:kinsoku/>
        <w:wordWrap/>
        <w:overflowPunct/>
        <w:topLinePunct w:val="0"/>
        <w:autoSpaceDE/>
        <w:autoSpaceDN/>
        <w:bidi w:val="0"/>
        <w:adjustRightInd/>
        <w:snapToGrid/>
        <w:jc w:val="both"/>
        <w:textAlignment w:val="auto"/>
        <w:outlineLvl w:val="9"/>
        <w:rPr>
          <w:rFonts w:hint="eastAsia" w:ascii="黑体" w:hAnsi="黑体" w:eastAsia="黑体"/>
          <w:sz w:val="30"/>
          <w:szCs w:val="30"/>
        </w:rPr>
      </w:pPr>
      <w:r>
        <w:rPr>
          <w:rFonts w:hint="eastAsia" w:ascii="黑体" w:hAnsi="黑体" w:eastAsia="黑体"/>
          <w:sz w:val="30"/>
          <w:szCs w:val="30"/>
        </w:rPr>
        <w:t>第一部分</w:t>
      </w:r>
      <w:r>
        <w:rPr>
          <w:rFonts w:hint="eastAsia" w:ascii="黑体" w:hAnsi="黑体" w:eastAsia="黑体"/>
          <w:sz w:val="30"/>
          <w:szCs w:val="30"/>
          <w:lang w:eastAsia="zh-CN"/>
        </w:rPr>
        <w:t>盈江县旧城镇中心学校</w:t>
      </w:r>
      <w:r>
        <w:rPr>
          <w:rFonts w:hint="eastAsia" w:ascii="黑体" w:hAnsi="黑体" w:eastAsia="黑体"/>
          <w:sz w:val="30"/>
          <w:szCs w:val="30"/>
          <w:lang w:val="en-US" w:eastAsia="zh-CN"/>
        </w:rPr>
        <w:t>2019</w:t>
      </w:r>
      <w:r>
        <w:rPr>
          <w:rFonts w:hint="eastAsia" w:ascii="黑体" w:hAnsi="黑体" w:eastAsia="黑体"/>
          <w:sz w:val="30"/>
          <w:szCs w:val="30"/>
        </w:rPr>
        <w:t>年部门预算编制说明</w:t>
      </w:r>
    </w:p>
    <w:p>
      <w:pPr>
        <w:keepNext w:val="0"/>
        <w:keepLines w:val="0"/>
        <w:pageBreakBefore w:val="0"/>
        <w:kinsoku/>
        <w:wordWrap/>
        <w:overflowPunct/>
        <w:topLinePunct w:val="0"/>
        <w:autoSpaceDE/>
        <w:autoSpaceDN/>
        <w:bidi w:val="0"/>
        <w:adjustRightInd/>
        <w:snapToGrid/>
        <w:jc w:val="both"/>
        <w:textAlignment w:val="auto"/>
        <w:outlineLvl w:val="9"/>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盈江县旧城镇中心学校</w:t>
      </w:r>
      <w:r>
        <w:rPr>
          <w:rFonts w:hint="eastAsia" w:ascii="黑体" w:hAnsi="黑体" w:eastAsia="黑体"/>
          <w:sz w:val="30"/>
          <w:szCs w:val="30"/>
          <w:lang w:val="en-US" w:eastAsia="zh-CN"/>
        </w:rPr>
        <w:t>2019</w:t>
      </w:r>
      <w:r>
        <w:rPr>
          <w:rFonts w:hint="eastAsia" w:ascii="黑体" w:hAnsi="黑体" w:eastAsia="黑体"/>
          <w:sz w:val="30"/>
          <w:szCs w:val="30"/>
        </w:rPr>
        <w:t>年部门预算表</w:t>
      </w:r>
    </w:p>
    <w:p>
      <w:pPr>
        <w:keepNext w:val="0"/>
        <w:keepLines w:val="0"/>
        <w:pageBreakBefore w:val="0"/>
        <w:kinsoku/>
        <w:wordWrap/>
        <w:overflowPunct/>
        <w:topLinePunct w:val="0"/>
        <w:autoSpaceDE/>
        <w:autoSpaceDN/>
        <w:bidi w:val="0"/>
        <w:adjustRightInd/>
        <w:snapToGrid/>
        <w:jc w:val="both"/>
        <w:textAlignment w:val="auto"/>
        <w:outlineLvl w:val="9"/>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keepNext w:val="0"/>
        <w:keepLines w:val="0"/>
        <w:pageBreakBefore w:val="0"/>
        <w:kinsoku/>
        <w:wordWrap/>
        <w:overflowPunct/>
        <w:topLinePunct w:val="0"/>
        <w:autoSpaceDE/>
        <w:autoSpaceDN/>
        <w:bidi w:val="0"/>
        <w:adjustRightInd/>
        <w:snapToGrid/>
        <w:jc w:val="both"/>
        <w:textAlignment w:val="auto"/>
        <w:outlineLvl w:val="9"/>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keepNext w:val="0"/>
        <w:keepLines w:val="0"/>
        <w:pageBreakBefore w:val="0"/>
        <w:kinsoku/>
        <w:wordWrap/>
        <w:overflowPunct/>
        <w:topLinePunct w:val="0"/>
        <w:autoSpaceDE/>
        <w:autoSpaceDN/>
        <w:bidi w:val="0"/>
        <w:adjustRightInd/>
        <w:snapToGrid/>
        <w:jc w:val="both"/>
        <w:textAlignment w:val="auto"/>
        <w:outlineLvl w:val="9"/>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keepNext w:val="0"/>
        <w:keepLines w:val="0"/>
        <w:pageBreakBefore w:val="0"/>
        <w:kinsoku/>
        <w:wordWrap/>
        <w:overflowPunct/>
        <w:topLinePunct w:val="0"/>
        <w:autoSpaceDE/>
        <w:autoSpaceDN/>
        <w:bidi w:val="0"/>
        <w:adjustRightInd/>
        <w:snapToGrid/>
        <w:jc w:val="both"/>
        <w:textAlignment w:val="auto"/>
        <w:outlineLvl w:val="9"/>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keepNext w:val="0"/>
        <w:keepLines w:val="0"/>
        <w:pageBreakBefore w:val="0"/>
        <w:kinsoku/>
        <w:wordWrap/>
        <w:overflowPunct/>
        <w:topLinePunct w:val="0"/>
        <w:autoSpaceDE/>
        <w:autoSpaceDN/>
        <w:bidi w:val="0"/>
        <w:adjustRightInd/>
        <w:snapToGrid/>
        <w:jc w:val="both"/>
        <w:textAlignment w:val="auto"/>
        <w:outlineLvl w:val="9"/>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keepNext w:val="0"/>
        <w:keepLines w:val="0"/>
        <w:pageBreakBefore w:val="0"/>
        <w:kinsoku/>
        <w:wordWrap/>
        <w:overflowPunct/>
        <w:topLinePunct w:val="0"/>
        <w:autoSpaceDE/>
        <w:autoSpaceDN/>
        <w:bidi w:val="0"/>
        <w:adjustRightInd/>
        <w:snapToGrid/>
        <w:jc w:val="both"/>
        <w:textAlignment w:val="auto"/>
        <w:outlineLvl w:val="9"/>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keepNext w:val="0"/>
        <w:keepLines w:val="0"/>
        <w:pageBreakBefore w:val="0"/>
        <w:kinsoku/>
        <w:wordWrap/>
        <w:overflowPunct/>
        <w:topLinePunct w:val="0"/>
        <w:autoSpaceDE/>
        <w:autoSpaceDN/>
        <w:bidi w:val="0"/>
        <w:adjustRightInd/>
        <w:snapToGrid/>
        <w:jc w:val="both"/>
        <w:textAlignment w:val="auto"/>
        <w:outlineLvl w:val="9"/>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keepNext w:val="0"/>
        <w:keepLines w:val="0"/>
        <w:pageBreakBefore w:val="0"/>
        <w:kinsoku/>
        <w:wordWrap/>
        <w:overflowPunct/>
        <w:topLinePunct w:val="0"/>
        <w:autoSpaceDE/>
        <w:autoSpaceDN/>
        <w:bidi w:val="0"/>
        <w:adjustRightInd/>
        <w:snapToGrid/>
        <w:jc w:val="both"/>
        <w:textAlignment w:val="auto"/>
        <w:outlineLvl w:val="9"/>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keepNext w:val="0"/>
        <w:keepLines w:val="0"/>
        <w:pageBreakBefore w:val="0"/>
        <w:kinsoku/>
        <w:wordWrap/>
        <w:overflowPunct/>
        <w:topLinePunct w:val="0"/>
        <w:autoSpaceDE/>
        <w:autoSpaceDN/>
        <w:bidi w:val="0"/>
        <w:adjustRightInd/>
        <w:snapToGrid/>
        <w:jc w:val="both"/>
        <w:textAlignment w:val="auto"/>
        <w:outlineLvl w:val="9"/>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keepNext w:val="0"/>
        <w:keepLines w:val="0"/>
        <w:pageBreakBefore w:val="0"/>
        <w:kinsoku/>
        <w:wordWrap/>
        <w:overflowPunct/>
        <w:topLinePunct w:val="0"/>
        <w:autoSpaceDE/>
        <w:autoSpaceDN/>
        <w:bidi w:val="0"/>
        <w:adjustRightInd/>
        <w:snapToGrid/>
        <w:jc w:val="both"/>
        <w:textAlignment w:val="auto"/>
        <w:outlineLvl w:val="9"/>
        <w:rPr>
          <w:rFonts w:hint="eastAsia" w:ascii="Times New Roman" w:hAnsi="Times New Roman" w:eastAsia="仿宋_GB2312"/>
          <w:sz w:val="30"/>
          <w:szCs w:val="30"/>
        </w:rPr>
      </w:pPr>
      <w:r>
        <w:rPr>
          <w:rFonts w:hint="eastAsia" w:ascii="Times New Roman" w:hAnsi="Times New Roman" w:eastAsia="仿宋_GB2312"/>
          <w:sz w:val="30"/>
          <w:szCs w:val="30"/>
        </w:rPr>
        <w:t>十、</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本级项目支出绩效目标表（本次下达）</w:t>
      </w:r>
    </w:p>
    <w:p>
      <w:pPr>
        <w:keepNext w:val="0"/>
        <w:keepLines w:val="0"/>
        <w:pageBreakBefore w:val="0"/>
        <w:kinsoku/>
        <w:wordWrap/>
        <w:overflowPunct/>
        <w:topLinePunct w:val="0"/>
        <w:autoSpaceDE/>
        <w:autoSpaceDN/>
        <w:bidi w:val="0"/>
        <w:adjustRightInd/>
        <w:snapToGrid/>
        <w:jc w:val="both"/>
        <w:textAlignment w:val="auto"/>
        <w:outlineLvl w:val="9"/>
        <w:rPr>
          <w:rFonts w:hint="eastAsia" w:ascii="Times New Roman" w:hAnsi="Times New Roman" w:eastAsia="仿宋_GB2312"/>
          <w:sz w:val="30"/>
          <w:szCs w:val="30"/>
        </w:rPr>
      </w:pPr>
      <w:r>
        <w:rPr>
          <w:rFonts w:hint="eastAsia" w:ascii="Times New Roman" w:hAnsi="Times New Roman" w:eastAsia="仿宋_GB2312"/>
          <w:sz w:val="30"/>
          <w:szCs w:val="30"/>
        </w:rPr>
        <w:t>十一、</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本级项目支出绩效目标表（另文下达）</w:t>
      </w:r>
    </w:p>
    <w:p>
      <w:pPr>
        <w:keepNext w:val="0"/>
        <w:keepLines w:val="0"/>
        <w:pageBreakBefore w:val="0"/>
        <w:kinsoku/>
        <w:wordWrap/>
        <w:overflowPunct/>
        <w:topLinePunct w:val="0"/>
        <w:autoSpaceDE/>
        <w:autoSpaceDN/>
        <w:bidi w:val="0"/>
        <w:adjustRightInd/>
        <w:snapToGrid/>
        <w:jc w:val="both"/>
        <w:textAlignment w:val="auto"/>
        <w:outlineLvl w:val="9"/>
        <w:rPr>
          <w:rFonts w:hint="eastAsia" w:ascii="Times New Roman" w:hAnsi="Times New Roman" w:eastAsia="仿宋_GB2312"/>
          <w:sz w:val="30"/>
          <w:szCs w:val="30"/>
        </w:rPr>
      </w:pPr>
      <w:r>
        <w:rPr>
          <w:rFonts w:hint="eastAsia" w:ascii="Times New Roman" w:hAnsi="Times New Roman" w:eastAsia="仿宋_GB2312"/>
          <w:sz w:val="30"/>
          <w:szCs w:val="30"/>
        </w:rPr>
        <w:t>十二、</w:t>
      </w:r>
      <w:r>
        <w:rPr>
          <w:rFonts w:hint="eastAsia" w:eastAsia="仿宋_GB2312"/>
          <w:sz w:val="30"/>
          <w:szCs w:val="30"/>
          <w:lang w:eastAsia="zh-CN"/>
        </w:rPr>
        <w:t>县</w:t>
      </w:r>
      <w:r>
        <w:rPr>
          <w:rFonts w:hint="eastAsia" w:ascii="Times New Roman" w:hAnsi="Times New Roman" w:eastAsia="仿宋_GB2312"/>
          <w:sz w:val="30"/>
          <w:szCs w:val="30"/>
        </w:rPr>
        <w:t>对下转移支付绩效目标表</w:t>
      </w:r>
    </w:p>
    <w:p>
      <w:pPr>
        <w:keepNext w:val="0"/>
        <w:keepLines w:val="0"/>
        <w:pageBreakBefore w:val="0"/>
        <w:kinsoku/>
        <w:wordWrap/>
        <w:overflowPunct/>
        <w:topLinePunct w:val="0"/>
        <w:autoSpaceDE/>
        <w:autoSpaceDN/>
        <w:bidi w:val="0"/>
        <w:adjustRightInd/>
        <w:snapToGrid/>
        <w:jc w:val="both"/>
        <w:textAlignment w:val="auto"/>
        <w:outlineLvl w:val="9"/>
        <w:rPr>
          <w:rFonts w:ascii="Times New Roman" w:hAnsi="Times New Roman" w:eastAsia="仿宋_GB2312"/>
          <w:sz w:val="30"/>
          <w:szCs w:val="30"/>
        </w:rPr>
      </w:pPr>
      <w:r>
        <w:rPr>
          <w:rFonts w:hint="eastAsia" w:ascii="Times New Roman" w:hAnsi="Times New Roman" w:eastAsia="仿宋_GB2312"/>
          <w:sz w:val="30"/>
          <w:szCs w:val="30"/>
        </w:rPr>
        <w:t>十三、部门政府采购情况表</w:t>
      </w:r>
    </w:p>
    <w:p>
      <w:pPr>
        <w:keepNext w:val="0"/>
        <w:keepLines w:val="0"/>
        <w:pageBreakBefore w:val="0"/>
        <w:kinsoku/>
        <w:wordWrap/>
        <w:overflowPunct/>
        <w:topLinePunct w:val="0"/>
        <w:autoSpaceDE/>
        <w:autoSpaceDN/>
        <w:bidi w:val="0"/>
        <w:adjustRightInd/>
        <w:snapToGrid/>
        <w:jc w:val="both"/>
        <w:textAlignment w:val="auto"/>
        <w:outlineLvl w:val="9"/>
        <w:rPr>
          <w:rFonts w:ascii="Times New Roman" w:hAnsi="Times New Roman" w:eastAsia="仿宋_GB2312"/>
          <w:sz w:val="30"/>
          <w:szCs w:val="30"/>
        </w:rPr>
      </w:pPr>
    </w:p>
    <w:p>
      <w:pPr>
        <w:keepNext w:val="0"/>
        <w:keepLines w:val="0"/>
        <w:pageBreakBefore w:val="0"/>
        <w:widowControl/>
        <w:kinsoku/>
        <w:wordWrap/>
        <w:overflowPunct/>
        <w:topLinePunct w:val="0"/>
        <w:autoSpaceDE/>
        <w:autoSpaceDN/>
        <w:bidi w:val="0"/>
        <w:adjustRightInd/>
        <w:snapToGrid/>
        <w:jc w:val="both"/>
        <w:textAlignment w:val="auto"/>
        <w:outlineLvl w:val="9"/>
        <w:rPr>
          <w:rFonts w:ascii="方正小标宋简体" w:eastAsia="方正小标宋简体"/>
          <w:kern w:val="0"/>
          <w:sz w:val="36"/>
          <w:szCs w:val="36"/>
        </w:rPr>
      </w:pPr>
      <w:r>
        <w:rPr>
          <w:rFonts w:hint="eastAsia" w:ascii="方正小标宋简体" w:eastAsia="方正小标宋简体"/>
          <w:kern w:val="0"/>
          <w:sz w:val="36"/>
          <w:szCs w:val="36"/>
          <w:lang w:eastAsia="zh-CN"/>
        </w:rPr>
        <w:t>盈江县</w:t>
      </w:r>
      <w:r>
        <w:rPr>
          <w:rFonts w:hint="eastAsia" w:ascii="黑体" w:hAnsi="黑体" w:eastAsia="黑体"/>
          <w:sz w:val="36"/>
          <w:szCs w:val="36"/>
          <w:lang w:eastAsia="zh-CN"/>
        </w:rPr>
        <w:t>旧城镇中心学校</w:t>
      </w:r>
      <w:r>
        <w:rPr>
          <w:rFonts w:hint="eastAsia" w:ascii="方正小标宋简体" w:eastAsia="方正小标宋简体"/>
          <w:kern w:val="0"/>
          <w:sz w:val="36"/>
          <w:szCs w:val="36"/>
          <w:lang w:val="en-US" w:eastAsia="zh-CN"/>
        </w:rPr>
        <w:t>2019</w:t>
      </w:r>
      <w:r>
        <w:rPr>
          <w:rFonts w:hint="eastAsia" w:ascii="方正小标宋简体" w:eastAsia="方正小标宋简体"/>
          <w:kern w:val="0"/>
          <w:sz w:val="36"/>
          <w:szCs w:val="36"/>
        </w:rPr>
        <w:t>年部门预算编制说明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kern w:val="0"/>
          <w:sz w:val="30"/>
          <w:szCs w:val="30"/>
        </w:rPr>
      </w:pPr>
      <w:r>
        <w:rPr>
          <w:rFonts w:hint="eastAsia" w:ascii="仿宋_GB2312" w:hAnsi="仿宋_GB2312" w:eastAsia="仿宋_GB2312" w:cs="仿宋_GB2312"/>
          <w:b w:val="0"/>
          <w:bCs w:val="0"/>
          <w:kern w:val="0"/>
          <w:sz w:val="30"/>
          <w:szCs w:val="30"/>
        </w:rPr>
        <w:t>根据《</w:t>
      </w:r>
      <w:r>
        <w:rPr>
          <w:rFonts w:hint="eastAsia" w:ascii="仿宋_GB2312" w:hAnsi="仿宋_GB2312" w:eastAsia="仿宋_GB2312" w:cs="仿宋_GB2312"/>
          <w:b w:val="0"/>
          <w:bCs w:val="0"/>
          <w:kern w:val="0"/>
          <w:sz w:val="30"/>
          <w:szCs w:val="30"/>
          <w:lang w:eastAsia="zh-CN"/>
        </w:rPr>
        <w:t>盈江县财政局</w:t>
      </w:r>
      <w:r>
        <w:rPr>
          <w:rFonts w:hint="eastAsia" w:ascii="仿宋_GB2312" w:hAnsi="仿宋_GB2312" w:eastAsia="仿宋_GB2312" w:cs="仿宋_GB2312"/>
          <w:b w:val="0"/>
          <w:bCs w:val="0"/>
          <w:kern w:val="0"/>
          <w:sz w:val="30"/>
          <w:szCs w:val="30"/>
        </w:rPr>
        <w:t>关于</w:t>
      </w:r>
      <w:r>
        <w:rPr>
          <w:rFonts w:hint="eastAsia" w:ascii="仿宋_GB2312" w:hAnsi="仿宋_GB2312" w:eastAsia="仿宋_GB2312" w:cs="仿宋_GB2312"/>
          <w:b w:val="0"/>
          <w:bCs w:val="0"/>
          <w:kern w:val="0"/>
          <w:sz w:val="30"/>
          <w:szCs w:val="30"/>
          <w:lang w:eastAsia="zh-CN"/>
        </w:rPr>
        <w:t>盈江县旧城镇中心学校</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年部门预算的批复》（</w:t>
      </w:r>
      <w:r>
        <w:rPr>
          <w:rFonts w:hint="eastAsia" w:ascii="仿宋_GB2312" w:hAnsi="仿宋_GB2312" w:eastAsia="仿宋_GB2312" w:cs="仿宋_GB2312"/>
          <w:b w:val="0"/>
          <w:bCs w:val="0"/>
          <w:kern w:val="0"/>
          <w:sz w:val="30"/>
          <w:szCs w:val="30"/>
          <w:lang w:eastAsia="zh-CN"/>
        </w:rPr>
        <w:t>盈财预分指</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w:t>
      </w:r>
      <w:r>
        <w:rPr>
          <w:rFonts w:hint="eastAsia" w:ascii="仿宋_GB2312" w:hAnsi="仿宋_GB2312" w:eastAsia="仿宋_GB2312" w:cs="仿宋_GB2312"/>
          <w:b w:val="0"/>
          <w:bCs w:val="0"/>
          <w:kern w:val="0"/>
          <w:sz w:val="30"/>
          <w:szCs w:val="30"/>
          <w:lang w:val="en-US" w:eastAsia="zh-CN"/>
        </w:rPr>
        <w:t>24</w:t>
      </w:r>
      <w:r>
        <w:rPr>
          <w:rFonts w:hint="eastAsia" w:ascii="仿宋_GB2312" w:hAnsi="仿宋_GB2312" w:eastAsia="仿宋_GB2312" w:cs="仿宋_GB2312"/>
          <w:b w:val="0"/>
          <w:bCs w:val="0"/>
          <w:kern w:val="0"/>
          <w:sz w:val="30"/>
          <w:szCs w:val="30"/>
        </w:rPr>
        <w:t>号），按照预算管理的相关规定，</w:t>
      </w:r>
      <w:r>
        <w:rPr>
          <w:rFonts w:hint="eastAsia" w:ascii="仿宋_GB2312" w:hAnsi="仿宋_GB2312" w:eastAsia="仿宋_GB2312" w:cs="仿宋_GB2312"/>
          <w:b w:val="0"/>
          <w:bCs w:val="0"/>
          <w:kern w:val="0"/>
          <w:sz w:val="30"/>
          <w:szCs w:val="30"/>
          <w:lang w:eastAsia="zh-CN"/>
        </w:rPr>
        <w:t>盈江县旧城镇中心学校</w:t>
      </w:r>
      <w:r>
        <w:rPr>
          <w:rFonts w:hint="eastAsia" w:ascii="仿宋_GB2312" w:hAnsi="仿宋_GB2312" w:eastAsia="仿宋_GB2312" w:cs="仿宋_GB2312"/>
          <w:b w:val="0"/>
          <w:bCs w:val="0"/>
          <w:kern w:val="0"/>
          <w:sz w:val="30"/>
          <w:szCs w:val="30"/>
        </w:rPr>
        <w:t>部门预算编制实行全口径预算管理，收入和支出全部纳入预算管理。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一、基本职能及主要工作</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b/>
          <w:kern w:val="0"/>
          <w:sz w:val="30"/>
          <w:szCs w:val="30"/>
        </w:rPr>
      </w:pPr>
      <w:r>
        <w:rPr>
          <w:rFonts w:hint="eastAsia" w:ascii="楷体_GB2312" w:eastAsia="楷体_GB2312"/>
          <w:kern w:val="0"/>
          <w:sz w:val="30"/>
          <w:szCs w:val="30"/>
        </w:rPr>
        <w:t>（一）部门主要职责</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根据盈发（2012）21号文件《贯彻国家和云南省中长期教育改革和发展规划纲要的实施意见》规定，主要职能是：全面推进素质教育，大力发展学前教育，巩固提高义务教育发展水平，稳步发展高中教育，加快发展职业教育和成人继续教育，推进</w:t>
      </w:r>
      <w:r>
        <w:rPr>
          <w:rFonts w:hint="eastAsia" w:ascii="仿宋_GB2312" w:hAnsi="仿宋_GB2312" w:eastAsia="仿宋_GB2312" w:cs="仿宋_GB2312"/>
          <w:kern w:val="0"/>
          <w:sz w:val="30"/>
          <w:szCs w:val="30"/>
          <w:lang w:eastAsia="zh-CN"/>
        </w:rPr>
        <w:t>特殊教育</w:t>
      </w:r>
      <w:r>
        <w:rPr>
          <w:rFonts w:hint="eastAsia" w:ascii="仿宋_GB2312" w:hAnsi="仿宋_GB2312" w:eastAsia="仿宋_GB2312" w:cs="仿宋_GB2312"/>
          <w:kern w:val="0"/>
          <w:sz w:val="30"/>
          <w:szCs w:val="30"/>
        </w:rPr>
        <w:t>发展，高度重视民族教育，规范发展民办教育，加强教育合作与交流。</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（二）机构设置情况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color w:val="auto"/>
          <w:kern w:val="0"/>
          <w:sz w:val="30"/>
          <w:szCs w:val="30"/>
          <w:lang w:val="en-US" w:eastAsia="zh-CN" w:bidi="ar-SA"/>
        </w:rPr>
        <w:t>盈江县旧城镇中心学校设置7个校点：中心小学、蛮克小学、蛮崃小学、章洛小学、拜掌小学、项撒小学、蛮环小学。</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w:t>
      </w:r>
      <w:r>
        <w:rPr>
          <w:rFonts w:hint="eastAsia" w:ascii="楷体_GB2312" w:eastAsia="楷体_GB2312"/>
          <w:kern w:val="0"/>
          <w:sz w:val="30"/>
          <w:szCs w:val="30"/>
        </w:rPr>
        <w:t>三</w:t>
      </w:r>
      <w:r>
        <w:rPr>
          <w:rFonts w:ascii="楷体_GB2312" w:eastAsia="楷体_GB2312"/>
          <w:kern w:val="0"/>
          <w:sz w:val="30"/>
          <w:szCs w:val="30"/>
        </w:rPr>
        <w:t>）重点工作概述</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持续推进高效课堂工作。巩固提升高效课堂成果，发挥学校备课组长、教学骨干、教学标兵和教学能手示范带动作用。完善中心小学“346”课堂教学模式，全面开展特色学科教学活动，全面提高教育教学质量。</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2、</w:t>
      </w:r>
      <w:r>
        <w:rPr>
          <w:rFonts w:hint="eastAsia" w:ascii="仿宋_GB2312" w:hAnsi="仿宋_GB2312" w:eastAsia="仿宋_GB2312" w:cs="仿宋_GB2312"/>
          <w:kern w:val="0"/>
          <w:sz w:val="30"/>
          <w:szCs w:val="30"/>
        </w:rPr>
        <w:t>提高素质教育实施水平。以人为本，立德树人，把</w:t>
      </w:r>
      <w:r>
        <w:rPr>
          <w:rFonts w:hint="eastAsia" w:ascii="仿宋_GB2312" w:hAnsi="仿宋_GB2312" w:eastAsia="仿宋_GB2312" w:cs="仿宋_GB2312"/>
          <w:kern w:val="0"/>
          <w:sz w:val="30"/>
          <w:szCs w:val="30"/>
        </w:rPr>
        <w:fldChar w:fldCharType="begin"/>
      </w:r>
      <w:r>
        <w:rPr>
          <w:rFonts w:hint="eastAsia" w:ascii="仿宋_GB2312" w:hAnsi="仿宋_GB2312" w:eastAsia="仿宋_GB2312" w:cs="仿宋_GB2312"/>
          <w:kern w:val="0"/>
          <w:sz w:val="30"/>
          <w:szCs w:val="30"/>
        </w:rPr>
        <w:instrText xml:space="preserve"> HYPERLINK "http://www.gkstk.com/article/66149116.html" \o "社会主义" </w:instrText>
      </w:r>
      <w:r>
        <w:rPr>
          <w:rFonts w:hint="eastAsia" w:ascii="仿宋_GB2312" w:hAnsi="仿宋_GB2312" w:eastAsia="仿宋_GB2312" w:cs="仿宋_GB2312"/>
          <w:kern w:val="0"/>
          <w:sz w:val="30"/>
          <w:szCs w:val="30"/>
        </w:rPr>
        <w:fldChar w:fldCharType="separate"/>
      </w:r>
      <w:r>
        <w:rPr>
          <w:rFonts w:hint="eastAsia" w:ascii="仿宋_GB2312" w:hAnsi="仿宋_GB2312" w:eastAsia="仿宋_GB2312" w:cs="仿宋_GB2312"/>
          <w:kern w:val="0"/>
          <w:sz w:val="30"/>
          <w:szCs w:val="30"/>
        </w:rPr>
        <w:t>社会主义</w:t>
      </w:r>
      <w:r>
        <w:rPr>
          <w:rFonts w:hint="eastAsia" w:ascii="仿宋_GB2312" w:hAnsi="仿宋_GB2312" w:eastAsia="仿宋_GB2312" w:cs="仿宋_GB2312"/>
          <w:kern w:val="0"/>
          <w:sz w:val="30"/>
          <w:szCs w:val="30"/>
        </w:rPr>
        <w:fldChar w:fldCharType="end"/>
      </w:r>
      <w:r>
        <w:rPr>
          <w:rFonts w:hint="eastAsia" w:ascii="仿宋_GB2312" w:hAnsi="仿宋_GB2312" w:eastAsia="仿宋_GB2312" w:cs="仿宋_GB2312"/>
          <w:kern w:val="0"/>
          <w:sz w:val="30"/>
          <w:szCs w:val="30"/>
        </w:rPr>
        <w:t>核心价值体系融入学校教育全过程。切实减轻中小学生过重课业负担。</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3、</w:t>
      </w:r>
      <w:r>
        <w:rPr>
          <w:rFonts w:hint="eastAsia" w:ascii="仿宋_GB2312" w:hAnsi="仿宋_GB2312" w:eastAsia="仿宋_GB2312" w:cs="仿宋_GB2312"/>
          <w:kern w:val="0"/>
          <w:sz w:val="30"/>
          <w:szCs w:val="30"/>
        </w:rPr>
        <w:t>做好“教育均衡发展”工作。加快数字校园建设步伐。加快教育信息化进程，完成学校网络中心建设任务，筹建旧城镇小学教育专网。进一步升级 “班班通”设备，教学点数字教育资源覆盖面达到100%；</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4、</w:t>
      </w:r>
      <w:r>
        <w:rPr>
          <w:rFonts w:hint="eastAsia" w:ascii="仿宋_GB2312" w:hAnsi="仿宋_GB2312" w:eastAsia="仿宋_GB2312" w:cs="仿宋_GB2312"/>
          <w:kern w:val="0"/>
          <w:sz w:val="30"/>
          <w:szCs w:val="30"/>
        </w:rPr>
        <w:t>加快校园基础设施建设，完成蛮克小学</w:t>
      </w:r>
      <w:r>
        <w:rPr>
          <w:rFonts w:hint="eastAsia" w:ascii="仿宋_GB2312" w:hAnsi="仿宋_GB2312" w:eastAsia="仿宋_GB2312" w:cs="仿宋_GB2312"/>
          <w:kern w:val="0"/>
          <w:sz w:val="30"/>
          <w:szCs w:val="30"/>
          <w:lang w:eastAsia="zh-CN"/>
        </w:rPr>
        <w:t>运动场地建设</w:t>
      </w:r>
      <w:r>
        <w:rPr>
          <w:rFonts w:hint="eastAsia" w:ascii="仿宋_GB2312" w:hAnsi="仿宋_GB2312" w:eastAsia="仿宋_GB2312" w:cs="仿宋_GB2312"/>
          <w:kern w:val="0"/>
          <w:sz w:val="30"/>
          <w:szCs w:val="30"/>
        </w:rPr>
        <w:t>、章洛小学</w:t>
      </w:r>
      <w:r>
        <w:rPr>
          <w:rFonts w:hint="eastAsia" w:ascii="仿宋_GB2312" w:hAnsi="仿宋_GB2312" w:eastAsia="仿宋_GB2312" w:cs="仿宋_GB2312"/>
          <w:kern w:val="0"/>
          <w:sz w:val="30"/>
          <w:szCs w:val="30"/>
          <w:lang w:eastAsia="zh-CN"/>
        </w:rPr>
        <w:t>场地建设</w:t>
      </w:r>
      <w:r>
        <w:rPr>
          <w:rFonts w:hint="eastAsia" w:ascii="仿宋_GB2312" w:hAnsi="仿宋_GB2312" w:eastAsia="仿宋_GB2312" w:cs="仿宋_GB2312"/>
          <w:kern w:val="0"/>
          <w:sz w:val="30"/>
          <w:szCs w:val="30"/>
        </w:rPr>
        <w:t>、项撒</w:t>
      </w:r>
      <w:r>
        <w:rPr>
          <w:rFonts w:hint="eastAsia" w:ascii="仿宋_GB2312" w:hAnsi="仿宋_GB2312" w:eastAsia="仿宋_GB2312" w:cs="仿宋_GB2312"/>
          <w:kern w:val="0"/>
          <w:sz w:val="30"/>
          <w:szCs w:val="30"/>
          <w:lang w:eastAsia="zh-CN"/>
        </w:rPr>
        <w:t>新征奘房场地建设</w:t>
      </w:r>
      <w:r>
        <w:rPr>
          <w:rFonts w:hint="eastAsia" w:ascii="仿宋_GB2312" w:hAnsi="仿宋_GB2312" w:eastAsia="仿宋_GB2312" w:cs="仿宋_GB2312"/>
          <w:kern w:val="0"/>
          <w:sz w:val="30"/>
          <w:szCs w:val="30"/>
        </w:rPr>
        <w:t>，</w:t>
      </w:r>
      <w:r>
        <w:rPr>
          <w:rFonts w:hint="eastAsia" w:ascii="仿宋_GB2312" w:hAnsi="仿宋_GB2312" w:eastAsia="仿宋_GB2312" w:cs="仿宋_GB2312"/>
          <w:kern w:val="0"/>
          <w:sz w:val="30"/>
          <w:szCs w:val="30"/>
          <w:lang w:eastAsia="zh-CN"/>
        </w:rPr>
        <w:t>拜掌小学围墙建设</w:t>
      </w:r>
      <w:r>
        <w:rPr>
          <w:rFonts w:hint="eastAsia" w:ascii="仿宋_GB2312" w:hAnsi="仿宋_GB2312" w:eastAsia="仿宋_GB2312" w:cs="仿宋_GB2312"/>
          <w:kern w:val="0"/>
          <w:sz w:val="30"/>
          <w:szCs w:val="30"/>
        </w:rPr>
        <w:t>工作。</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5、</w:t>
      </w:r>
      <w:r>
        <w:rPr>
          <w:rFonts w:hint="eastAsia" w:ascii="仿宋_GB2312" w:hAnsi="仿宋_GB2312" w:eastAsia="仿宋_GB2312" w:cs="仿宋_GB2312"/>
          <w:kern w:val="0"/>
          <w:sz w:val="30"/>
          <w:szCs w:val="30"/>
        </w:rPr>
        <w:t>中心小学再接再厉，努力提高学校办学水平，高水平高质量的迎接省级教育现代化示范校的验收。</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6、</w:t>
      </w:r>
      <w:r>
        <w:rPr>
          <w:rFonts w:hint="eastAsia" w:ascii="仿宋_GB2312" w:hAnsi="仿宋_GB2312" w:eastAsia="仿宋_GB2312" w:cs="仿宋_GB2312"/>
          <w:kern w:val="0"/>
          <w:sz w:val="30"/>
          <w:szCs w:val="30"/>
        </w:rPr>
        <w:t>继续开展对口支援工作，开展中心小学镇内学校对口支援工作。加大校际交流力度，对薄弱学校、教学点在政策、师资、办学条件实行倾斜，促进我镇教育教学工作均衡发展。</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7、</w:t>
      </w:r>
      <w:r>
        <w:rPr>
          <w:rFonts w:hint="eastAsia" w:ascii="仿宋_GB2312" w:hAnsi="仿宋_GB2312" w:eastAsia="仿宋_GB2312" w:cs="仿宋_GB2312"/>
          <w:kern w:val="0"/>
          <w:sz w:val="30"/>
          <w:szCs w:val="30"/>
        </w:rPr>
        <w:t>加强教师队伍建设。抓好教师岗位培训工作，全面落实中小学教师继续教育管理制度。持续巩固师德教育成果，加强中小学教师职业道德考核、奖惩机制和评价体系建设。加快教师专业成长，全力打造一支师德高尚、业务精湛、结构合理、充满活力的高素质专业化的教师队伍，为旧城镇小学教育可持续发展积蓄充足的后劲。</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8、</w:t>
      </w:r>
      <w:r>
        <w:rPr>
          <w:rFonts w:hint="eastAsia" w:ascii="仿宋_GB2312" w:hAnsi="仿宋_GB2312" w:eastAsia="仿宋_GB2312" w:cs="仿宋_GB2312"/>
          <w:kern w:val="0"/>
          <w:sz w:val="30"/>
          <w:szCs w:val="30"/>
        </w:rPr>
        <w:t>坚持健康第一方针，启动学校体育三年行动计划，抓好学校体卫艺工作。持续推进特色学校建设，全面促进学校内涵发展。</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9、</w:t>
      </w:r>
      <w:r>
        <w:rPr>
          <w:rFonts w:hint="eastAsia" w:ascii="仿宋_GB2312" w:hAnsi="仿宋_GB2312" w:eastAsia="仿宋_GB2312" w:cs="仿宋_GB2312"/>
          <w:kern w:val="0"/>
          <w:sz w:val="30"/>
          <w:szCs w:val="30"/>
        </w:rPr>
        <w:t>加强音体美教学工作，拓展学生课外兴趣小组活动项目，提高活动质量，逐步形成学校传统经典项目。</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10、</w:t>
      </w:r>
      <w:r>
        <w:rPr>
          <w:rFonts w:hint="eastAsia" w:ascii="仿宋_GB2312" w:hAnsi="仿宋_GB2312" w:eastAsia="仿宋_GB2312" w:cs="仿宋_GB2312"/>
          <w:kern w:val="0"/>
          <w:sz w:val="30"/>
          <w:szCs w:val="30"/>
        </w:rPr>
        <w:t>维护学校安全与稳定。加强校园安全防范，落实人防、物防、技防措施及各项制度，加强接送学生车辆管理，建设平安校园。</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二、预算单位基本情况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我</w:t>
      </w:r>
      <w:r>
        <w:rPr>
          <w:rFonts w:hint="eastAsia" w:ascii="仿宋_GB2312" w:hAnsi="仿宋_GB2312" w:eastAsia="仿宋_GB2312" w:cs="仿宋_GB2312"/>
          <w:kern w:val="0"/>
          <w:sz w:val="30"/>
          <w:szCs w:val="30"/>
          <w:lang w:eastAsia="zh-CN"/>
        </w:rPr>
        <w:t>单位</w:t>
      </w:r>
      <w:r>
        <w:rPr>
          <w:rFonts w:hint="eastAsia" w:ascii="仿宋_GB2312" w:hAnsi="仿宋_GB2312" w:eastAsia="仿宋_GB2312" w:cs="仿宋_GB2312"/>
          <w:kern w:val="0"/>
          <w:sz w:val="30"/>
          <w:szCs w:val="30"/>
        </w:rPr>
        <w:t>编制</w:t>
      </w:r>
      <w:r>
        <w:rPr>
          <w:rFonts w:hint="eastAsia" w:ascii="仿宋_GB2312" w:hAnsi="仿宋_GB2312" w:eastAsia="仿宋_GB2312" w:cs="仿宋_GB2312"/>
          <w:kern w:val="0"/>
          <w:sz w:val="30"/>
          <w:szCs w:val="30"/>
          <w:lang w:val="en-US" w:eastAsia="zh-CN"/>
        </w:rPr>
        <w:t>2019</w:t>
      </w:r>
      <w:r>
        <w:rPr>
          <w:rFonts w:hint="eastAsia" w:ascii="仿宋_GB2312" w:hAnsi="仿宋_GB2312" w:eastAsia="仿宋_GB2312" w:cs="仿宋_GB2312"/>
          <w:kern w:val="0"/>
          <w:sz w:val="30"/>
          <w:szCs w:val="30"/>
        </w:rPr>
        <w:t>年部门预算单位共</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个。其中：财政全供给单位</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个；部分供给单位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个；特殊供给单位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个；自收自支单位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个。财政全供给单位中行政单</w:t>
      </w:r>
      <w:r>
        <w:rPr>
          <w:rFonts w:hint="eastAsia" w:ascii="仿宋_GB2312" w:hAnsi="仿宋_GB2312" w:eastAsia="仿宋_GB2312" w:cs="仿宋_GB2312"/>
          <w:kern w:val="0"/>
          <w:sz w:val="30"/>
          <w:szCs w:val="30"/>
          <w:lang w:eastAsia="zh-CN"/>
        </w:rPr>
        <w:t>位</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个；参公管理事业单位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个；非参公管理事业单位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个。截止20</w:t>
      </w:r>
      <w:r>
        <w:rPr>
          <w:rFonts w:hint="eastAsia" w:ascii="仿宋_GB2312" w:hAnsi="仿宋_GB2312" w:eastAsia="仿宋_GB2312" w:cs="仿宋_GB2312"/>
          <w:kern w:val="0"/>
          <w:sz w:val="30"/>
          <w:szCs w:val="30"/>
          <w:lang w:val="en-US" w:eastAsia="zh-CN"/>
        </w:rPr>
        <w:t>18</w:t>
      </w:r>
      <w:r>
        <w:rPr>
          <w:rFonts w:hint="eastAsia" w:ascii="仿宋_GB2312" w:hAnsi="仿宋_GB2312" w:eastAsia="仿宋_GB2312" w:cs="仿宋_GB2312"/>
          <w:kern w:val="0"/>
          <w:sz w:val="30"/>
          <w:szCs w:val="30"/>
        </w:rPr>
        <w:t>年11月统计，部门基本情况如下：</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在职人员编制</w:t>
      </w:r>
      <w:r>
        <w:rPr>
          <w:rFonts w:hint="eastAsia" w:ascii="仿宋_GB2312" w:hAnsi="仿宋_GB2312" w:eastAsia="仿宋_GB2312" w:cs="仿宋_GB2312"/>
          <w:kern w:val="0"/>
          <w:sz w:val="30"/>
          <w:szCs w:val="30"/>
          <w:lang w:val="en-US" w:eastAsia="zh-CN"/>
        </w:rPr>
        <w:t>121</w:t>
      </w:r>
      <w:r>
        <w:rPr>
          <w:rFonts w:hint="eastAsia" w:ascii="仿宋_GB2312" w:hAnsi="仿宋_GB2312" w:eastAsia="仿宋_GB2312" w:cs="仿宋_GB2312"/>
          <w:kern w:val="0"/>
          <w:sz w:val="30"/>
          <w:szCs w:val="30"/>
        </w:rPr>
        <w:t xml:space="preserve">人，其中：行政编制 </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人，事业编制</w:t>
      </w:r>
      <w:r>
        <w:rPr>
          <w:rFonts w:hint="eastAsia" w:ascii="仿宋_GB2312" w:hAnsi="仿宋_GB2312" w:eastAsia="仿宋_GB2312" w:cs="仿宋_GB2312"/>
          <w:kern w:val="0"/>
          <w:sz w:val="30"/>
          <w:szCs w:val="30"/>
          <w:lang w:val="en-US" w:eastAsia="zh-CN"/>
        </w:rPr>
        <w:t>121</w:t>
      </w:r>
      <w:r>
        <w:rPr>
          <w:rFonts w:hint="eastAsia" w:ascii="仿宋_GB2312" w:hAnsi="仿宋_GB2312" w:eastAsia="仿宋_GB2312" w:cs="仿宋_GB2312"/>
          <w:kern w:val="0"/>
          <w:sz w:val="30"/>
          <w:szCs w:val="30"/>
        </w:rPr>
        <w:t>人。在职实有</w:t>
      </w:r>
      <w:r>
        <w:rPr>
          <w:rFonts w:hint="eastAsia" w:ascii="仿宋_GB2312" w:hAnsi="仿宋_GB2312" w:eastAsia="仿宋_GB2312" w:cs="仿宋_GB2312"/>
          <w:kern w:val="0"/>
          <w:sz w:val="30"/>
          <w:szCs w:val="30"/>
          <w:lang w:val="en-US" w:eastAsia="zh-CN"/>
        </w:rPr>
        <w:t>128</w:t>
      </w:r>
      <w:r>
        <w:rPr>
          <w:rFonts w:hint="eastAsia" w:ascii="仿宋_GB2312" w:hAnsi="仿宋_GB2312" w:eastAsia="仿宋_GB2312" w:cs="仿宋_GB2312"/>
          <w:kern w:val="0"/>
          <w:sz w:val="30"/>
          <w:szCs w:val="30"/>
        </w:rPr>
        <w:t xml:space="preserve">人，其中： 财政全供养 </w:t>
      </w:r>
      <w:r>
        <w:rPr>
          <w:rFonts w:hint="eastAsia" w:ascii="仿宋_GB2312" w:hAnsi="仿宋_GB2312" w:eastAsia="仿宋_GB2312" w:cs="仿宋_GB2312"/>
          <w:kern w:val="0"/>
          <w:sz w:val="30"/>
          <w:szCs w:val="30"/>
          <w:lang w:val="en-US" w:eastAsia="zh-CN"/>
        </w:rPr>
        <w:t>128</w:t>
      </w:r>
      <w:r>
        <w:rPr>
          <w:rFonts w:hint="eastAsia" w:ascii="仿宋_GB2312" w:hAnsi="仿宋_GB2312" w:eastAsia="仿宋_GB2312" w:cs="仿宋_GB2312"/>
          <w:kern w:val="0"/>
          <w:sz w:val="30"/>
          <w:szCs w:val="30"/>
        </w:rPr>
        <w:t>人，财政部分供养</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人，非财政供养</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 xml:space="preserve">离退休人员 </w:t>
      </w:r>
      <w:r>
        <w:rPr>
          <w:rFonts w:hint="eastAsia" w:ascii="仿宋_GB2312" w:hAnsi="仿宋_GB2312" w:eastAsia="仿宋_GB2312" w:cs="仿宋_GB2312"/>
          <w:color w:val="000000" w:themeColor="text1"/>
          <w:kern w:val="0"/>
          <w:sz w:val="30"/>
          <w:szCs w:val="30"/>
          <w:lang w:val="en-US" w:eastAsia="zh-CN"/>
        </w:rPr>
        <w:t>77</w:t>
      </w:r>
      <w:r>
        <w:rPr>
          <w:rFonts w:hint="eastAsia" w:ascii="仿宋_GB2312" w:hAnsi="仿宋_GB2312" w:eastAsia="仿宋_GB2312" w:cs="仿宋_GB2312"/>
          <w:color w:val="000000" w:themeColor="text1"/>
          <w:kern w:val="0"/>
          <w:sz w:val="30"/>
          <w:szCs w:val="30"/>
        </w:rPr>
        <w:t>人，其中： 离休</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 xml:space="preserve"> 人，退休</w:t>
      </w:r>
      <w:r>
        <w:rPr>
          <w:rFonts w:hint="eastAsia" w:ascii="仿宋_GB2312" w:hAnsi="仿宋_GB2312" w:eastAsia="仿宋_GB2312" w:cs="仿宋_GB2312"/>
          <w:color w:val="000000" w:themeColor="text1"/>
          <w:kern w:val="0"/>
          <w:sz w:val="30"/>
          <w:szCs w:val="30"/>
          <w:lang w:val="en-US" w:eastAsia="zh-CN"/>
        </w:rPr>
        <w:t xml:space="preserve"> 77</w:t>
      </w:r>
      <w:r>
        <w:rPr>
          <w:rFonts w:hint="eastAsia" w:ascii="仿宋_GB2312" w:hAnsi="仿宋_GB2312" w:eastAsia="仿宋_GB2312" w:cs="仿宋_GB2312"/>
          <w:color w:val="000000" w:themeColor="text1"/>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车辆编制</w:t>
      </w:r>
      <w:r>
        <w:rPr>
          <w:rFonts w:hint="eastAsia" w:ascii="仿宋_GB2312" w:hAnsi="仿宋_GB2312" w:eastAsia="仿宋_GB2312" w:cs="仿宋_GB2312"/>
          <w:kern w:val="0"/>
          <w:sz w:val="30"/>
          <w:szCs w:val="30"/>
          <w:lang w:val="en-US" w:eastAsia="zh-CN"/>
        </w:rPr>
        <w:t>2</w:t>
      </w:r>
      <w:r>
        <w:rPr>
          <w:rFonts w:hint="eastAsia" w:ascii="仿宋_GB2312" w:hAnsi="仿宋_GB2312" w:eastAsia="仿宋_GB2312" w:cs="仿宋_GB2312"/>
          <w:kern w:val="0"/>
          <w:sz w:val="30"/>
          <w:szCs w:val="30"/>
        </w:rPr>
        <w:t>辆，实有车辆</w:t>
      </w:r>
      <w:r>
        <w:rPr>
          <w:rFonts w:hint="eastAsia" w:ascii="仿宋_GB2312" w:hAnsi="仿宋_GB2312" w:eastAsia="仿宋_GB2312" w:cs="仿宋_GB2312"/>
          <w:kern w:val="0"/>
          <w:sz w:val="30"/>
          <w:szCs w:val="30"/>
          <w:lang w:val="en-US" w:eastAsia="zh-CN"/>
        </w:rPr>
        <w:t>2</w:t>
      </w:r>
      <w:r>
        <w:rPr>
          <w:rFonts w:hint="eastAsia" w:ascii="仿宋_GB2312" w:hAnsi="仿宋_GB2312" w:eastAsia="仿宋_GB2312" w:cs="仿宋_GB2312"/>
          <w:kern w:val="0"/>
          <w:sz w:val="30"/>
          <w:szCs w:val="30"/>
        </w:rPr>
        <w:t>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三、预算单位收入情况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（一）部门财务收入情况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w:t>
      </w:r>
      <w:r>
        <w:rPr>
          <w:rFonts w:hint="eastAsia" w:eastAsia="仿宋_GB2312"/>
          <w:kern w:val="0"/>
          <w:sz w:val="30"/>
          <w:szCs w:val="30"/>
          <w:lang w:eastAsia="zh-CN"/>
        </w:rPr>
        <w:t>盈江县旧城镇中心学校</w:t>
      </w:r>
      <w:r>
        <w:rPr>
          <w:rFonts w:eastAsia="仿宋_GB2312"/>
          <w:kern w:val="0"/>
          <w:sz w:val="30"/>
          <w:szCs w:val="30"/>
        </w:rPr>
        <w:t>财务总收入</w:t>
      </w:r>
      <w:r>
        <w:rPr>
          <w:rFonts w:hint="eastAsia" w:eastAsia="仿宋_GB2312"/>
          <w:kern w:val="0"/>
          <w:sz w:val="30"/>
          <w:szCs w:val="30"/>
          <w:lang w:val="en-US" w:eastAsia="zh-CN"/>
        </w:rPr>
        <w:t>1520.47</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1520.47</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0</w:t>
      </w:r>
      <w:r>
        <w:rPr>
          <w:rFonts w:hint="eastAsia" w:eastAsia="仿宋_GB2312"/>
          <w:kern w:val="0"/>
          <w:sz w:val="30"/>
          <w:szCs w:val="30"/>
        </w:rPr>
        <w:t>万元</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（二）财政拨款收入情况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年部门财政拨款收入 </w:t>
      </w:r>
      <w:r>
        <w:rPr>
          <w:rFonts w:hint="eastAsia" w:eastAsia="仿宋_GB2312"/>
          <w:kern w:val="0"/>
          <w:sz w:val="30"/>
          <w:szCs w:val="30"/>
          <w:lang w:val="en-US" w:eastAsia="zh-CN"/>
        </w:rPr>
        <w:t>1520.47</w:t>
      </w:r>
      <w:r>
        <w:rPr>
          <w:rFonts w:eastAsia="仿宋_GB2312"/>
          <w:kern w:val="0"/>
          <w:sz w:val="30"/>
          <w:szCs w:val="30"/>
        </w:rPr>
        <w:t>万元，其中:本年收入</w:t>
      </w:r>
      <w:r>
        <w:rPr>
          <w:rFonts w:hint="eastAsia" w:eastAsia="仿宋_GB2312"/>
          <w:kern w:val="0"/>
          <w:sz w:val="30"/>
          <w:szCs w:val="30"/>
          <w:lang w:val="en-US" w:eastAsia="zh-CN"/>
        </w:rPr>
        <w:t>1520.47</w:t>
      </w:r>
      <w:r>
        <w:rPr>
          <w:rFonts w:eastAsia="仿宋_GB2312"/>
          <w:kern w:val="0"/>
          <w:sz w:val="30"/>
          <w:szCs w:val="30"/>
        </w:rPr>
        <w:t>万元，上年结转</w:t>
      </w:r>
      <w:r>
        <w:rPr>
          <w:rFonts w:hint="eastAsia" w:eastAsia="仿宋_GB2312"/>
          <w:kern w:val="0"/>
          <w:sz w:val="30"/>
          <w:szCs w:val="30"/>
          <w:lang w:val="en-US" w:eastAsia="zh-CN"/>
        </w:rPr>
        <w:t>0</w:t>
      </w:r>
      <w:r>
        <w:rPr>
          <w:rFonts w:eastAsia="仿宋_GB2312"/>
          <w:kern w:val="0"/>
          <w:sz w:val="30"/>
          <w:szCs w:val="30"/>
        </w:rPr>
        <w:t>万元。本年收入中，一般公共预算财政拨款</w:t>
      </w:r>
      <w:r>
        <w:rPr>
          <w:rFonts w:hint="eastAsia" w:eastAsia="仿宋_GB2312"/>
          <w:kern w:val="0"/>
          <w:sz w:val="30"/>
          <w:szCs w:val="30"/>
          <w:lang w:val="en-US" w:eastAsia="zh-CN"/>
        </w:rPr>
        <w:t>1520.47</w:t>
      </w:r>
      <w:r>
        <w:rPr>
          <w:rFonts w:eastAsia="仿宋_GB2312"/>
          <w:kern w:val="0"/>
          <w:sz w:val="30"/>
          <w:szCs w:val="30"/>
        </w:rPr>
        <w:t>万元（本级财力</w:t>
      </w:r>
      <w:r>
        <w:rPr>
          <w:rFonts w:hint="eastAsia" w:eastAsia="仿宋_GB2312"/>
          <w:kern w:val="0"/>
          <w:sz w:val="30"/>
          <w:szCs w:val="30"/>
          <w:lang w:val="en-US" w:eastAsia="zh-CN"/>
        </w:rPr>
        <w:t>0</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预算单位支出情况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1520.47</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1520.47</w:t>
      </w:r>
      <w:r>
        <w:rPr>
          <w:rFonts w:eastAsia="仿宋_GB2312"/>
          <w:kern w:val="0"/>
          <w:sz w:val="30"/>
          <w:szCs w:val="30"/>
        </w:rPr>
        <w:t>万元，其中，基本支出</w:t>
      </w:r>
      <w:r>
        <w:rPr>
          <w:rFonts w:hint="eastAsia" w:eastAsia="仿宋_GB2312"/>
          <w:kern w:val="0"/>
          <w:sz w:val="30"/>
          <w:szCs w:val="30"/>
          <w:lang w:val="en-US" w:eastAsia="zh-CN"/>
        </w:rPr>
        <w:t>1520.47</w:t>
      </w:r>
      <w:r>
        <w:rPr>
          <w:rFonts w:eastAsia="仿宋_GB2312"/>
          <w:kern w:val="0"/>
          <w:sz w:val="30"/>
          <w:szCs w:val="30"/>
        </w:rPr>
        <w:t>万元，项目支出</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功能科目分组，</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“2050202” 教育支出-普通教育-小学教育1146.23万元，主要用于工资福利支出和日常学校运行运转。</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“2080502”社会保障和就业支出-行政事业单位离退休-事业单位单位离退休4.62万元，主要用于离退休人员公用经费支出。</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lang w:val="en-US" w:eastAsia="zh-CN"/>
        </w:rPr>
        <w:t>“2080505”社会保障和就业支出-行政事业单位离退休- 事业单位基本养老保险缴费支出214.29万元，</w:t>
      </w:r>
      <w:r>
        <w:rPr>
          <w:rFonts w:hint="eastAsia" w:ascii="仿宋_GB2312" w:hAnsi="仿宋_GB2312" w:eastAsia="仿宋_GB2312" w:cs="仿宋_GB2312"/>
          <w:color w:val="333333"/>
          <w:sz w:val="30"/>
          <w:szCs w:val="30"/>
          <w:shd w:val="clear" w:color="040000" w:fill="FFFFFF"/>
        </w:rPr>
        <w:t>主要反映单位缴交的养老保险支出。</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sz w:val="30"/>
          <w:szCs w:val="30"/>
          <w:lang w:val="en-US" w:eastAsia="zh-CN"/>
        </w:rPr>
        <w:t>“2080506”社会保障和就业支出-行政事业单位离退休- 机关事业单位职业年金缴费支出9.28万元，</w:t>
      </w:r>
      <w:r>
        <w:rPr>
          <w:rFonts w:hint="eastAsia" w:ascii="仿宋_GB2312" w:hAnsi="仿宋_GB2312" w:eastAsia="仿宋_GB2312" w:cs="仿宋_GB2312"/>
          <w:color w:val="333333"/>
          <w:sz w:val="30"/>
          <w:szCs w:val="30"/>
          <w:shd w:val="clear" w:color="040000" w:fill="FFFFFF"/>
        </w:rPr>
        <w:t>主要反映单位缴交的</w:t>
      </w:r>
      <w:r>
        <w:rPr>
          <w:rFonts w:hint="eastAsia" w:ascii="仿宋_GB2312" w:hAnsi="仿宋_GB2312" w:eastAsia="仿宋_GB2312" w:cs="仿宋_GB2312"/>
          <w:color w:val="333333"/>
          <w:sz w:val="30"/>
          <w:szCs w:val="30"/>
          <w:shd w:val="clear" w:color="040000" w:fill="FFFFFF"/>
          <w:lang w:eastAsia="zh-CN"/>
        </w:rPr>
        <w:t>职业年金</w:t>
      </w:r>
      <w:r>
        <w:rPr>
          <w:rFonts w:hint="eastAsia" w:ascii="仿宋_GB2312" w:hAnsi="仿宋_GB2312" w:eastAsia="仿宋_GB2312" w:cs="仿宋_GB2312"/>
          <w:color w:val="333333"/>
          <w:sz w:val="30"/>
          <w:szCs w:val="30"/>
          <w:shd w:val="clear" w:color="040000" w:fill="FFFFFF"/>
        </w:rPr>
        <w:t>支出。</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right="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“2210201”</w:t>
      </w:r>
      <w:r>
        <w:rPr>
          <w:rFonts w:hint="eastAsia" w:ascii="仿宋_GB2312" w:hAnsi="仿宋_GB2312" w:eastAsia="仿宋_GB2312" w:cs="仿宋_GB2312"/>
          <w:color w:val="333333"/>
          <w:sz w:val="30"/>
          <w:szCs w:val="30"/>
          <w:shd w:val="clear" w:color="040000" w:fill="FFFFFF"/>
        </w:rPr>
        <w:t>住房保障支出-住房改革支出-住房公积金</w:t>
      </w:r>
      <w:r>
        <w:rPr>
          <w:rFonts w:hint="eastAsia" w:ascii="仿宋_GB2312" w:hAnsi="仿宋_GB2312" w:eastAsia="仿宋_GB2312" w:cs="仿宋_GB2312"/>
          <w:color w:val="333333"/>
          <w:sz w:val="30"/>
          <w:szCs w:val="30"/>
          <w:shd w:val="clear" w:color="040000" w:fill="FFFFFF"/>
          <w:lang w:val="en-US" w:eastAsia="zh-CN"/>
        </w:rPr>
        <w:t>146.05</w:t>
      </w:r>
      <w:r>
        <w:rPr>
          <w:rFonts w:hint="eastAsia" w:ascii="仿宋_GB2312" w:hAnsi="仿宋_GB2312" w:eastAsia="仿宋_GB2312" w:cs="仿宋_GB2312"/>
          <w:color w:val="333333"/>
          <w:sz w:val="30"/>
          <w:szCs w:val="30"/>
          <w:shd w:val="clear" w:color="040000" w:fill="FFFFFF"/>
        </w:rPr>
        <w:t>万元，主要用于单位住房公积金支出。</w:t>
      </w:r>
    </w:p>
    <w:p>
      <w:pPr>
        <w:keepNext w:val="0"/>
        <w:keepLines w:val="0"/>
        <w:pageBreakBefore w:val="0"/>
        <w:widowControl/>
        <w:numPr>
          <w:ilvl w:val="0"/>
          <w:numId w:val="2"/>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lang w:eastAsia="zh-CN"/>
        </w:rPr>
      </w:pP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color w:val="auto"/>
          <w:sz w:val="30"/>
          <w:szCs w:val="30"/>
          <w:lang w:val="en-US" w:eastAsia="zh-CN"/>
        </w:rPr>
        <w:t>2050202” 教育支出-普通教育-小学教育1146.23万元，其中</w:t>
      </w:r>
      <w:r>
        <w:rPr>
          <w:rFonts w:hint="eastAsia" w:ascii="仿宋_GB2312" w:hAnsi="仿宋_GB2312" w:eastAsia="仿宋_GB2312" w:cs="仿宋_GB2312"/>
          <w:color w:val="auto"/>
          <w:kern w:val="0"/>
          <w:sz w:val="30"/>
          <w:szCs w:val="30"/>
        </w:rPr>
        <w:t>：基本支出</w:t>
      </w:r>
      <w:r>
        <w:rPr>
          <w:rFonts w:hint="eastAsia" w:ascii="仿宋_GB2312" w:hAnsi="仿宋_GB2312" w:eastAsia="仿宋_GB2312" w:cs="仿宋_GB2312"/>
          <w:color w:val="auto"/>
          <w:kern w:val="0"/>
          <w:sz w:val="30"/>
          <w:szCs w:val="30"/>
          <w:lang w:val="en-US" w:eastAsia="zh-CN"/>
        </w:rPr>
        <w:t>1</w:t>
      </w:r>
      <w:r>
        <w:rPr>
          <w:rFonts w:hint="eastAsia" w:ascii="仿宋_GB2312" w:hAnsi="仿宋_GB2312" w:eastAsia="仿宋_GB2312" w:cs="仿宋_GB2312"/>
          <w:color w:val="auto"/>
          <w:sz w:val="30"/>
          <w:szCs w:val="30"/>
          <w:lang w:val="en-US" w:eastAsia="zh-CN"/>
        </w:rPr>
        <w:t>146.23</w:t>
      </w:r>
      <w:r>
        <w:rPr>
          <w:rFonts w:hint="eastAsia" w:ascii="仿宋_GB2312" w:hAnsi="仿宋_GB2312" w:eastAsia="仿宋_GB2312" w:cs="仿宋_GB2312"/>
          <w:color w:val="auto"/>
          <w:kern w:val="0"/>
          <w:sz w:val="30"/>
          <w:szCs w:val="30"/>
        </w:rPr>
        <w:t>万元，主要用于301工资福利支出</w:t>
      </w:r>
      <w:r>
        <w:rPr>
          <w:rFonts w:hint="eastAsia" w:ascii="仿宋_GB2312" w:hAnsi="仿宋_GB2312" w:eastAsia="仿宋_GB2312" w:cs="仿宋_GB2312"/>
          <w:color w:val="auto"/>
          <w:kern w:val="0"/>
          <w:sz w:val="30"/>
          <w:szCs w:val="30"/>
          <w:lang w:val="en-US" w:eastAsia="zh-CN"/>
        </w:rPr>
        <w:t>1133.52</w:t>
      </w:r>
      <w:r>
        <w:rPr>
          <w:rFonts w:hint="eastAsia" w:ascii="仿宋_GB2312" w:hAnsi="仿宋_GB2312" w:eastAsia="仿宋_GB2312" w:cs="仿宋_GB2312"/>
          <w:color w:val="auto"/>
          <w:kern w:val="0"/>
          <w:sz w:val="30"/>
          <w:szCs w:val="30"/>
        </w:rPr>
        <w:t>万元，302商品和服务支出</w:t>
      </w:r>
      <w:r>
        <w:rPr>
          <w:rFonts w:hint="eastAsia" w:ascii="仿宋_GB2312" w:hAnsi="仿宋_GB2312" w:eastAsia="仿宋_GB2312" w:cs="仿宋_GB2312"/>
          <w:color w:val="auto"/>
          <w:kern w:val="0"/>
          <w:sz w:val="30"/>
          <w:szCs w:val="30"/>
          <w:lang w:val="en-US" w:eastAsia="zh-CN"/>
        </w:rPr>
        <w:t>8.03</w:t>
      </w:r>
      <w:r>
        <w:rPr>
          <w:rFonts w:hint="eastAsia" w:ascii="仿宋_GB2312" w:hAnsi="仿宋_GB2312" w:eastAsia="仿宋_GB2312" w:cs="仿宋_GB2312"/>
          <w:color w:val="auto"/>
          <w:kern w:val="0"/>
          <w:sz w:val="30"/>
          <w:szCs w:val="30"/>
        </w:rPr>
        <w:t>万元</w:t>
      </w:r>
      <w:r>
        <w:rPr>
          <w:rFonts w:hint="eastAsia" w:ascii="仿宋_GB2312" w:hAnsi="仿宋_GB2312" w:eastAsia="仿宋_GB2312" w:cs="仿宋_GB2312"/>
          <w:color w:val="auto"/>
          <w:kern w:val="0"/>
          <w:sz w:val="30"/>
          <w:szCs w:val="30"/>
          <w:lang w:eastAsia="zh-CN"/>
        </w:rPr>
        <w:t>，</w:t>
      </w:r>
      <w:r>
        <w:rPr>
          <w:rFonts w:hint="eastAsia" w:ascii="仿宋_GB2312" w:hAnsi="仿宋_GB2312" w:eastAsia="仿宋_GB2312" w:cs="仿宋_GB2312"/>
          <w:sz w:val="30"/>
          <w:szCs w:val="30"/>
          <w:lang w:val="en-US" w:eastAsia="zh-CN"/>
        </w:rPr>
        <w:t>主要用于</w:t>
      </w:r>
      <w:r>
        <w:rPr>
          <w:rFonts w:hint="eastAsia" w:ascii="仿宋_GB2312" w:hAnsi="仿宋_GB2312" w:eastAsia="仿宋_GB2312" w:cs="仿宋_GB2312"/>
          <w:color w:val="auto"/>
          <w:kern w:val="0"/>
          <w:sz w:val="30"/>
          <w:szCs w:val="30"/>
          <w:lang w:val="en-US" w:eastAsia="zh-CN"/>
        </w:rPr>
        <w:t>303对个人和家庭补助4.68万元</w:t>
      </w:r>
      <w:r>
        <w:rPr>
          <w:rFonts w:hint="eastAsia" w:ascii="仿宋_GB2312" w:hAnsi="仿宋_GB2312" w:eastAsia="仿宋_GB2312" w:cs="仿宋_GB2312"/>
          <w:color w:val="auto"/>
          <w:kern w:val="0"/>
          <w:sz w:val="30"/>
          <w:szCs w:val="30"/>
          <w:lang w:eastAsia="zh-CN"/>
        </w:rPr>
        <w:t>；</w:t>
      </w:r>
      <w:r>
        <w:rPr>
          <w:rFonts w:hint="eastAsia" w:ascii="仿宋_GB2312" w:hAnsi="仿宋_GB2312" w:eastAsia="仿宋_GB2312" w:cs="仿宋_GB2312"/>
          <w:color w:val="auto"/>
          <w:kern w:val="0"/>
          <w:sz w:val="30"/>
          <w:szCs w:val="30"/>
        </w:rPr>
        <w:t>项目支出0万元</w:t>
      </w:r>
      <w:r>
        <w:rPr>
          <w:rFonts w:hint="eastAsia" w:ascii="仿宋_GB2312" w:hAnsi="仿宋_GB2312" w:eastAsia="仿宋_GB2312" w:cs="仿宋_GB2312"/>
          <w:color w:val="auto"/>
          <w:kern w:val="0"/>
          <w:sz w:val="30"/>
          <w:szCs w:val="30"/>
          <w:lang w:eastAsia="zh-CN"/>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lang w:val="en-US" w:eastAsia="zh-CN"/>
        </w:rPr>
      </w:pPr>
      <w:r>
        <w:rPr>
          <w:rFonts w:hint="eastAsia" w:ascii="仿宋_GB2312" w:hAnsi="仿宋_GB2312" w:eastAsia="仿宋_GB2312" w:cs="仿宋_GB2312"/>
          <w:sz w:val="30"/>
          <w:szCs w:val="30"/>
          <w:lang w:val="en-US" w:eastAsia="zh-CN"/>
        </w:rPr>
        <w:t>“2080502”社会保障和就业支出-行政事业单位离退休支出4.62万元，其中基本支出4.62万元，主要用于</w:t>
      </w:r>
      <w:r>
        <w:rPr>
          <w:rFonts w:hint="eastAsia" w:ascii="仿宋_GB2312" w:hAnsi="仿宋_GB2312" w:eastAsia="仿宋_GB2312" w:cs="仿宋_GB2312"/>
          <w:color w:val="auto"/>
          <w:kern w:val="0"/>
          <w:sz w:val="30"/>
          <w:szCs w:val="30"/>
          <w:lang w:val="en-US" w:eastAsia="zh-CN"/>
        </w:rPr>
        <w:t>3</w:t>
      </w:r>
      <w:r>
        <w:rPr>
          <w:rFonts w:hint="eastAsia" w:ascii="仿宋_GB2312" w:hAnsi="仿宋_GB2312" w:eastAsia="仿宋_GB2312" w:cs="仿宋_GB2312"/>
          <w:color w:val="auto"/>
          <w:kern w:val="0"/>
          <w:sz w:val="30"/>
          <w:szCs w:val="30"/>
        </w:rPr>
        <w:t>02商品和服务支出</w:t>
      </w:r>
      <w:r>
        <w:rPr>
          <w:rFonts w:hint="eastAsia" w:ascii="仿宋_GB2312" w:hAnsi="仿宋_GB2312" w:eastAsia="仿宋_GB2312" w:cs="仿宋_GB2312"/>
          <w:color w:val="auto"/>
          <w:kern w:val="0"/>
          <w:sz w:val="30"/>
          <w:szCs w:val="30"/>
          <w:lang w:val="en-US" w:eastAsia="zh-CN"/>
        </w:rPr>
        <w:t>4.62</w:t>
      </w:r>
      <w:r>
        <w:rPr>
          <w:rFonts w:hint="eastAsia" w:ascii="仿宋_GB2312" w:hAnsi="仿宋_GB2312" w:eastAsia="仿宋_GB2312" w:cs="仿宋_GB2312"/>
          <w:color w:val="auto"/>
          <w:kern w:val="0"/>
          <w:sz w:val="30"/>
          <w:szCs w:val="30"/>
        </w:rPr>
        <w:t>万元</w:t>
      </w:r>
      <w:r>
        <w:rPr>
          <w:rFonts w:hint="eastAsia" w:ascii="仿宋_GB2312" w:hAnsi="仿宋_GB2312" w:eastAsia="仿宋_GB2312" w:cs="仿宋_GB2312"/>
          <w:color w:val="auto"/>
          <w:kern w:val="0"/>
          <w:sz w:val="30"/>
          <w:szCs w:val="30"/>
          <w:lang w:val="en-US" w:eastAsia="zh-CN"/>
        </w:rPr>
        <w:t>；项目支出0万元。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lang w:eastAsia="zh-CN"/>
        </w:rPr>
      </w:pPr>
      <w:r>
        <w:rPr>
          <w:rFonts w:hint="eastAsia" w:ascii="仿宋_GB2312" w:hAnsi="仿宋_GB2312" w:eastAsia="仿宋_GB2312" w:cs="仿宋_GB2312"/>
          <w:color w:val="auto"/>
          <w:kern w:val="0"/>
          <w:sz w:val="30"/>
          <w:szCs w:val="30"/>
          <w:lang w:val="en-US" w:eastAsia="zh-CN"/>
        </w:rPr>
        <w:t>“</w:t>
      </w:r>
      <w:r>
        <w:rPr>
          <w:rFonts w:hint="eastAsia" w:ascii="仿宋_GB2312" w:eastAsia="仿宋_GB2312"/>
          <w:color w:val="auto"/>
          <w:kern w:val="0"/>
          <w:sz w:val="30"/>
          <w:szCs w:val="30"/>
        </w:rPr>
        <w:t>2080505</w:t>
      </w:r>
      <w:r>
        <w:rPr>
          <w:rFonts w:hint="eastAsia" w:ascii="仿宋_GB2312" w:eastAsia="仿宋_GB2312"/>
          <w:color w:val="auto"/>
          <w:kern w:val="0"/>
          <w:sz w:val="30"/>
          <w:szCs w:val="30"/>
          <w:lang w:eastAsia="zh-CN"/>
        </w:rPr>
        <w:t>”</w:t>
      </w:r>
      <w:r>
        <w:rPr>
          <w:rFonts w:hint="eastAsia" w:ascii="仿宋_GB2312" w:eastAsia="仿宋_GB2312"/>
          <w:color w:val="auto"/>
          <w:kern w:val="0"/>
          <w:sz w:val="30"/>
          <w:szCs w:val="30"/>
        </w:rPr>
        <w:t xml:space="preserve"> 机关事业单位基本养老保险缴费支出</w:t>
      </w:r>
      <w:r>
        <w:rPr>
          <w:rFonts w:hint="eastAsia" w:ascii="仿宋_GB2312" w:eastAsia="仿宋_GB2312"/>
          <w:color w:val="auto"/>
          <w:kern w:val="0"/>
          <w:sz w:val="30"/>
          <w:szCs w:val="30"/>
          <w:lang w:val="en-US" w:eastAsia="zh-CN"/>
        </w:rPr>
        <w:t>214.29</w:t>
      </w:r>
      <w:r>
        <w:rPr>
          <w:rFonts w:hint="eastAsia" w:ascii="仿宋_GB2312" w:eastAsia="仿宋_GB2312"/>
          <w:color w:val="auto"/>
          <w:kern w:val="0"/>
          <w:sz w:val="30"/>
          <w:szCs w:val="30"/>
        </w:rPr>
        <w:t>万元</w:t>
      </w:r>
      <w:r>
        <w:rPr>
          <w:rFonts w:hint="eastAsia" w:ascii="仿宋_GB2312" w:hAnsi="仿宋_GB2312" w:eastAsia="仿宋_GB2312" w:cs="仿宋_GB2312"/>
          <w:color w:val="auto"/>
          <w:kern w:val="0"/>
          <w:sz w:val="30"/>
          <w:szCs w:val="30"/>
        </w:rPr>
        <w:t>其中：基本支出</w:t>
      </w:r>
      <w:r>
        <w:rPr>
          <w:rFonts w:hint="eastAsia" w:ascii="仿宋_GB2312" w:hAnsi="仿宋_GB2312" w:eastAsia="仿宋_GB2312" w:cs="仿宋_GB2312"/>
          <w:color w:val="auto"/>
          <w:kern w:val="0"/>
          <w:sz w:val="30"/>
          <w:szCs w:val="30"/>
          <w:lang w:val="en-US" w:eastAsia="zh-CN"/>
        </w:rPr>
        <w:t>214.29</w:t>
      </w:r>
      <w:r>
        <w:rPr>
          <w:rFonts w:hint="eastAsia" w:ascii="仿宋_GB2312" w:hAnsi="仿宋_GB2312" w:eastAsia="仿宋_GB2312" w:cs="仿宋_GB2312"/>
          <w:color w:val="auto"/>
          <w:kern w:val="0"/>
          <w:sz w:val="30"/>
          <w:szCs w:val="30"/>
        </w:rPr>
        <w:t>万元，主要用于301工资福利支出中的</w:t>
      </w:r>
      <w:r>
        <w:rPr>
          <w:rFonts w:hint="eastAsia" w:ascii="仿宋_GB2312" w:eastAsia="仿宋_GB2312"/>
          <w:color w:val="auto"/>
          <w:kern w:val="0"/>
          <w:sz w:val="30"/>
          <w:szCs w:val="30"/>
        </w:rPr>
        <w:t>单位基本养老保险缴费支出</w:t>
      </w:r>
      <w:r>
        <w:rPr>
          <w:rFonts w:hint="eastAsia" w:ascii="仿宋_GB2312" w:hAnsi="仿宋_GB2312" w:eastAsia="仿宋_GB2312" w:cs="仿宋_GB2312"/>
          <w:color w:val="auto"/>
          <w:kern w:val="0"/>
          <w:sz w:val="30"/>
          <w:szCs w:val="30"/>
          <w:lang w:val="en-US" w:eastAsia="zh-CN"/>
        </w:rPr>
        <w:t>214.29</w:t>
      </w:r>
      <w:r>
        <w:rPr>
          <w:rFonts w:hint="eastAsia" w:ascii="仿宋_GB2312" w:eastAsia="仿宋_GB2312"/>
          <w:color w:val="auto"/>
          <w:kern w:val="0"/>
          <w:sz w:val="30"/>
          <w:szCs w:val="30"/>
        </w:rPr>
        <w:t>万元</w:t>
      </w:r>
      <w:r>
        <w:rPr>
          <w:rFonts w:hint="eastAsia" w:ascii="仿宋_GB2312" w:eastAsia="仿宋_GB2312"/>
          <w:color w:val="auto"/>
          <w:kern w:val="0"/>
          <w:sz w:val="30"/>
          <w:szCs w:val="30"/>
          <w:lang w:eastAsia="zh-CN"/>
        </w:rPr>
        <w:t>；</w:t>
      </w:r>
      <w:r>
        <w:rPr>
          <w:rFonts w:hint="eastAsia" w:ascii="仿宋_GB2312" w:hAnsi="仿宋_GB2312" w:eastAsia="仿宋_GB2312" w:cs="仿宋_GB2312"/>
          <w:color w:val="auto"/>
          <w:kern w:val="0"/>
          <w:sz w:val="30"/>
          <w:szCs w:val="30"/>
        </w:rPr>
        <w:t>项目支出0万元</w:t>
      </w:r>
      <w:r>
        <w:rPr>
          <w:rFonts w:hint="eastAsia" w:ascii="仿宋_GB2312" w:hAnsi="仿宋_GB2312" w:eastAsia="仿宋_GB2312" w:cs="仿宋_GB2312"/>
          <w:color w:val="auto"/>
          <w:kern w:val="0"/>
          <w:sz w:val="30"/>
          <w:szCs w:val="30"/>
          <w:lang w:eastAsia="zh-CN"/>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lang w:eastAsia="zh-CN"/>
        </w:rPr>
      </w:pPr>
      <w:r>
        <w:rPr>
          <w:rFonts w:hint="eastAsia" w:ascii="仿宋_GB2312" w:hAnsi="仿宋_GB2312" w:eastAsia="仿宋_GB2312" w:cs="仿宋_GB2312"/>
          <w:color w:val="auto"/>
          <w:sz w:val="30"/>
          <w:szCs w:val="30"/>
          <w:lang w:val="en-US" w:eastAsia="zh-CN"/>
        </w:rPr>
        <w:t>“2080506”社会保障和就业支出-行政事业单位离退休- 机关事业单位职业年金缴费支出9.28万元，</w:t>
      </w:r>
      <w:r>
        <w:rPr>
          <w:rFonts w:hint="eastAsia" w:ascii="仿宋_GB2312" w:hAnsi="仿宋_GB2312" w:eastAsia="仿宋_GB2312" w:cs="仿宋_GB2312"/>
          <w:color w:val="auto"/>
          <w:kern w:val="0"/>
          <w:sz w:val="30"/>
          <w:szCs w:val="30"/>
        </w:rPr>
        <w:t>主要用于301工资福利支出中的</w:t>
      </w:r>
      <w:r>
        <w:rPr>
          <w:rFonts w:hint="eastAsia" w:ascii="仿宋_GB2312" w:eastAsia="仿宋_GB2312"/>
          <w:color w:val="auto"/>
          <w:kern w:val="0"/>
          <w:sz w:val="30"/>
          <w:szCs w:val="30"/>
        </w:rPr>
        <w:t>单位</w:t>
      </w:r>
      <w:r>
        <w:rPr>
          <w:rFonts w:hint="eastAsia" w:ascii="仿宋_GB2312" w:eastAsia="仿宋_GB2312"/>
          <w:color w:val="auto"/>
          <w:kern w:val="0"/>
          <w:sz w:val="30"/>
          <w:szCs w:val="30"/>
          <w:lang w:eastAsia="zh-CN"/>
        </w:rPr>
        <w:t>职业年金</w:t>
      </w:r>
      <w:r>
        <w:rPr>
          <w:rFonts w:hint="eastAsia" w:ascii="仿宋_GB2312" w:eastAsia="仿宋_GB2312"/>
          <w:color w:val="auto"/>
          <w:kern w:val="0"/>
          <w:sz w:val="30"/>
          <w:szCs w:val="30"/>
        </w:rPr>
        <w:t>缴费支出</w:t>
      </w:r>
      <w:r>
        <w:rPr>
          <w:rFonts w:hint="eastAsia" w:ascii="仿宋_GB2312" w:hAnsi="仿宋_GB2312" w:eastAsia="仿宋_GB2312" w:cs="仿宋_GB2312"/>
          <w:color w:val="auto"/>
          <w:kern w:val="0"/>
          <w:sz w:val="30"/>
          <w:szCs w:val="30"/>
          <w:lang w:val="en-US" w:eastAsia="zh-CN"/>
        </w:rPr>
        <w:t>9.28</w:t>
      </w:r>
      <w:r>
        <w:rPr>
          <w:rFonts w:hint="eastAsia" w:ascii="仿宋_GB2312" w:eastAsia="仿宋_GB2312"/>
          <w:color w:val="auto"/>
          <w:kern w:val="0"/>
          <w:sz w:val="30"/>
          <w:szCs w:val="30"/>
        </w:rPr>
        <w:t>万元</w:t>
      </w:r>
      <w:r>
        <w:rPr>
          <w:rFonts w:hint="eastAsia" w:ascii="仿宋_GB2312" w:eastAsia="仿宋_GB2312"/>
          <w:color w:val="auto"/>
          <w:kern w:val="0"/>
          <w:sz w:val="30"/>
          <w:szCs w:val="30"/>
          <w:lang w:eastAsia="zh-CN"/>
        </w:rPr>
        <w:t>；</w:t>
      </w:r>
      <w:r>
        <w:rPr>
          <w:rFonts w:hint="eastAsia" w:ascii="仿宋_GB2312" w:hAnsi="仿宋_GB2312" w:eastAsia="仿宋_GB2312" w:cs="仿宋_GB2312"/>
          <w:color w:val="auto"/>
          <w:kern w:val="0"/>
          <w:sz w:val="30"/>
          <w:szCs w:val="30"/>
        </w:rPr>
        <w:t>项目支出0万元</w:t>
      </w:r>
      <w:r>
        <w:rPr>
          <w:rFonts w:hint="eastAsia" w:ascii="仿宋_GB2312" w:hAnsi="仿宋_GB2312" w:eastAsia="仿宋_GB2312" w:cs="仿宋_GB2312"/>
          <w:color w:val="auto"/>
          <w:kern w:val="0"/>
          <w:sz w:val="30"/>
          <w:szCs w:val="30"/>
          <w:lang w:eastAsia="zh-CN"/>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color w:val="auto"/>
          <w:kern w:val="0"/>
          <w:sz w:val="30"/>
          <w:szCs w:val="30"/>
        </w:rPr>
      </w:pPr>
      <w:r>
        <w:rPr>
          <w:rFonts w:hint="eastAsia" w:ascii="仿宋_GB2312" w:hAnsi="仿宋_GB2312" w:eastAsia="仿宋_GB2312" w:cs="仿宋_GB2312"/>
          <w:color w:val="auto"/>
          <w:sz w:val="30"/>
          <w:szCs w:val="30"/>
          <w:lang w:val="en-US" w:eastAsia="zh-CN"/>
        </w:rPr>
        <w:t>“2210201”</w:t>
      </w:r>
      <w:r>
        <w:rPr>
          <w:rFonts w:hint="eastAsia" w:ascii="仿宋_GB2312" w:hAnsi="仿宋_GB2312" w:eastAsia="仿宋_GB2312" w:cs="仿宋_GB2312"/>
          <w:color w:val="auto"/>
          <w:sz w:val="30"/>
          <w:szCs w:val="30"/>
          <w:shd w:val="clear" w:color="040000" w:fill="FFFFFF"/>
        </w:rPr>
        <w:t>住房保障支出-住房改革支出</w:t>
      </w:r>
      <w:r>
        <w:rPr>
          <w:rFonts w:hint="eastAsia" w:ascii="仿宋_GB2312" w:eastAsia="仿宋_GB2312"/>
          <w:color w:val="auto"/>
          <w:kern w:val="0"/>
          <w:sz w:val="30"/>
          <w:szCs w:val="30"/>
          <w:lang w:val="en-US" w:eastAsia="zh-CN"/>
        </w:rPr>
        <w:t>146.05</w:t>
      </w:r>
      <w:r>
        <w:rPr>
          <w:rFonts w:hint="eastAsia" w:ascii="仿宋_GB2312" w:eastAsia="仿宋_GB2312"/>
          <w:color w:val="auto"/>
          <w:kern w:val="0"/>
          <w:sz w:val="30"/>
          <w:szCs w:val="30"/>
        </w:rPr>
        <w:t>万元</w:t>
      </w:r>
      <w:r>
        <w:rPr>
          <w:rFonts w:hint="eastAsia" w:ascii="仿宋_GB2312" w:hAnsi="仿宋_GB2312" w:eastAsia="仿宋_GB2312" w:cs="仿宋_GB2312"/>
          <w:color w:val="auto"/>
          <w:kern w:val="0"/>
          <w:sz w:val="30"/>
          <w:szCs w:val="30"/>
        </w:rPr>
        <w:t>其中：基本支出</w:t>
      </w:r>
      <w:r>
        <w:rPr>
          <w:rFonts w:hint="eastAsia" w:ascii="仿宋_GB2312" w:eastAsia="仿宋_GB2312"/>
          <w:color w:val="auto"/>
          <w:kern w:val="0"/>
          <w:sz w:val="30"/>
          <w:szCs w:val="30"/>
          <w:lang w:val="en-US" w:eastAsia="zh-CN"/>
        </w:rPr>
        <w:t>146.05</w:t>
      </w:r>
      <w:r>
        <w:rPr>
          <w:rFonts w:hint="eastAsia" w:ascii="仿宋_GB2312" w:hAnsi="仿宋_GB2312" w:eastAsia="仿宋_GB2312" w:cs="仿宋_GB2312"/>
          <w:color w:val="auto"/>
          <w:kern w:val="0"/>
          <w:sz w:val="30"/>
          <w:szCs w:val="30"/>
        </w:rPr>
        <w:t>万元，主要用于301工资福利支出中的住房公积金</w:t>
      </w:r>
      <w:r>
        <w:rPr>
          <w:rFonts w:hint="eastAsia" w:ascii="仿宋_GB2312" w:eastAsia="仿宋_GB2312"/>
          <w:color w:val="auto"/>
          <w:kern w:val="0"/>
          <w:sz w:val="30"/>
          <w:szCs w:val="30"/>
          <w:lang w:val="en-US" w:eastAsia="zh-CN"/>
        </w:rPr>
        <w:t>146.05</w:t>
      </w:r>
      <w:r>
        <w:rPr>
          <w:rFonts w:hint="eastAsia" w:ascii="仿宋_GB2312" w:eastAsia="仿宋_GB2312"/>
          <w:color w:val="auto"/>
          <w:kern w:val="0"/>
          <w:sz w:val="30"/>
          <w:szCs w:val="30"/>
        </w:rPr>
        <w:t>万元</w:t>
      </w:r>
      <w:r>
        <w:rPr>
          <w:rFonts w:hint="eastAsia" w:ascii="仿宋_GB2312" w:eastAsia="仿宋_GB2312"/>
          <w:color w:val="auto"/>
          <w:kern w:val="0"/>
          <w:sz w:val="30"/>
          <w:szCs w:val="30"/>
          <w:lang w:eastAsia="zh-CN"/>
        </w:rPr>
        <w:t>；</w:t>
      </w:r>
      <w:r>
        <w:rPr>
          <w:rFonts w:hint="eastAsia" w:ascii="仿宋_GB2312" w:hAnsi="仿宋_GB2312" w:eastAsia="仿宋_GB2312" w:cs="仿宋_GB2312"/>
          <w:color w:val="auto"/>
          <w:kern w:val="0"/>
          <w:sz w:val="30"/>
          <w:szCs w:val="30"/>
        </w:rPr>
        <w:t>项目支出0万元</w:t>
      </w:r>
      <w:r>
        <w:rPr>
          <w:rFonts w:hint="eastAsia" w:ascii="仿宋_GB2312" w:hAnsi="仿宋_GB2312" w:eastAsia="仿宋_GB2312" w:cs="仿宋_GB2312"/>
          <w:color w:val="auto"/>
          <w:kern w:val="0"/>
          <w:sz w:val="30"/>
          <w:szCs w:val="30"/>
          <w:lang w:eastAsia="zh-CN"/>
        </w:rPr>
        <w:t>。</w:t>
      </w:r>
    </w:p>
    <w:p>
      <w:pPr>
        <w:keepNext w:val="0"/>
        <w:keepLines w:val="0"/>
        <w:pageBreakBefore w:val="0"/>
        <w:widowControl/>
        <w:numPr>
          <w:ilvl w:val="0"/>
          <w:numId w:val="3"/>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lang w:eastAsia="zh-CN"/>
        </w:rPr>
        <w:t>县</w:t>
      </w:r>
      <w:r>
        <w:rPr>
          <w:rFonts w:ascii="黑体" w:hAnsi="黑体" w:eastAsia="黑体"/>
          <w:kern w:val="0"/>
          <w:sz w:val="30"/>
          <w:szCs w:val="30"/>
        </w:rPr>
        <w:t>对下</w:t>
      </w:r>
      <w:r>
        <w:rPr>
          <w:rFonts w:hint="eastAsia" w:ascii="黑体" w:hAnsi="黑体" w:eastAsia="黑体"/>
          <w:kern w:val="0"/>
          <w:sz w:val="30"/>
          <w:szCs w:val="30"/>
        </w:rPr>
        <w:t>专</w:t>
      </w:r>
      <w:r>
        <w:rPr>
          <w:rFonts w:ascii="黑体" w:hAnsi="黑体" w:eastAsia="黑体"/>
          <w:kern w:val="0"/>
          <w:sz w:val="30"/>
          <w:szCs w:val="30"/>
        </w:rPr>
        <w:t>项转移支付情况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本单位2019年无</w:t>
      </w:r>
      <w:r>
        <w:rPr>
          <w:rFonts w:hint="eastAsia" w:ascii="仿宋_GB2312" w:hAnsi="仿宋_GB2312" w:eastAsia="仿宋_GB2312" w:cs="仿宋_GB2312"/>
          <w:kern w:val="0"/>
          <w:sz w:val="30"/>
          <w:szCs w:val="30"/>
          <w:lang w:eastAsia="zh-CN"/>
        </w:rPr>
        <w:t>县</w:t>
      </w:r>
      <w:r>
        <w:rPr>
          <w:rFonts w:hint="eastAsia" w:ascii="仿宋_GB2312" w:hAnsi="仿宋_GB2312" w:eastAsia="仿宋_GB2312" w:cs="仿宋_GB2312"/>
          <w:kern w:val="0"/>
          <w:sz w:val="30"/>
          <w:szCs w:val="30"/>
        </w:rPr>
        <w:t>对下专项转移支付</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六、政府采购预算情况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无</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七、预算收支增减变化情况说明</w:t>
      </w:r>
    </w:p>
    <w:p>
      <w:pPr>
        <w:keepNext w:val="0"/>
        <w:keepLines w:val="0"/>
        <w:pageBreakBefore w:val="0"/>
        <w:widowControl/>
        <w:numPr>
          <w:ilvl w:val="0"/>
          <w:numId w:val="4"/>
        </w:numPr>
        <w:kinsoku/>
        <w:wordWrap/>
        <w:overflowPunct/>
        <w:topLinePunct w:val="0"/>
        <w:autoSpaceDE/>
        <w:autoSpaceDN/>
        <w:bidi w:val="0"/>
        <w:adjustRightInd/>
        <w:snapToGrid/>
        <w:ind w:firstLine="600" w:firstLineChars="200"/>
        <w:jc w:val="both"/>
        <w:textAlignment w:val="auto"/>
        <w:outlineLvl w:val="9"/>
        <w:rPr>
          <w:rFonts w:hint="eastAsia" w:ascii="楷体_GB2312" w:eastAsia="楷体_GB2312"/>
          <w:kern w:val="0"/>
          <w:sz w:val="30"/>
          <w:szCs w:val="30"/>
        </w:rPr>
      </w:pPr>
      <w:r>
        <w:rPr>
          <w:rFonts w:hint="eastAsia" w:ascii="楷体_GB2312" w:eastAsia="楷体_GB2312"/>
          <w:kern w:val="0"/>
          <w:sz w:val="30"/>
          <w:szCs w:val="30"/>
        </w:rPr>
        <w:t>部门“三公”经费增减变化情况及原因说明</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atLeast"/>
        <w:ind w:left="0" w:right="0" w:firstLine="600" w:firstLineChars="200"/>
        <w:jc w:val="both"/>
        <w:textAlignment w:val="auto"/>
        <w:outlineLvl w:val="9"/>
        <w:rPr>
          <w:rFonts w:hint="eastAsia" w:ascii="仿宋_GB2312" w:eastAsia="仿宋_GB2312"/>
          <w:kern w:val="0"/>
          <w:sz w:val="30"/>
          <w:szCs w:val="30"/>
        </w:rPr>
      </w:pPr>
      <w:r>
        <w:rPr>
          <w:rFonts w:hint="eastAsia" w:ascii="仿宋_GB2312" w:eastAsia="仿宋_GB2312"/>
          <w:kern w:val="0"/>
          <w:sz w:val="30"/>
          <w:szCs w:val="30"/>
        </w:rPr>
        <w:t>2019年盈江县</w:t>
      </w:r>
      <w:r>
        <w:rPr>
          <w:rFonts w:hint="eastAsia" w:ascii="仿宋_GB2312" w:eastAsia="仿宋_GB2312"/>
          <w:kern w:val="0"/>
          <w:sz w:val="30"/>
          <w:szCs w:val="30"/>
          <w:lang w:eastAsia="zh-CN"/>
        </w:rPr>
        <w:t>旧城镇中心学校</w:t>
      </w:r>
      <w:r>
        <w:rPr>
          <w:rFonts w:hint="eastAsia" w:ascii="仿宋_GB2312" w:eastAsia="仿宋_GB2312"/>
          <w:kern w:val="0"/>
          <w:sz w:val="30"/>
          <w:szCs w:val="30"/>
        </w:rPr>
        <w:t>“三公”经费预算数为</w:t>
      </w:r>
      <w:r>
        <w:rPr>
          <w:rFonts w:hint="eastAsia" w:ascii="仿宋_GB2312" w:eastAsia="仿宋_GB2312"/>
          <w:kern w:val="0"/>
          <w:sz w:val="30"/>
          <w:szCs w:val="30"/>
          <w:lang w:val="en-US" w:eastAsia="zh-CN"/>
        </w:rPr>
        <w:t>2.16</w:t>
      </w:r>
      <w:r>
        <w:rPr>
          <w:rFonts w:hint="eastAsia" w:ascii="仿宋_GB2312" w:eastAsia="仿宋_GB2312"/>
          <w:kern w:val="0"/>
          <w:sz w:val="30"/>
          <w:szCs w:val="30"/>
        </w:rPr>
        <w:t>万元，其中：因公出国（境）费用0万元、公务接待费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万元、公务用车购置及运行费</w:t>
      </w:r>
      <w:r>
        <w:rPr>
          <w:rFonts w:hint="eastAsia" w:ascii="仿宋_GB2312" w:eastAsia="仿宋_GB2312"/>
          <w:kern w:val="0"/>
          <w:sz w:val="30"/>
          <w:szCs w:val="30"/>
          <w:lang w:val="en-US" w:eastAsia="zh-CN"/>
        </w:rPr>
        <w:t>2.16</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2.16</w:t>
      </w:r>
      <w:r>
        <w:rPr>
          <w:rFonts w:hint="eastAsia" w:ascii="仿宋_GB2312" w:eastAsia="仿宋_GB2312"/>
          <w:kern w:val="0"/>
          <w:sz w:val="30"/>
          <w:szCs w:val="30"/>
        </w:rPr>
        <w:t>万元。与上年三公”经费预算数</w:t>
      </w:r>
      <w:r>
        <w:rPr>
          <w:rFonts w:hint="eastAsia" w:ascii="仿宋_GB2312" w:eastAsia="仿宋_GB2312"/>
          <w:kern w:val="0"/>
          <w:sz w:val="30"/>
          <w:szCs w:val="30"/>
          <w:lang w:val="en-US" w:eastAsia="zh-CN"/>
        </w:rPr>
        <w:t>2.16</w:t>
      </w:r>
      <w:r>
        <w:rPr>
          <w:rFonts w:hint="eastAsia" w:ascii="仿宋_GB2312" w:eastAsia="仿宋_GB2312"/>
          <w:kern w:val="0"/>
          <w:sz w:val="30"/>
          <w:szCs w:val="30"/>
        </w:rPr>
        <w:t>万元相比持平。其中:因公出国（境）费用0万元与上年预算数0万元持平，公务接待费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万元持平，公务用车购置及运行费</w:t>
      </w:r>
      <w:r>
        <w:rPr>
          <w:rFonts w:hint="eastAsia" w:ascii="仿宋_GB2312" w:eastAsia="仿宋_GB2312"/>
          <w:kern w:val="0"/>
          <w:sz w:val="30"/>
          <w:szCs w:val="30"/>
          <w:lang w:val="en-US" w:eastAsia="zh-CN"/>
        </w:rPr>
        <w:t>2.16</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2.16</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2.16</w:t>
      </w:r>
      <w:r>
        <w:rPr>
          <w:rFonts w:hint="eastAsia" w:ascii="仿宋_GB2312" w:eastAsia="仿宋_GB2312"/>
          <w:kern w:val="0"/>
          <w:sz w:val="30"/>
          <w:szCs w:val="30"/>
        </w:rPr>
        <w:t>万元持平。</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atLeast"/>
        <w:ind w:left="0" w:right="0" w:firstLine="600" w:firstLineChars="200"/>
        <w:jc w:val="both"/>
        <w:textAlignment w:val="auto"/>
        <w:outlineLvl w:val="9"/>
        <w:rPr>
          <w:rFonts w:hint="eastAsia" w:ascii="楷体_GB2312" w:hAnsi="Times New Roman" w:eastAsia="楷体_GB2312" w:cs="Times New Roman"/>
          <w:kern w:val="0"/>
          <w:sz w:val="30"/>
          <w:szCs w:val="30"/>
          <w:lang w:val="en-US" w:eastAsia="zh-CN" w:bidi="ar-SA"/>
        </w:rPr>
      </w:pPr>
      <w:r>
        <w:rPr>
          <w:rFonts w:hint="eastAsia" w:ascii="楷体" w:hAnsi="楷体" w:eastAsia="楷体" w:cs="楷体"/>
          <w:kern w:val="0"/>
          <w:sz w:val="30"/>
          <w:szCs w:val="30"/>
        </w:rPr>
        <w:t>（二）</w:t>
      </w:r>
      <w:r>
        <w:rPr>
          <w:rFonts w:hint="eastAsia" w:ascii="楷体_GB2312" w:hAnsi="Times New Roman" w:eastAsia="楷体_GB2312" w:cs="Times New Roman"/>
          <w:kern w:val="0"/>
          <w:sz w:val="30"/>
          <w:szCs w:val="30"/>
          <w:lang w:val="en-US" w:eastAsia="zh-CN" w:bidi="ar-SA"/>
        </w:rPr>
        <w:t>预算收入增减变化情况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FF0000"/>
          <w:sz w:val="30"/>
          <w:szCs w:val="30"/>
          <w:lang w:eastAsia="zh-CN"/>
        </w:rPr>
      </w:pPr>
      <w:r>
        <w:rPr>
          <w:rFonts w:hint="eastAsia" w:ascii="仿宋_GB2312" w:hAnsi="仿宋_GB2312" w:eastAsia="仿宋_GB2312" w:cs="仿宋_GB2312"/>
          <w:kern w:val="0"/>
          <w:sz w:val="30"/>
          <w:szCs w:val="30"/>
          <w:lang w:val="en-US" w:eastAsia="zh-CN"/>
        </w:rPr>
        <w:t>2019年部门预算收入1520.47</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，比上年预算数</w:t>
      </w:r>
      <w:r>
        <w:rPr>
          <w:rFonts w:hint="eastAsia" w:ascii="仿宋_GB2312" w:hAnsi="仿宋_GB2312" w:eastAsia="仿宋_GB2312" w:cs="仿宋_GB2312"/>
          <w:kern w:val="0"/>
          <w:sz w:val="30"/>
          <w:szCs w:val="30"/>
          <w:lang w:val="en-US" w:eastAsia="zh-CN"/>
        </w:rPr>
        <w:t>1394.9万元</w:t>
      </w:r>
      <w:r>
        <w:rPr>
          <w:rFonts w:hint="eastAsia" w:ascii="仿宋_GB2312" w:hAnsi="仿宋_GB2312" w:eastAsia="仿宋_GB2312" w:cs="仿宋_GB2312"/>
          <w:kern w:val="0"/>
          <w:sz w:val="30"/>
          <w:szCs w:val="30"/>
          <w:lang w:eastAsia="zh-CN"/>
        </w:rPr>
        <w:t>增</w:t>
      </w:r>
      <w:r>
        <w:rPr>
          <w:rFonts w:hint="eastAsia" w:ascii="仿宋_GB2312" w:hAnsi="仿宋_GB2312" w:eastAsia="仿宋_GB2312" w:cs="仿宋_GB2312"/>
          <w:kern w:val="0"/>
          <w:sz w:val="30"/>
          <w:szCs w:val="30"/>
          <w:lang w:val="en-US" w:eastAsia="zh-CN"/>
        </w:rPr>
        <w:t>125.57万元，增幅为9%。增加原因：调增人员工资。</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楷体_GB2312" w:hAnsi="Times New Roman" w:eastAsia="楷体_GB2312" w:cs="Times New Roman"/>
          <w:kern w:val="0"/>
          <w:sz w:val="30"/>
          <w:szCs w:val="30"/>
          <w:lang w:val="en-US" w:eastAsia="zh-CN" w:bidi="ar-SA"/>
        </w:rPr>
      </w:pPr>
      <w:r>
        <w:rPr>
          <w:rFonts w:hint="eastAsia" w:ascii="楷体" w:hAnsi="楷体" w:eastAsia="楷体" w:cs="楷体"/>
          <w:kern w:val="0"/>
          <w:sz w:val="30"/>
          <w:szCs w:val="30"/>
        </w:rPr>
        <w:t>（</w:t>
      </w:r>
      <w:r>
        <w:rPr>
          <w:rFonts w:hint="eastAsia" w:ascii="楷体" w:hAnsi="楷体" w:eastAsia="楷体" w:cs="楷体"/>
          <w:kern w:val="0"/>
          <w:sz w:val="30"/>
          <w:szCs w:val="30"/>
          <w:lang w:eastAsia="zh-CN"/>
        </w:rPr>
        <w:t>三</w:t>
      </w:r>
      <w:r>
        <w:rPr>
          <w:rFonts w:hint="eastAsia" w:ascii="楷体" w:hAnsi="楷体" w:eastAsia="楷体" w:cs="楷体"/>
          <w:kern w:val="0"/>
          <w:sz w:val="30"/>
          <w:szCs w:val="30"/>
        </w:rPr>
        <w:t>）</w:t>
      </w:r>
      <w:r>
        <w:rPr>
          <w:rFonts w:hint="eastAsia" w:ascii="楷体_GB2312" w:hAnsi="Times New Roman" w:eastAsia="楷体_GB2312" w:cs="Times New Roman"/>
          <w:kern w:val="0"/>
          <w:sz w:val="30"/>
          <w:szCs w:val="30"/>
          <w:lang w:val="en-US" w:eastAsia="zh-CN" w:bidi="ar-SA"/>
        </w:rPr>
        <w:t>部门基本支出预算变动的主要原因，对本年与上年同口径数据比对情况分析</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楷体" w:hAnsi="楷体" w:eastAsia="楷体" w:cs="楷体"/>
          <w:kern w:val="0"/>
          <w:sz w:val="30"/>
          <w:szCs w:val="30"/>
        </w:rPr>
      </w:pPr>
      <w:r>
        <w:rPr>
          <w:rFonts w:hint="eastAsia" w:ascii="仿宋_GB2312" w:eastAsia="仿宋_GB2312"/>
          <w:kern w:val="0"/>
          <w:sz w:val="30"/>
          <w:szCs w:val="30"/>
        </w:rPr>
        <w:t>2019 年盈江县</w:t>
      </w:r>
      <w:r>
        <w:rPr>
          <w:rFonts w:hint="eastAsia" w:ascii="仿宋_GB2312" w:eastAsia="仿宋_GB2312"/>
          <w:kern w:val="0"/>
          <w:sz w:val="30"/>
          <w:szCs w:val="30"/>
          <w:lang w:eastAsia="zh-CN"/>
        </w:rPr>
        <w:t>旧城镇中心学校</w:t>
      </w:r>
      <w:r>
        <w:rPr>
          <w:rFonts w:hint="eastAsia" w:ascii="仿宋_GB2312" w:eastAsia="仿宋_GB2312"/>
          <w:kern w:val="0"/>
          <w:sz w:val="30"/>
          <w:szCs w:val="30"/>
        </w:rPr>
        <w:t>基本支出</w:t>
      </w:r>
      <w:r>
        <w:rPr>
          <w:rFonts w:hint="eastAsia" w:ascii="仿宋_GB2312" w:hAnsi="仿宋_GB2312" w:eastAsia="仿宋_GB2312" w:cs="仿宋_GB2312"/>
          <w:kern w:val="0"/>
          <w:sz w:val="30"/>
          <w:szCs w:val="30"/>
          <w:lang w:val="en-US" w:eastAsia="zh-CN"/>
        </w:rPr>
        <w:t>1520.47</w:t>
      </w:r>
      <w:r>
        <w:rPr>
          <w:rFonts w:hint="eastAsia" w:ascii="仿宋_GB2312" w:eastAsia="仿宋_GB2312"/>
          <w:kern w:val="0"/>
          <w:sz w:val="30"/>
          <w:szCs w:val="30"/>
        </w:rPr>
        <w:t>万元与上年同期数</w:t>
      </w:r>
      <w:r>
        <w:rPr>
          <w:rFonts w:hint="eastAsia" w:ascii="仿宋_GB2312" w:hAnsi="仿宋_GB2312" w:eastAsia="仿宋_GB2312" w:cs="仿宋_GB2312"/>
          <w:kern w:val="0"/>
          <w:sz w:val="30"/>
          <w:szCs w:val="30"/>
          <w:lang w:val="en-US" w:eastAsia="zh-CN"/>
        </w:rPr>
        <w:t>1394.9</w:t>
      </w:r>
      <w:r>
        <w:rPr>
          <w:rFonts w:hint="eastAsia" w:ascii="仿宋_GB2312" w:eastAsia="仿宋_GB2312"/>
          <w:kern w:val="0"/>
          <w:sz w:val="30"/>
          <w:szCs w:val="30"/>
        </w:rPr>
        <w:t>万元相比，增加</w:t>
      </w:r>
      <w:r>
        <w:rPr>
          <w:rFonts w:hint="eastAsia" w:ascii="仿宋_GB2312" w:hAnsi="仿宋_GB2312" w:eastAsia="仿宋_GB2312" w:cs="仿宋_GB2312"/>
          <w:kern w:val="0"/>
          <w:sz w:val="30"/>
          <w:szCs w:val="30"/>
          <w:lang w:val="en-US" w:eastAsia="zh-CN"/>
        </w:rPr>
        <w:t>125.57</w:t>
      </w:r>
      <w:r>
        <w:rPr>
          <w:rFonts w:hint="eastAsia" w:ascii="仿宋_GB2312" w:eastAsia="仿宋_GB2312"/>
          <w:kern w:val="0"/>
          <w:sz w:val="30"/>
          <w:szCs w:val="30"/>
        </w:rPr>
        <w:t>万元增幅为9%，主要是在职职工调</w:t>
      </w:r>
      <w:r>
        <w:rPr>
          <w:rFonts w:hint="eastAsia" w:ascii="仿宋_GB2312" w:eastAsia="仿宋_GB2312"/>
          <w:kern w:val="0"/>
          <w:sz w:val="30"/>
          <w:szCs w:val="30"/>
          <w:lang w:eastAsia="zh-CN"/>
        </w:rPr>
        <w:t>增</w:t>
      </w:r>
      <w:r>
        <w:rPr>
          <w:rFonts w:hint="eastAsia" w:ascii="仿宋_GB2312" w:eastAsia="仿宋_GB2312"/>
          <w:kern w:val="0"/>
          <w:sz w:val="30"/>
          <w:szCs w:val="30"/>
        </w:rPr>
        <w:t>基本工资标准和津贴补贴。</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楷体_GB2312" w:hAnsi="Times New Roman" w:eastAsia="楷体_GB2312" w:cs="Times New Roman"/>
          <w:kern w:val="0"/>
          <w:sz w:val="30"/>
          <w:szCs w:val="30"/>
          <w:lang w:val="en-US" w:eastAsia="zh-CN" w:bidi="ar-SA"/>
        </w:rPr>
      </w:pPr>
      <w:r>
        <w:rPr>
          <w:rFonts w:hint="eastAsia" w:ascii="楷体_GB2312" w:eastAsia="楷体_GB2312" w:cs="Times New Roman"/>
          <w:kern w:val="0"/>
          <w:sz w:val="30"/>
          <w:szCs w:val="30"/>
          <w:lang w:val="en-US" w:eastAsia="zh-CN" w:bidi="ar-SA"/>
        </w:rPr>
        <w:t>（四）</w:t>
      </w:r>
      <w:r>
        <w:rPr>
          <w:rFonts w:hint="eastAsia" w:ascii="楷体_GB2312" w:hAnsi="Times New Roman" w:eastAsia="楷体_GB2312" w:cs="Times New Roman"/>
          <w:kern w:val="0"/>
          <w:sz w:val="30"/>
          <w:szCs w:val="30"/>
          <w:lang w:val="en-US" w:eastAsia="zh-CN" w:bidi="ar-SA"/>
        </w:rPr>
        <w:t>项目支出情况</w:t>
      </w:r>
    </w:p>
    <w:p>
      <w:pPr>
        <w:pStyle w:val="14"/>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年盈江县</w:t>
      </w:r>
      <w:r>
        <w:rPr>
          <w:rFonts w:hint="eastAsia" w:ascii="仿宋_GB2312" w:hAnsi="仿宋_GB2312" w:eastAsia="仿宋_GB2312" w:cs="仿宋_GB2312"/>
          <w:sz w:val="30"/>
          <w:szCs w:val="30"/>
          <w:lang w:eastAsia="zh-CN"/>
        </w:rPr>
        <w:t>旧城镇中心学校与</w:t>
      </w:r>
      <w:r>
        <w:rPr>
          <w:rFonts w:hint="eastAsia" w:ascii="仿宋_GB2312" w:hAnsi="仿宋_GB2312" w:eastAsia="仿宋_GB2312" w:cs="仿宋_GB2312"/>
          <w:sz w:val="30"/>
          <w:szCs w:val="30"/>
          <w:lang w:val="en-US" w:eastAsia="zh-CN"/>
        </w:rPr>
        <w:t>2018年一致无项目支出</w:t>
      </w:r>
      <w:r>
        <w:rPr>
          <w:rFonts w:hint="eastAsia" w:ascii="仿宋_GB2312" w:hAnsi="仿宋_GB2312" w:eastAsia="仿宋_GB2312" w:cs="仿宋_GB2312"/>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（一）专业名词解释</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1.财政拨款（补助）收入指财政部门当年拨付的资金。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2.事业收入指事业单位开展业务活动取得的收入。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3.事业单位经营收入指事业单位在业务活动之外开展非独立核算经营活动取得的收入。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4.其他收入指预算单位在“财政拨款收入”、“事业收入”、“经营收入”之外取得的收入。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5.基本支出指为保障机构正常运转、完成日常工作任务而发生的人员支出和公用支出。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6.项目支出指在基本支出之外为完成相关行政任务和事业发展目标所发生的支出。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8.“三公”经费包括因公出国（境）费、公务用车购置及运行费、公务接待费。其中：因公出国（境）费，指单位工作人员公务出国（境）的住宿费、</w:t>
      </w:r>
      <w:r>
        <w:rPr>
          <w:rFonts w:hint="eastAsia" w:ascii="仿宋_GB2312" w:hAnsi="仿宋_GB2312" w:eastAsia="仿宋_GB2312" w:cs="仿宋_GB2312"/>
          <w:color w:val="333333"/>
          <w:kern w:val="0"/>
          <w:sz w:val="30"/>
          <w:szCs w:val="30"/>
          <w:lang w:eastAsia="zh-CN" w:bidi="ar"/>
        </w:rPr>
        <w:t>差</w:t>
      </w:r>
      <w:r>
        <w:rPr>
          <w:rFonts w:hint="eastAsia" w:ascii="仿宋_GB2312" w:hAnsi="仿宋_GB2312" w:eastAsia="仿宋_GB2312" w:cs="仿宋_GB2312"/>
          <w:color w:val="333333"/>
          <w:kern w:val="0"/>
          <w:sz w:val="30"/>
          <w:szCs w:val="30"/>
          <w:lang w:bidi="ar"/>
        </w:rPr>
        <w:t xml:space="preserve">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9.一般公共预算是对以税收为主体的财政收入，安排用于保障和改善民生、推动经济社会发展、维护国家安全、维护国家机构正常运转等方面的收支预算。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10.非税收入是各级政府及其所属部门和单位依法利用行政权力、政府信誉、国家资源、国有资产或提供特定公共服务征收、收取、提取、募集的除税收和政府债务收入以外的财政收入。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11.工资福利支出反映单位开支的在职职工和编制外长期聘用人员的各类劳动报酬，以及为上述人员缴纳的各项社会保险费等。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12.商品和服务支出反映单位购买商品和服务的支出（不包括用于购置固定资产的支出、战略性和应急储备支出）。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13.对个人和家庭的补助反映政府用于对个人和家庭的补助支出。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lang w:bidi="ar"/>
        </w:rPr>
        <w:t>14.政府采购是指各级国家机关、事业单位和团体组织，使用财政性资金采购依法制定的集中采购目录以内的或者采购限额标准以上的货物、工程和服务的行为。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lang w:eastAsia="zh-CN"/>
        </w:rPr>
        <w:t>机关</w:t>
      </w:r>
      <w:r>
        <w:rPr>
          <w:rFonts w:ascii="楷体_GB2312" w:eastAsia="楷体_GB2312"/>
          <w:kern w:val="0"/>
          <w:sz w:val="30"/>
          <w:szCs w:val="30"/>
        </w:rPr>
        <w:t>运行经费安排</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rPr>
      </w:pPr>
      <w:r>
        <w:rPr>
          <w:rFonts w:hint="eastAsia" w:ascii="仿宋_GB2312" w:eastAsia="仿宋_GB2312"/>
          <w:kern w:val="0"/>
          <w:sz w:val="30"/>
          <w:szCs w:val="30"/>
          <w:lang w:eastAsia="zh-CN"/>
        </w:rPr>
        <w:t>无</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国有资产占用情况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rPr>
      </w:pPr>
      <w:r>
        <w:rPr>
          <w:rFonts w:hint="eastAsia" w:ascii="楷体_GB2312" w:eastAsia="楷体_GB2312"/>
          <w:kern w:val="0"/>
          <w:sz w:val="30"/>
          <w:szCs w:val="30"/>
        </w:rPr>
        <w:t xml:space="preserve"> </w:t>
      </w:r>
      <w:r>
        <w:rPr>
          <w:rFonts w:hint="eastAsia" w:ascii="仿宋_GB2312" w:eastAsia="仿宋_GB2312"/>
          <w:kern w:val="0"/>
          <w:sz w:val="30"/>
          <w:szCs w:val="30"/>
        </w:rPr>
        <w:t>鉴于截至2019年12月31日的国有资产占有使用情况需在完成2019年决算编制后才能统计汇总相关数据，因此，将在</w:t>
      </w:r>
      <w:bookmarkStart w:id="0" w:name="_GoBack"/>
      <w:bookmarkEnd w:id="0"/>
      <w:r>
        <w:rPr>
          <w:rFonts w:hint="eastAsia" w:ascii="仿宋_GB2312" w:eastAsia="仿宋_GB2312"/>
          <w:kern w:val="0"/>
          <w:sz w:val="30"/>
          <w:szCs w:val="30"/>
        </w:rPr>
        <w:t>公开</w:t>
      </w:r>
      <w:r>
        <w:rPr>
          <w:rFonts w:hint="eastAsia" w:ascii="仿宋_GB2312" w:eastAsia="仿宋_GB2312"/>
          <w:kern w:val="0"/>
          <w:sz w:val="30"/>
          <w:szCs w:val="30"/>
          <w:lang w:val="en-US" w:eastAsia="zh-CN"/>
        </w:rPr>
        <w:t>2019</w:t>
      </w:r>
      <w:r>
        <w:rPr>
          <w:rFonts w:hint="eastAsia" w:ascii="仿宋_GB2312" w:eastAsia="仿宋_GB2312"/>
          <w:kern w:val="0"/>
          <w:sz w:val="30"/>
          <w:szCs w:val="30"/>
        </w:rPr>
        <w:t>年度部门决算时一并公开部门截至2019年12月31日的国有资产占有使用情况。</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本部门预算绩效情况说明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1520.47</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1520.47</w:t>
      </w:r>
      <w:r>
        <w:rPr>
          <w:rFonts w:eastAsia="仿宋_GB2312"/>
          <w:kern w:val="0"/>
          <w:sz w:val="30"/>
          <w:szCs w:val="30"/>
        </w:rPr>
        <w:t>万元，其中，基本支出</w:t>
      </w:r>
      <w:r>
        <w:rPr>
          <w:rFonts w:hint="eastAsia" w:eastAsia="仿宋_GB2312"/>
          <w:kern w:val="0"/>
          <w:sz w:val="30"/>
          <w:szCs w:val="30"/>
          <w:lang w:val="en-US" w:eastAsia="zh-CN"/>
        </w:rPr>
        <w:t>1520.47</w:t>
      </w:r>
      <w:r>
        <w:rPr>
          <w:rFonts w:eastAsia="仿宋_GB2312"/>
          <w:kern w:val="0"/>
          <w:sz w:val="30"/>
          <w:szCs w:val="30"/>
        </w:rPr>
        <w:t>万元，</w:t>
      </w:r>
      <w:r>
        <w:rPr>
          <w:rFonts w:hint="eastAsia" w:ascii="仿宋_GB2312" w:eastAsia="仿宋_GB2312"/>
          <w:kern w:val="0"/>
          <w:sz w:val="30"/>
          <w:szCs w:val="30"/>
        </w:rPr>
        <w:t>主要用于发放职工工资，</w:t>
      </w:r>
      <w:r>
        <w:rPr>
          <w:rFonts w:hint="eastAsia" w:ascii="仿宋_GB2312" w:hAnsi="仿宋_GB2312" w:eastAsia="仿宋_GB2312" w:cs="仿宋_GB2312"/>
          <w:kern w:val="0"/>
          <w:sz w:val="30"/>
          <w:szCs w:val="30"/>
        </w:rPr>
        <w:t>归口管理的行政单位离退休、</w:t>
      </w:r>
      <w:r>
        <w:rPr>
          <w:rFonts w:hint="eastAsia" w:ascii="仿宋_GB2312" w:eastAsia="仿宋_GB2312"/>
          <w:kern w:val="0"/>
          <w:sz w:val="30"/>
          <w:szCs w:val="30"/>
        </w:rPr>
        <w:t>基本养老保险缴费，住房公积金，支付公用经费确保机构正常运转。</w:t>
      </w:r>
      <w:r>
        <w:rPr>
          <w:rFonts w:eastAsia="仿宋_GB2312"/>
          <w:kern w:val="0"/>
          <w:sz w:val="30"/>
          <w:szCs w:val="30"/>
        </w:rPr>
        <w:t>项目支出</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kinsoku/>
        <w:wordWrap/>
        <w:overflowPunct/>
        <w:topLinePunct w:val="0"/>
        <w:autoSpaceDE/>
        <w:autoSpaceDN/>
        <w:bidi w:val="0"/>
        <w:adjustRightInd/>
        <w:snapToGrid/>
        <w:jc w:val="both"/>
        <w:textAlignment w:val="auto"/>
        <w:outlineLvl w:val="9"/>
        <w:rPr>
          <w:rFonts w:hint="eastAsia" w:ascii="仿宋_GB2312" w:eastAsia="仿宋_GB2312"/>
          <w:kern w:val="0"/>
          <w:sz w:val="30"/>
          <w:szCs w:val="30"/>
        </w:rPr>
      </w:pPr>
    </w:p>
    <w:p>
      <w:pPr>
        <w:keepNext w:val="0"/>
        <w:keepLines w:val="0"/>
        <w:pageBreakBefore w:val="0"/>
        <w:widowControl/>
        <w:kinsoku/>
        <w:wordWrap/>
        <w:overflowPunct/>
        <w:topLinePunct w:val="0"/>
        <w:autoSpaceDE/>
        <w:autoSpaceDN/>
        <w:bidi w:val="0"/>
        <w:adjustRightInd/>
        <w:snapToGrid/>
        <w:jc w:val="both"/>
        <w:textAlignment w:val="auto"/>
        <w:outlineLvl w:val="9"/>
        <w:rPr>
          <w:rFonts w:ascii="楷体_GB2312" w:eastAsia="楷体_GB2312"/>
          <w:kern w:val="0"/>
          <w:sz w:val="30"/>
          <w:szCs w:val="30"/>
        </w:rPr>
      </w:pP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A9B9"/>
    <w:multiLevelType w:val="singleLevel"/>
    <w:tmpl w:val="5C3DA9B9"/>
    <w:lvl w:ilvl="0" w:tentative="0">
      <w:start w:val="3"/>
      <w:numFmt w:val="chineseCounting"/>
      <w:suff w:val="nothing"/>
      <w:lvlText w:val="（%1）"/>
      <w:lvlJc w:val="left"/>
    </w:lvl>
  </w:abstractNum>
  <w:abstractNum w:abstractNumId="1">
    <w:nsid w:val="5C47BA42"/>
    <w:multiLevelType w:val="singleLevel"/>
    <w:tmpl w:val="5C47BA42"/>
    <w:lvl w:ilvl="0" w:tentative="0">
      <w:start w:val="2"/>
      <w:numFmt w:val="chineseCounting"/>
      <w:suff w:val="nothing"/>
      <w:lvlText w:val="（%1）"/>
      <w:lvlJc w:val="left"/>
    </w:lvl>
  </w:abstractNum>
  <w:abstractNum w:abstractNumId="2">
    <w:nsid w:val="5C47DBBF"/>
    <w:multiLevelType w:val="singleLevel"/>
    <w:tmpl w:val="5C47DBBF"/>
    <w:lvl w:ilvl="0" w:tentative="0">
      <w:start w:val="4"/>
      <w:numFmt w:val="chineseCounting"/>
      <w:suff w:val="nothing"/>
      <w:lvlText w:val="%1、"/>
      <w:lvlJc w:val="left"/>
    </w:lvl>
  </w:abstractNum>
  <w:abstractNum w:abstractNumId="3">
    <w:nsid w:val="5C47DC0A"/>
    <w:multiLevelType w:val="singleLevel"/>
    <w:tmpl w:val="5C47DC0A"/>
    <w:lvl w:ilvl="0" w:tentative="0">
      <w:start w:val="5"/>
      <w:numFmt w:val="chineseCounting"/>
      <w:suff w:val="nothing"/>
      <w:lvlText w:val="%1、"/>
      <w:lvlJc w:val="left"/>
    </w:lvl>
  </w:abstractNum>
  <w:abstractNum w:abstractNumId="4">
    <w:nsid w:val="5CB6EB83"/>
    <w:multiLevelType w:val="singleLevel"/>
    <w:tmpl w:val="5CB6EB83"/>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2D74"/>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3CD50E7"/>
    <w:rsid w:val="03F0214E"/>
    <w:rsid w:val="04CF1775"/>
    <w:rsid w:val="05616F12"/>
    <w:rsid w:val="06325B44"/>
    <w:rsid w:val="06E43398"/>
    <w:rsid w:val="084A3CB5"/>
    <w:rsid w:val="0A2B5F05"/>
    <w:rsid w:val="0AB77A2F"/>
    <w:rsid w:val="0D517814"/>
    <w:rsid w:val="0F344CFC"/>
    <w:rsid w:val="13F52A67"/>
    <w:rsid w:val="14594CAF"/>
    <w:rsid w:val="16180DD8"/>
    <w:rsid w:val="16C85A74"/>
    <w:rsid w:val="1A0B3DDD"/>
    <w:rsid w:val="1A685806"/>
    <w:rsid w:val="207165AF"/>
    <w:rsid w:val="23293A4E"/>
    <w:rsid w:val="23C6578F"/>
    <w:rsid w:val="242E2599"/>
    <w:rsid w:val="25C55A88"/>
    <w:rsid w:val="26BF2FF3"/>
    <w:rsid w:val="27E3128E"/>
    <w:rsid w:val="28945F75"/>
    <w:rsid w:val="28D26D48"/>
    <w:rsid w:val="29F4749C"/>
    <w:rsid w:val="2B696D85"/>
    <w:rsid w:val="2D7B7E3A"/>
    <w:rsid w:val="2DA75286"/>
    <w:rsid w:val="2FD25EA1"/>
    <w:rsid w:val="33E37726"/>
    <w:rsid w:val="35AF2369"/>
    <w:rsid w:val="369B6FF2"/>
    <w:rsid w:val="39466C4F"/>
    <w:rsid w:val="39BF048F"/>
    <w:rsid w:val="3C3C7DAF"/>
    <w:rsid w:val="3CC32D4E"/>
    <w:rsid w:val="412133D9"/>
    <w:rsid w:val="43131F13"/>
    <w:rsid w:val="43C35C3E"/>
    <w:rsid w:val="45166B3A"/>
    <w:rsid w:val="457D0650"/>
    <w:rsid w:val="45AB2419"/>
    <w:rsid w:val="46D61E29"/>
    <w:rsid w:val="47D72E89"/>
    <w:rsid w:val="4A940EA9"/>
    <w:rsid w:val="4ADB6554"/>
    <w:rsid w:val="4FC334A8"/>
    <w:rsid w:val="515A348C"/>
    <w:rsid w:val="54396301"/>
    <w:rsid w:val="564C72BA"/>
    <w:rsid w:val="58042733"/>
    <w:rsid w:val="5825432A"/>
    <w:rsid w:val="58310B0B"/>
    <w:rsid w:val="58EF4741"/>
    <w:rsid w:val="590940C2"/>
    <w:rsid w:val="5AB4032D"/>
    <w:rsid w:val="5E7D384C"/>
    <w:rsid w:val="5F365810"/>
    <w:rsid w:val="6566144A"/>
    <w:rsid w:val="65756AF5"/>
    <w:rsid w:val="6732245F"/>
    <w:rsid w:val="67D95CA6"/>
    <w:rsid w:val="67DD5DBE"/>
    <w:rsid w:val="68C77134"/>
    <w:rsid w:val="6A8C3BB7"/>
    <w:rsid w:val="6B883BC0"/>
    <w:rsid w:val="6B9A605E"/>
    <w:rsid w:val="6CAC668F"/>
    <w:rsid w:val="6DA47EEE"/>
    <w:rsid w:val="6FCD3E36"/>
    <w:rsid w:val="724A4A01"/>
    <w:rsid w:val="72F37DB5"/>
    <w:rsid w:val="75F37398"/>
    <w:rsid w:val="76966461"/>
    <w:rsid w:val="79910928"/>
    <w:rsid w:val="7B1E5394"/>
    <w:rsid w:val="7FD01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rPr>
      <w:sz w:val="24"/>
    </w:rPr>
  </w:style>
  <w:style w:type="character" w:styleId="9">
    <w:name w:val="Hyperlink"/>
    <w:basedOn w:val="8"/>
    <w:unhideWhenUsed/>
    <w:qFormat/>
    <w:uiPriority w:val="0"/>
    <w:rPr>
      <w:color w:val="0000FF"/>
      <w:u w:val="single"/>
    </w:rPr>
  </w:style>
  <w:style w:type="character" w:styleId="10">
    <w:name w:val="annotation reference"/>
    <w:semiHidden/>
    <w:qFormat/>
    <w:uiPriority w:val="0"/>
    <w:rPr>
      <w:sz w:val="21"/>
      <w:szCs w:val="21"/>
    </w:rPr>
  </w:style>
  <w:style w:type="paragraph" w:customStyle="1" w:styleId="12">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3">
    <w:name w:val="Normal (Web)"/>
    <w:basedOn w:val="1"/>
    <w:qFormat/>
    <w:uiPriority w:val="0"/>
    <w:pPr>
      <w:jc w:val="left"/>
    </w:pPr>
    <w:rPr>
      <w:kern w:val="0"/>
      <w:sz w:val="24"/>
    </w:rPr>
  </w:style>
  <w:style w:type="paragraph" w:customStyle="1" w:styleId="14">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1</TotalTime>
  <ScaleCrop>false</ScaleCrop>
  <LinksUpToDate>false</LinksUpToDate>
  <CharactersWithSpaces>1255</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Bruce S</cp:lastModifiedBy>
  <cp:lastPrinted>2018-01-31T03:32:00Z</cp:lastPrinted>
  <dcterms:modified xsi:type="dcterms:W3CDTF">2019-04-29T09:01:42Z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