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盈江县卡场镇九年一贯制学校2019年</w:t>
      </w:r>
    </w:p>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预算公开</w:t>
      </w: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 盈江县卡场镇九年一贯制学校2019年部门预算编制说明</w:t>
      </w:r>
    </w:p>
    <w:p>
      <w:pPr>
        <w:jc w:val="left"/>
        <w:rPr>
          <w:rFonts w:ascii="黑体" w:hAnsi="黑体" w:eastAsia="黑体"/>
          <w:sz w:val="30"/>
          <w:szCs w:val="30"/>
        </w:rPr>
      </w:pPr>
      <w:r>
        <w:rPr>
          <w:rFonts w:hint="eastAsia" w:ascii="黑体" w:hAnsi="黑体" w:eastAsia="黑体"/>
          <w:sz w:val="30"/>
          <w:szCs w:val="30"/>
        </w:rPr>
        <w:t>第二部分 盈江县卡场镇九年一贯制学校2019年部门预算表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jc w:val="left"/>
        <w:rPr>
          <w:rFonts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盈江县卡场镇九年一贯制学校2019年部门预算编制说明</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江县财政局关于盈江县卡场镇九年一贯制学校2019年部门预算的批复》（盈财预分指〔2019〕37号），按照预算管理的相关规定，盈江县卡场镇九年一贯制学校部门预算编制实行全口径预算管理，收入和支出全部纳入预算管理。</w:t>
      </w:r>
    </w:p>
    <w:p>
      <w:pPr>
        <w:keepNext w:val="0"/>
        <w:keepLines w:val="0"/>
        <w:pageBreakBefore w:val="0"/>
        <w:widowControl/>
        <w:kinsoku/>
        <w:wordWrap/>
        <w:overflowPunct/>
        <w:topLinePunct w:val="0"/>
        <w:bidi w:val="0"/>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bidi w:val="0"/>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bidi w:val="0"/>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bidi w:val="0"/>
        <w:snapToGrid/>
        <w:ind w:firstLine="560" w:firstLineChars="200"/>
        <w:jc w:val="both"/>
        <w:textAlignment w:val="auto"/>
        <w:outlineLvl w:val="9"/>
        <w:rPr>
          <w:rFonts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28"/>
          <w:szCs w:val="28"/>
        </w:rPr>
        <w:t>盈江县卡场镇九年一贯制学校设置1</w:t>
      </w:r>
      <w:r>
        <w:rPr>
          <w:rFonts w:hint="eastAsia" w:ascii="仿宋_GB2312" w:hAnsi="仿宋_GB2312" w:eastAsia="仿宋_GB2312" w:cs="仿宋_GB2312"/>
          <w:color w:val="auto"/>
          <w:kern w:val="0"/>
          <w:sz w:val="28"/>
          <w:szCs w:val="28"/>
          <w:lang w:val="en-US" w:eastAsia="zh-CN"/>
        </w:rPr>
        <w:t>1</w:t>
      </w:r>
      <w:r>
        <w:rPr>
          <w:rFonts w:hint="eastAsia" w:ascii="仿宋_GB2312" w:hAnsi="仿宋_GB2312" w:eastAsia="仿宋_GB2312" w:cs="仿宋_GB2312"/>
          <w:color w:val="auto"/>
          <w:kern w:val="0"/>
          <w:sz w:val="28"/>
          <w:szCs w:val="28"/>
        </w:rPr>
        <w:t>个校点：</w:t>
      </w:r>
      <w:r>
        <w:rPr>
          <w:rFonts w:hint="eastAsia" w:ascii="仿宋_GB2312" w:hAnsi="仿宋_GB2312" w:eastAsia="仿宋_GB2312" w:cs="仿宋_GB2312"/>
          <w:color w:val="auto"/>
          <w:kern w:val="0"/>
          <w:sz w:val="28"/>
          <w:szCs w:val="28"/>
          <w:lang w:eastAsia="zh-CN"/>
        </w:rPr>
        <w:t>卡场镇中学</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eastAsia="zh-CN"/>
        </w:rPr>
        <w:t>卡场镇中心小学、卡场镇</w:t>
      </w:r>
      <w:r>
        <w:rPr>
          <w:rFonts w:hint="eastAsia" w:ascii="仿宋_GB2312" w:hAnsi="仿宋_GB2312" w:eastAsia="仿宋_GB2312" w:cs="仿宋_GB2312"/>
          <w:color w:val="auto"/>
          <w:kern w:val="0"/>
          <w:sz w:val="28"/>
          <w:szCs w:val="28"/>
        </w:rPr>
        <w:t>草坝小学、</w:t>
      </w:r>
      <w:r>
        <w:rPr>
          <w:rFonts w:hint="eastAsia" w:ascii="仿宋_GB2312" w:hAnsi="仿宋_GB2312" w:eastAsia="仿宋_GB2312" w:cs="仿宋_GB2312"/>
          <w:color w:val="auto"/>
          <w:kern w:val="0"/>
          <w:sz w:val="28"/>
          <w:szCs w:val="28"/>
          <w:lang w:eastAsia="zh-CN"/>
        </w:rPr>
        <w:t>卡场镇</w:t>
      </w:r>
      <w:r>
        <w:rPr>
          <w:rFonts w:hint="eastAsia" w:ascii="仿宋_GB2312" w:hAnsi="仿宋_GB2312" w:eastAsia="仿宋_GB2312" w:cs="仿宋_GB2312"/>
          <w:color w:val="auto"/>
          <w:kern w:val="0"/>
          <w:sz w:val="28"/>
          <w:szCs w:val="28"/>
        </w:rPr>
        <w:t>吾排小学、</w:t>
      </w:r>
      <w:r>
        <w:rPr>
          <w:rFonts w:hint="eastAsia" w:ascii="仿宋_GB2312" w:hAnsi="仿宋_GB2312" w:eastAsia="仿宋_GB2312" w:cs="仿宋_GB2312"/>
          <w:color w:val="auto"/>
          <w:kern w:val="0"/>
          <w:sz w:val="28"/>
          <w:szCs w:val="28"/>
          <w:lang w:eastAsia="zh-CN"/>
        </w:rPr>
        <w:t>卡场镇</w:t>
      </w:r>
      <w:r>
        <w:rPr>
          <w:rFonts w:hint="eastAsia" w:ascii="仿宋_GB2312" w:hAnsi="仿宋_GB2312" w:eastAsia="仿宋_GB2312" w:cs="仿宋_GB2312"/>
          <w:color w:val="auto"/>
          <w:kern w:val="0"/>
          <w:sz w:val="28"/>
          <w:szCs w:val="28"/>
        </w:rPr>
        <w:t>傈河底小学、</w:t>
      </w:r>
      <w:r>
        <w:rPr>
          <w:rFonts w:hint="eastAsia" w:ascii="仿宋_GB2312" w:hAnsi="仿宋_GB2312" w:eastAsia="仿宋_GB2312" w:cs="仿宋_GB2312"/>
          <w:color w:val="auto"/>
          <w:kern w:val="0"/>
          <w:sz w:val="28"/>
          <w:szCs w:val="28"/>
          <w:lang w:eastAsia="zh-CN"/>
        </w:rPr>
        <w:t>卡场镇</w:t>
      </w:r>
      <w:r>
        <w:rPr>
          <w:rFonts w:hint="eastAsia" w:ascii="仿宋_GB2312" w:hAnsi="仿宋_GB2312" w:eastAsia="仿宋_GB2312" w:cs="仿宋_GB2312"/>
          <w:color w:val="auto"/>
          <w:kern w:val="0"/>
          <w:sz w:val="28"/>
          <w:szCs w:val="28"/>
        </w:rPr>
        <w:t>龙洞小学、</w:t>
      </w:r>
      <w:r>
        <w:rPr>
          <w:rFonts w:hint="eastAsia" w:ascii="仿宋_GB2312" w:hAnsi="仿宋_GB2312" w:eastAsia="仿宋_GB2312" w:cs="仿宋_GB2312"/>
          <w:color w:val="auto"/>
          <w:kern w:val="0"/>
          <w:sz w:val="28"/>
          <w:szCs w:val="28"/>
          <w:lang w:eastAsia="zh-CN"/>
        </w:rPr>
        <w:t>卡场镇</w:t>
      </w:r>
      <w:r>
        <w:rPr>
          <w:rFonts w:hint="eastAsia" w:ascii="仿宋_GB2312" w:hAnsi="仿宋_GB2312" w:eastAsia="仿宋_GB2312" w:cs="仿宋_GB2312"/>
          <w:color w:val="auto"/>
          <w:kern w:val="0"/>
          <w:sz w:val="28"/>
          <w:szCs w:val="28"/>
        </w:rPr>
        <w:t>石竹河小学、</w:t>
      </w:r>
      <w:r>
        <w:rPr>
          <w:rFonts w:hint="eastAsia" w:ascii="仿宋_GB2312" w:hAnsi="仿宋_GB2312" w:eastAsia="仿宋_GB2312" w:cs="仿宋_GB2312"/>
          <w:color w:val="auto"/>
          <w:kern w:val="0"/>
          <w:sz w:val="28"/>
          <w:szCs w:val="28"/>
          <w:lang w:eastAsia="zh-CN"/>
        </w:rPr>
        <w:t>卡场镇</w:t>
      </w:r>
      <w:r>
        <w:rPr>
          <w:rFonts w:hint="eastAsia" w:ascii="仿宋_GB2312" w:hAnsi="仿宋_GB2312" w:eastAsia="仿宋_GB2312" w:cs="仿宋_GB2312"/>
          <w:color w:val="auto"/>
          <w:kern w:val="0"/>
          <w:sz w:val="28"/>
          <w:szCs w:val="28"/>
        </w:rPr>
        <w:t>丁林寨小学、</w:t>
      </w:r>
      <w:r>
        <w:rPr>
          <w:rFonts w:hint="eastAsia" w:ascii="仿宋_GB2312" w:hAnsi="仿宋_GB2312" w:eastAsia="仿宋_GB2312" w:cs="仿宋_GB2312"/>
          <w:color w:val="auto"/>
          <w:kern w:val="0"/>
          <w:sz w:val="28"/>
          <w:szCs w:val="28"/>
          <w:lang w:eastAsia="zh-CN"/>
        </w:rPr>
        <w:t>卡场镇</w:t>
      </w:r>
      <w:r>
        <w:rPr>
          <w:rFonts w:hint="eastAsia" w:ascii="仿宋_GB2312" w:hAnsi="仿宋_GB2312" w:eastAsia="仿宋_GB2312" w:cs="仿宋_GB2312"/>
          <w:color w:val="auto"/>
          <w:kern w:val="0"/>
          <w:sz w:val="28"/>
          <w:szCs w:val="28"/>
        </w:rPr>
        <w:t>黑河小学、</w:t>
      </w:r>
      <w:r>
        <w:rPr>
          <w:rFonts w:hint="eastAsia" w:ascii="仿宋_GB2312" w:hAnsi="仿宋_GB2312" w:eastAsia="仿宋_GB2312" w:cs="仿宋_GB2312"/>
          <w:color w:val="auto"/>
          <w:kern w:val="0"/>
          <w:sz w:val="28"/>
          <w:szCs w:val="28"/>
          <w:lang w:eastAsia="zh-CN"/>
        </w:rPr>
        <w:t>卡场镇</w:t>
      </w:r>
      <w:r>
        <w:rPr>
          <w:rFonts w:hint="eastAsia" w:ascii="仿宋_GB2312" w:hAnsi="仿宋_GB2312" w:eastAsia="仿宋_GB2312" w:cs="仿宋_GB2312"/>
          <w:color w:val="auto"/>
          <w:kern w:val="0"/>
          <w:sz w:val="28"/>
          <w:szCs w:val="28"/>
        </w:rPr>
        <w:t>盆都小学、</w:t>
      </w:r>
      <w:r>
        <w:rPr>
          <w:rFonts w:hint="eastAsia" w:ascii="仿宋_GB2312" w:hAnsi="仿宋_GB2312" w:eastAsia="仿宋_GB2312" w:cs="仿宋_GB2312"/>
          <w:color w:val="auto"/>
          <w:kern w:val="0"/>
          <w:sz w:val="28"/>
          <w:szCs w:val="28"/>
          <w:lang w:eastAsia="zh-CN"/>
        </w:rPr>
        <w:t>卡场镇</w:t>
      </w:r>
      <w:r>
        <w:rPr>
          <w:rFonts w:hint="eastAsia" w:ascii="仿宋_GB2312" w:hAnsi="仿宋_GB2312" w:eastAsia="仿宋_GB2312" w:cs="仿宋_GB2312"/>
          <w:color w:val="auto"/>
          <w:kern w:val="0"/>
          <w:sz w:val="28"/>
          <w:szCs w:val="28"/>
        </w:rPr>
        <w:t>东棚洋小学。</w:t>
      </w:r>
    </w:p>
    <w:p>
      <w:pPr>
        <w:keepNext w:val="0"/>
        <w:keepLines w:val="0"/>
        <w:pageBreakBefore w:val="0"/>
        <w:widowControl/>
        <w:kinsoku/>
        <w:wordWrap/>
        <w:overflowPunct/>
        <w:topLinePunct w:val="0"/>
        <w:bidi w:val="0"/>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kinsoku/>
        <w:wordWrap/>
        <w:overflowPunct/>
        <w:topLinePunct w:val="0"/>
        <w:autoSpaceDE w:val="0"/>
        <w:autoSpaceDN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为使我校在新学年里的各项工作正常稳步的进行。进一步强化学校常规管理工作，深化教育科研工作，全面提高升我镇教育教学质量。在县教育局的正确领导下，以办人民满意教育为宗旨，以立德树人为根本，以实施素质教育为主题，全面提高教学质量，探索特色学校建设，不断提升学校教育整体实力，确保学校可持续发展；进一步完善学校管理机制，狠抓教学常规管理，强化教研教改工作，加强教师队伍建设，加快对青年教师培养步伐，提高教育教学质量，切实推进我校教育全面协调可持续发展，着力办好人民满意的教育。</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1、工作目标</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1</w:t>
      </w:r>
      <w:r>
        <w:rPr>
          <w:rFonts w:hint="eastAsia" w:ascii="仿宋_GB2312" w:hAnsi="宋体" w:eastAsia="仿宋_GB2312"/>
          <w:sz w:val="30"/>
          <w:szCs w:val="30"/>
        </w:rPr>
        <w:t>）继续加强队伍建设，提高管理水平，使管理走向科学化、规范化。</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2</w:t>
      </w:r>
      <w:r>
        <w:rPr>
          <w:rFonts w:hint="eastAsia" w:ascii="仿宋_GB2312" w:hAnsi="宋体" w:eastAsia="仿宋_GB2312"/>
          <w:sz w:val="30"/>
          <w:szCs w:val="30"/>
        </w:rPr>
        <w:t>）围绕课堂抓考核，围绕质量抓教研、围绕教研抓提高，使课堂有特色，常规有特点（规范、有序、高效），教研有成果，不断提高教育教学质量。通过学习、实践、研讨等形式，搭建平台，训练培养一批骨干教师，并帮助青年教师快速成长。</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3</w:t>
      </w:r>
      <w:r>
        <w:rPr>
          <w:rFonts w:hint="eastAsia" w:ascii="仿宋_GB2312" w:hAnsi="宋体" w:eastAsia="仿宋_GB2312"/>
          <w:sz w:val="30"/>
          <w:szCs w:val="30"/>
        </w:rPr>
        <w:t>）抓好安全工作，巩固“安全文明校园”成果，积极开展“平安和谐校园”创建活动。广泛开展“禁防”教育、安全教育、普法教育、加大依法治校、依法治教的力度，确保师生生命财产安全。</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4</w:t>
      </w:r>
      <w:r>
        <w:rPr>
          <w:rFonts w:hint="eastAsia" w:ascii="仿宋_GB2312" w:hAnsi="宋体" w:eastAsia="仿宋_GB2312"/>
          <w:sz w:val="30"/>
          <w:szCs w:val="30"/>
        </w:rPr>
        <w:t>）进一步完善绩效工资分配方案，想方设法调动广大教师教书育人的积极性和主动性，全面提高教育教学质量，预计2019年普高升学人数达到55人，县职中70人，州职中10人，努力完成县职中、州中职校招生任务。</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5</w:t>
      </w:r>
      <w:r>
        <w:rPr>
          <w:rFonts w:hint="eastAsia" w:ascii="仿宋_GB2312" w:hAnsi="宋体" w:eastAsia="仿宋_GB2312"/>
          <w:sz w:val="30"/>
          <w:szCs w:val="30"/>
        </w:rPr>
        <w:t>）管好、用好“义教”经费，狠抓勤工俭学创收，大力开展校园绿化美化工作，进一步提高师生的福利待遇。</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6</w:t>
      </w:r>
      <w:r>
        <w:rPr>
          <w:rFonts w:hint="eastAsia" w:ascii="仿宋_GB2312" w:hAnsi="宋体" w:eastAsia="仿宋_GB2312"/>
          <w:sz w:val="30"/>
          <w:szCs w:val="30"/>
        </w:rPr>
        <w:t>）积极抓好党建工作，认真落实“创先争优”和“四群教育”工作。加大对学校发展党员工作的指导与督查力度，切实指导好中小学党建工作。</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7</w:t>
      </w:r>
      <w:r>
        <w:rPr>
          <w:rFonts w:hint="eastAsia" w:ascii="仿宋_GB2312" w:hAnsi="宋体" w:eastAsia="仿宋_GB2312"/>
          <w:sz w:val="30"/>
          <w:szCs w:val="30"/>
        </w:rPr>
        <w:t>）完成好上级主管部门和当地党委政府安排的其它工作。</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2、工作重点</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1</w:t>
      </w:r>
      <w:r>
        <w:rPr>
          <w:rFonts w:hint="eastAsia" w:ascii="仿宋_GB2312" w:hAnsi="宋体" w:eastAsia="仿宋_GB2312"/>
          <w:sz w:val="30"/>
          <w:szCs w:val="30"/>
        </w:rPr>
        <w:t>）加大控辍保学力度，巩固“两基”成果</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适龄儿童、少年入学率分别达到100％</w:t>
      </w:r>
      <w:r>
        <w:rPr>
          <w:rFonts w:hint="eastAsia" w:ascii="仿宋_GB2312" w:hAnsi="宋体" w:eastAsia="仿宋_GB2312"/>
          <w:sz w:val="30"/>
          <w:szCs w:val="30"/>
          <w:lang w:val="en-US" w:eastAsia="zh-CN"/>
        </w:rPr>
        <w:t>,</w:t>
      </w:r>
      <w:r>
        <w:rPr>
          <w:rFonts w:hint="eastAsia" w:ascii="仿宋_GB2312" w:hAnsi="宋体" w:eastAsia="仿宋_GB2312"/>
          <w:sz w:val="30"/>
          <w:szCs w:val="30"/>
        </w:rPr>
        <w:t>“伤残”儿童、少年入学率达100%</w:t>
      </w:r>
      <w:r>
        <w:rPr>
          <w:rFonts w:hint="eastAsia" w:ascii="仿宋_GB2312" w:hAnsi="宋体" w:eastAsia="仿宋_GB2312"/>
          <w:sz w:val="30"/>
          <w:szCs w:val="30"/>
          <w:lang w:val="en-US" w:eastAsia="zh-CN"/>
        </w:rPr>
        <w:t>,</w:t>
      </w:r>
      <w:r>
        <w:rPr>
          <w:rFonts w:hint="eastAsia" w:ascii="仿宋_GB2312" w:hAnsi="宋体" w:eastAsia="仿宋_GB2312"/>
          <w:sz w:val="30"/>
          <w:szCs w:val="30"/>
        </w:rPr>
        <w:t>幼儿入园（班）率不低于70%</w:t>
      </w:r>
      <w:r>
        <w:rPr>
          <w:rFonts w:hint="eastAsia" w:ascii="仿宋_GB2312" w:hAnsi="宋体" w:eastAsia="仿宋_GB2312"/>
          <w:sz w:val="30"/>
          <w:szCs w:val="30"/>
          <w:lang w:val="en-US" w:eastAsia="zh-CN"/>
        </w:rPr>
        <w:t>,</w:t>
      </w:r>
      <w:r>
        <w:rPr>
          <w:rFonts w:hint="eastAsia" w:ascii="仿宋_GB2312" w:hAnsi="宋体" w:eastAsia="仿宋_GB2312"/>
          <w:sz w:val="30"/>
          <w:szCs w:val="30"/>
        </w:rPr>
        <w:t>农业人口、非农业人口非文盲率分别达100%和100%</w:t>
      </w:r>
      <w:r>
        <w:rPr>
          <w:rFonts w:hint="eastAsia" w:ascii="仿宋_GB2312" w:hAnsi="宋体" w:eastAsia="仿宋_GB2312"/>
          <w:sz w:val="30"/>
          <w:szCs w:val="30"/>
          <w:lang w:val="en-US" w:eastAsia="zh-CN"/>
        </w:rPr>
        <w:t>,</w:t>
      </w:r>
      <w:r>
        <w:rPr>
          <w:rFonts w:hint="eastAsia" w:ascii="仿宋_GB2312" w:hAnsi="宋体" w:eastAsia="仿宋_GB2312"/>
          <w:sz w:val="30"/>
          <w:szCs w:val="30"/>
        </w:rPr>
        <w:t>15-24周岁青壮年非文盲率达到100%，近三年脱盲人员复盲率控制在0%以内</w:t>
      </w:r>
      <w:r>
        <w:rPr>
          <w:rFonts w:hint="eastAsia" w:ascii="仿宋_GB2312" w:hAnsi="宋体" w:eastAsia="仿宋_GB2312"/>
          <w:sz w:val="30"/>
          <w:szCs w:val="30"/>
          <w:lang w:val="en-US" w:eastAsia="zh-CN"/>
        </w:rPr>
        <w:t>,</w:t>
      </w:r>
      <w:r>
        <w:rPr>
          <w:rFonts w:hint="eastAsia" w:ascii="仿宋_GB2312" w:hAnsi="宋体" w:eastAsia="仿宋_GB2312"/>
          <w:sz w:val="30"/>
          <w:szCs w:val="30"/>
        </w:rPr>
        <w:t>积极动员初中毕业生就读职业学校，努力完成州、县职中招生任务。</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2</w:t>
      </w:r>
      <w:r>
        <w:rPr>
          <w:rFonts w:hint="eastAsia" w:ascii="仿宋_GB2312" w:hAnsi="宋体" w:eastAsia="仿宋_GB2312"/>
          <w:sz w:val="30"/>
          <w:szCs w:val="30"/>
        </w:rPr>
        <w:t>）继续加强教师队伍建设</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大力加强师德师风建设，切实抓好教师队伍党风廉政建设和反腐倡廉工作，做到年内无腐败案件发生。在党员教育中继续开展好“创先争优”活动和“四群”教育工作，争做优秀共产党员。</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3</w:t>
      </w:r>
      <w:r>
        <w:rPr>
          <w:rFonts w:hint="eastAsia" w:ascii="仿宋_GB2312" w:hAnsi="宋体" w:eastAsia="仿宋_GB2312"/>
          <w:sz w:val="30"/>
          <w:szCs w:val="30"/>
        </w:rPr>
        <w:t>）努力改善办学条件</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宣传贯彻落实好教育“两免一补”优惠政策，建立健全义务教育经费各项管理规章制度。加强校园周边环境整治工作，做到全年无群体性事件和重大安全责任事故。积极推进学校规划布局工作和校安工程建设，促进教育均衡发展。坚持合理布局、优化配置、提高效益的原则，做好全镇校点规划和布局工作。不断改善办学条件，努力为学校解决实际问题（如：新校区建设、中心运动场等）。</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4</w:t>
      </w:r>
      <w:r>
        <w:rPr>
          <w:rFonts w:hint="eastAsia" w:ascii="仿宋_GB2312" w:hAnsi="宋体" w:eastAsia="仿宋_GB2312"/>
          <w:sz w:val="30"/>
          <w:szCs w:val="30"/>
        </w:rPr>
        <w:t xml:space="preserve">）“规范、科学、人性化”管理，不断优化队伍整体素质 </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建立健全行为规范、职业道德规范以及师德师风考核评价办法，继续实行师德一票否决制。充分发挥先锋模范带头作用，召开年度教育工作会对人民满意的教师和工作取得突出成绩的教师进行一定的表彰。创新教学管理队伍和骨干教师队伍建设，实施青年教师培养工程。努力造就一批业务型、专家型教师，为全镇教育改革发展奠定人才基础。</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5</w:t>
      </w:r>
      <w:r>
        <w:rPr>
          <w:rFonts w:hint="eastAsia" w:ascii="仿宋_GB2312" w:hAnsi="宋体" w:eastAsia="仿宋_GB2312"/>
          <w:sz w:val="30"/>
          <w:szCs w:val="30"/>
        </w:rPr>
        <w:t>）坚持依法治校，不断提高教育管理水平</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扎实做好“</w:t>
      </w:r>
      <w:r>
        <w:rPr>
          <w:rFonts w:hint="eastAsia" w:ascii="仿宋_GB2312" w:hAnsi="宋体" w:eastAsia="仿宋_GB2312"/>
          <w:sz w:val="30"/>
          <w:szCs w:val="30"/>
          <w:lang w:eastAsia="zh-CN"/>
        </w:rPr>
        <w:t>七</w:t>
      </w:r>
      <w:r>
        <w:rPr>
          <w:rFonts w:hint="eastAsia" w:ascii="仿宋_GB2312" w:hAnsi="宋体" w:eastAsia="仿宋_GB2312"/>
          <w:sz w:val="30"/>
          <w:szCs w:val="30"/>
        </w:rPr>
        <w:t xml:space="preserve">.五”普法宣传教育，增强师生法治意识。加大对全校教师落实教育法律法规、履行教育工作职责、义务教育经费保障体制、职业教育等方面的督促检查。坚持高效务实和督导机制创新的原则，转变督导方式，突出工作重点，加强过程性评估，提高学校管理水平。重点开展素质教育、师德建设、学生德育工作、学校安全、经费管理使用、计划生育等方面的专项督导检查，促进学生健康成长，推进实施素质教育。 </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6</w:t>
      </w:r>
      <w:r>
        <w:rPr>
          <w:rFonts w:hint="eastAsia" w:ascii="仿宋_GB2312" w:hAnsi="宋体" w:eastAsia="仿宋_GB2312"/>
          <w:sz w:val="30"/>
          <w:szCs w:val="30"/>
        </w:rPr>
        <w:t xml:space="preserve">）加强党风廉政建设 </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 xml:space="preserve">贯彻落实中共中央、省州、县的《廉政准则》，规范教师的从业行为。深入推进教育、制度、监督并重的惩治和预防腐败体系建设，强化党风廉政建设责任，严格执行责任追究制。加强反腐倡廉宣传教育。深入开展预防职务犯罪工作，加大查办违纪违法案件力度。着力推进青少年廉洁教育和廉政文化进校园工作。大力开展使师生满意、社会满意的作风建设。继续加强行风建设，优化机构职能，推进政务公开，提高政务透明度。完善规章制度，规范办事程序，加强效能建设，提高工作效率。推进学习型机关、服务型机关和节约型机关建设，改进工作作风，提高工作质量。 </w:t>
      </w:r>
    </w:p>
    <w:p>
      <w:pPr>
        <w:keepNext w:val="0"/>
        <w:keepLines w:val="0"/>
        <w:pageBreakBefore w:val="0"/>
        <w:widowControl/>
        <w:kinsoku/>
        <w:wordWrap/>
        <w:overflowPunct/>
        <w:topLinePunct w:val="0"/>
        <w:bidi w:val="0"/>
        <w:adjustRightInd w:val="0"/>
        <w:snapToGrid/>
        <w:ind w:firstLine="600" w:firstLineChars="200"/>
        <w:jc w:val="both"/>
        <w:textAlignment w:val="auto"/>
        <w:outlineLvl w:val="9"/>
        <w:rPr>
          <w:rFonts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7</w:t>
      </w:r>
      <w:r>
        <w:rPr>
          <w:rFonts w:hint="eastAsia" w:ascii="仿宋_GB2312" w:hAnsi="宋体" w:eastAsia="仿宋_GB2312"/>
          <w:sz w:val="30"/>
          <w:szCs w:val="30"/>
        </w:rPr>
        <w:t>）进一步抓实教育科研工作</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仿宋_GB2312" w:eastAsia="仿宋_GB2312" w:cs="仿宋_GB2312"/>
          <w:color w:val="FF0000"/>
          <w:kern w:val="0"/>
          <w:sz w:val="30"/>
          <w:szCs w:val="30"/>
        </w:rPr>
      </w:pPr>
      <w:r>
        <w:rPr>
          <w:rFonts w:hint="eastAsia" w:ascii="仿宋_GB2312" w:hAnsi="宋体" w:eastAsia="仿宋_GB2312"/>
          <w:sz w:val="30"/>
          <w:szCs w:val="30"/>
        </w:rPr>
        <w:t>认真学习全国教育工作会议精神，加强教育教学改革工作，规范教育科研管理，强化校本研训工作，促进教师成长，不断提高教育教学质量。围绕“一个中心”：即以教育教学改革为中心，切实提高教学质量。突出“两个重点”：一是管理工作规范化</w:t>
      </w:r>
      <w:r>
        <w:rPr>
          <w:rFonts w:hint="eastAsia" w:ascii="仿宋_GB2312" w:hAnsi="宋体" w:eastAsia="仿宋_GB2312"/>
          <w:sz w:val="30"/>
          <w:szCs w:val="30"/>
          <w:lang w:eastAsia="zh-CN"/>
        </w:rPr>
        <w:t>，</w:t>
      </w:r>
      <w:r>
        <w:rPr>
          <w:rFonts w:hint="eastAsia" w:ascii="仿宋_GB2312" w:hAnsi="宋体" w:eastAsia="仿宋_GB2312"/>
          <w:sz w:val="30"/>
          <w:szCs w:val="30"/>
        </w:rPr>
        <w:t>二是教研、科研、培训校本化。加强“三项研究”：一是加强新课程理念行为化的研究</w:t>
      </w:r>
      <w:r>
        <w:rPr>
          <w:rFonts w:hint="eastAsia" w:ascii="仿宋_GB2312" w:hAnsi="宋体" w:eastAsia="仿宋_GB2312"/>
          <w:sz w:val="30"/>
          <w:szCs w:val="30"/>
          <w:lang w:eastAsia="zh-CN"/>
        </w:rPr>
        <w:t>，</w:t>
      </w:r>
      <w:r>
        <w:rPr>
          <w:rFonts w:hint="eastAsia" w:ascii="仿宋_GB2312" w:hAnsi="宋体" w:eastAsia="仿宋_GB2312"/>
          <w:sz w:val="30"/>
          <w:szCs w:val="30"/>
        </w:rPr>
        <w:t>二是加强学科带头人、骨干教师带头、引领、辐射效应的研究</w:t>
      </w:r>
      <w:r>
        <w:rPr>
          <w:rFonts w:hint="eastAsia" w:ascii="仿宋_GB2312" w:hAnsi="宋体" w:eastAsia="仿宋_GB2312"/>
          <w:sz w:val="30"/>
          <w:szCs w:val="30"/>
          <w:lang w:eastAsia="zh-CN"/>
        </w:rPr>
        <w:t>，</w:t>
      </w:r>
      <w:r>
        <w:rPr>
          <w:rFonts w:hint="eastAsia" w:ascii="仿宋_GB2312" w:hAnsi="宋体" w:eastAsia="仿宋_GB2312"/>
          <w:sz w:val="30"/>
          <w:szCs w:val="30"/>
        </w:rPr>
        <w:t>三是加强校本教研科学、规范运行的研究。促进“四个提高”：一是促进课堂教学质量的提高</w:t>
      </w:r>
      <w:r>
        <w:rPr>
          <w:rFonts w:hint="eastAsia" w:ascii="仿宋_GB2312" w:hAnsi="宋体" w:eastAsia="仿宋_GB2312"/>
          <w:sz w:val="30"/>
          <w:szCs w:val="30"/>
          <w:lang w:eastAsia="zh-CN"/>
        </w:rPr>
        <w:t>，</w:t>
      </w:r>
      <w:r>
        <w:rPr>
          <w:rFonts w:hint="eastAsia" w:ascii="仿宋_GB2312" w:hAnsi="宋体" w:eastAsia="仿宋_GB2312"/>
          <w:sz w:val="30"/>
          <w:szCs w:val="30"/>
        </w:rPr>
        <w:t>二是促进中青年教师业务素质和骨干教师知名度提高</w:t>
      </w:r>
      <w:r>
        <w:rPr>
          <w:rFonts w:hint="eastAsia" w:ascii="仿宋_GB2312" w:hAnsi="宋体" w:eastAsia="仿宋_GB2312"/>
          <w:sz w:val="30"/>
          <w:szCs w:val="30"/>
          <w:lang w:eastAsia="zh-CN"/>
        </w:rPr>
        <w:t>，</w:t>
      </w:r>
      <w:r>
        <w:rPr>
          <w:rFonts w:hint="eastAsia" w:ascii="仿宋_GB2312" w:hAnsi="宋体" w:eastAsia="仿宋_GB2312"/>
          <w:sz w:val="30"/>
          <w:szCs w:val="30"/>
        </w:rPr>
        <w:t>三是促进教科研队伍研究水平和服务意识的提高</w:t>
      </w:r>
      <w:r>
        <w:rPr>
          <w:rFonts w:hint="eastAsia" w:ascii="仿宋_GB2312" w:hAnsi="宋体" w:eastAsia="仿宋_GB2312"/>
          <w:sz w:val="30"/>
          <w:szCs w:val="30"/>
          <w:lang w:eastAsia="zh-CN"/>
        </w:rPr>
        <w:t>，</w:t>
      </w:r>
      <w:r>
        <w:rPr>
          <w:rFonts w:hint="eastAsia" w:ascii="仿宋_GB2312" w:hAnsi="宋体" w:eastAsia="仿宋_GB2312"/>
          <w:sz w:val="30"/>
          <w:szCs w:val="30"/>
        </w:rPr>
        <w:t xml:space="preserve">四是促使薄弱学科教师教学水平的提高和薄弱学校教学质量的提高。充分发挥教学研究、指导和服务等职能作用，坚持“深入实践、调研分析、突出重点、营造亮点、积极进取、脚踏实地”的教研工作方法。  </w:t>
      </w:r>
    </w:p>
    <w:p>
      <w:pPr>
        <w:keepNext w:val="0"/>
        <w:keepLines w:val="0"/>
        <w:pageBreakBefore w:val="0"/>
        <w:widowControl/>
        <w:kinsoku/>
        <w:wordWrap/>
        <w:overflowPunct/>
        <w:topLinePunct w:val="0"/>
        <w:bidi w:val="0"/>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rPr>
        <w:t>2019</w:t>
      </w:r>
      <w:r>
        <w:rPr>
          <w:rFonts w:eastAsia="仿宋_GB2312"/>
          <w:kern w:val="0"/>
          <w:sz w:val="30"/>
          <w:szCs w:val="30"/>
        </w:rPr>
        <w:t>年部门预算单位共</w:t>
      </w:r>
      <w:r>
        <w:rPr>
          <w:rFonts w:hint="eastAsia" w:eastAsia="仿宋_GB2312"/>
          <w:kern w:val="0"/>
          <w:sz w:val="30"/>
          <w:szCs w:val="30"/>
        </w:rPr>
        <w:t>1</w:t>
      </w:r>
      <w:r>
        <w:rPr>
          <w:rFonts w:eastAsia="仿宋_GB2312"/>
          <w:kern w:val="0"/>
          <w:sz w:val="30"/>
          <w:szCs w:val="30"/>
        </w:rPr>
        <w:t>个。其中：财政全供给单位</w:t>
      </w:r>
      <w:r>
        <w:rPr>
          <w:rFonts w:hint="eastAsia" w:eastAsia="仿宋_GB2312"/>
          <w:kern w:val="0"/>
          <w:sz w:val="30"/>
          <w:szCs w:val="30"/>
        </w:rPr>
        <w:t>1</w:t>
      </w:r>
      <w:r>
        <w:rPr>
          <w:rFonts w:eastAsia="仿宋_GB2312"/>
          <w:kern w:val="0"/>
          <w:sz w:val="30"/>
          <w:szCs w:val="30"/>
        </w:rPr>
        <w:t>个；部分供给单位</w:t>
      </w:r>
      <w:r>
        <w:rPr>
          <w:rFonts w:hint="eastAsia" w:eastAsia="仿宋_GB2312"/>
          <w:kern w:val="0"/>
          <w:sz w:val="30"/>
          <w:szCs w:val="30"/>
        </w:rPr>
        <w:t>0</w:t>
      </w:r>
      <w:r>
        <w:rPr>
          <w:rFonts w:eastAsia="仿宋_GB2312"/>
          <w:kern w:val="0"/>
          <w:sz w:val="30"/>
          <w:szCs w:val="30"/>
        </w:rPr>
        <w:t>个；特殊供给单位</w:t>
      </w:r>
      <w:r>
        <w:rPr>
          <w:rFonts w:hint="eastAsia" w:eastAsia="仿宋_GB2312"/>
          <w:kern w:val="0"/>
          <w:sz w:val="30"/>
          <w:szCs w:val="30"/>
        </w:rPr>
        <w:t>0</w:t>
      </w:r>
      <w:r>
        <w:rPr>
          <w:rFonts w:eastAsia="仿宋_GB2312"/>
          <w:kern w:val="0"/>
          <w:sz w:val="30"/>
          <w:szCs w:val="30"/>
        </w:rPr>
        <w:t>个；自收自支单位</w:t>
      </w:r>
      <w:r>
        <w:rPr>
          <w:rFonts w:hint="eastAsia" w:eastAsia="仿宋_GB2312"/>
          <w:kern w:val="0"/>
          <w:sz w:val="30"/>
          <w:szCs w:val="30"/>
        </w:rPr>
        <w:t>0</w:t>
      </w:r>
      <w:r>
        <w:rPr>
          <w:rFonts w:eastAsia="仿宋_GB2312"/>
          <w:kern w:val="0"/>
          <w:sz w:val="30"/>
          <w:szCs w:val="30"/>
        </w:rPr>
        <w:t>个。财政全供给单位中行政单位</w:t>
      </w:r>
      <w:r>
        <w:rPr>
          <w:rFonts w:hint="eastAsia" w:eastAsia="仿宋_GB2312"/>
          <w:kern w:val="0"/>
          <w:sz w:val="30"/>
          <w:szCs w:val="30"/>
        </w:rPr>
        <w:t>0</w:t>
      </w:r>
      <w:r>
        <w:rPr>
          <w:rFonts w:eastAsia="仿宋_GB2312"/>
          <w:kern w:val="0"/>
          <w:sz w:val="30"/>
          <w:szCs w:val="30"/>
        </w:rPr>
        <w:t>个；参公管理事业单位</w:t>
      </w:r>
      <w:r>
        <w:rPr>
          <w:rFonts w:hint="eastAsia" w:eastAsia="仿宋_GB2312"/>
          <w:kern w:val="0"/>
          <w:sz w:val="30"/>
          <w:szCs w:val="30"/>
        </w:rPr>
        <w:t>0</w:t>
      </w:r>
      <w:r>
        <w:rPr>
          <w:rFonts w:eastAsia="仿宋_GB2312"/>
          <w:kern w:val="0"/>
          <w:sz w:val="30"/>
          <w:szCs w:val="30"/>
        </w:rPr>
        <w:t>个；非参公管理事业单位</w:t>
      </w:r>
      <w:r>
        <w:rPr>
          <w:rFonts w:hint="eastAsia" w:eastAsia="仿宋_GB2312"/>
          <w:kern w:val="0"/>
          <w:sz w:val="30"/>
          <w:szCs w:val="30"/>
        </w:rPr>
        <w:t>1</w:t>
      </w:r>
      <w:r>
        <w:rPr>
          <w:rFonts w:eastAsia="仿宋_GB2312"/>
          <w:kern w:val="0"/>
          <w:sz w:val="30"/>
          <w:szCs w:val="30"/>
        </w:rPr>
        <w:t>个。</w:t>
      </w:r>
      <w:r>
        <w:rPr>
          <w:rFonts w:hint="eastAsia" w:ascii="仿宋_GB2312" w:hAnsi="仿宋_GB2312" w:eastAsia="仿宋_GB2312" w:cs="仿宋_GB2312"/>
          <w:kern w:val="0"/>
          <w:sz w:val="30"/>
          <w:szCs w:val="30"/>
        </w:rPr>
        <w:t>截止2018年11月统计，部门基本情况如下：</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在职人员编制128人，其中：行政编制 0人，事业编制128人。在职实有128人，其中：财政全供养 128人，财政部分供养0人，非财政供养0人。</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离退休人员 15人，其中： 离休0 人，退休 15人。</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车辆编制1辆，实有车辆1辆。</w:t>
      </w:r>
    </w:p>
    <w:p>
      <w:pPr>
        <w:keepNext w:val="0"/>
        <w:keepLines w:val="0"/>
        <w:pageBreakBefore w:val="0"/>
        <w:widowControl/>
        <w:kinsoku/>
        <w:wordWrap/>
        <w:overflowPunct/>
        <w:topLinePunct w:val="0"/>
        <w:bidi w:val="0"/>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bidi w:val="0"/>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bidi w:val="0"/>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年</w:t>
      </w:r>
      <w:r>
        <w:rPr>
          <w:rFonts w:hint="eastAsia" w:eastAsia="仿宋_GB2312"/>
          <w:kern w:val="0"/>
          <w:sz w:val="30"/>
          <w:szCs w:val="30"/>
        </w:rPr>
        <w:t>盈江县卡场镇九年一贯制学校</w:t>
      </w:r>
      <w:r>
        <w:rPr>
          <w:rFonts w:eastAsia="仿宋_GB2312"/>
          <w:kern w:val="0"/>
          <w:sz w:val="30"/>
          <w:szCs w:val="30"/>
        </w:rPr>
        <w:t>财务总收入</w:t>
      </w:r>
      <w:r>
        <w:rPr>
          <w:rFonts w:hint="eastAsia" w:eastAsia="仿宋_GB2312"/>
          <w:kern w:val="0"/>
          <w:sz w:val="30"/>
          <w:szCs w:val="30"/>
        </w:rPr>
        <w:t>1526.44</w:t>
      </w:r>
      <w:r>
        <w:rPr>
          <w:rFonts w:eastAsia="仿宋_GB2312"/>
          <w:kern w:val="0"/>
          <w:sz w:val="30"/>
          <w:szCs w:val="30"/>
        </w:rPr>
        <w:t>万元，其中：一般公共预算</w:t>
      </w:r>
      <w:r>
        <w:rPr>
          <w:rFonts w:hint="eastAsia" w:eastAsia="仿宋_GB2312"/>
          <w:kern w:val="0"/>
          <w:sz w:val="30"/>
          <w:szCs w:val="30"/>
        </w:rPr>
        <w:t>财政拨款1526.44</w:t>
      </w:r>
      <w:r>
        <w:rPr>
          <w:rFonts w:eastAsia="仿宋_GB2312"/>
          <w:kern w:val="0"/>
          <w:sz w:val="30"/>
          <w:szCs w:val="30"/>
        </w:rPr>
        <w:t>万元，政府性基金</w:t>
      </w:r>
      <w:r>
        <w:rPr>
          <w:rFonts w:hint="eastAsia" w:eastAsia="仿宋_GB2312"/>
          <w:kern w:val="0"/>
          <w:sz w:val="30"/>
          <w:szCs w:val="30"/>
        </w:rPr>
        <w:t>预算财政拨款0</w:t>
      </w:r>
      <w:r>
        <w:rPr>
          <w:rFonts w:eastAsia="仿宋_GB2312"/>
          <w:kern w:val="0"/>
          <w:sz w:val="30"/>
          <w:szCs w:val="30"/>
        </w:rPr>
        <w:t>万元，国有资本经营</w:t>
      </w:r>
      <w:r>
        <w:rPr>
          <w:rFonts w:hint="eastAsia" w:eastAsia="仿宋_GB2312"/>
          <w:kern w:val="0"/>
          <w:sz w:val="30"/>
          <w:szCs w:val="30"/>
        </w:rPr>
        <w:t>预算财政拨款0</w:t>
      </w:r>
      <w:r>
        <w:rPr>
          <w:rFonts w:eastAsia="仿宋_GB2312"/>
          <w:kern w:val="0"/>
          <w:sz w:val="30"/>
          <w:szCs w:val="30"/>
        </w:rPr>
        <w:t>万元，事业收入</w:t>
      </w:r>
      <w:r>
        <w:rPr>
          <w:rFonts w:hint="eastAsia" w:eastAsia="仿宋_GB2312"/>
          <w:kern w:val="0"/>
          <w:sz w:val="30"/>
          <w:szCs w:val="30"/>
        </w:rPr>
        <w:t>0</w:t>
      </w:r>
      <w:r>
        <w:rPr>
          <w:rFonts w:eastAsia="仿宋_GB2312"/>
          <w:kern w:val="0"/>
          <w:sz w:val="30"/>
          <w:szCs w:val="30"/>
        </w:rPr>
        <w:t>万元，事业单位经营收入</w:t>
      </w:r>
      <w:r>
        <w:rPr>
          <w:rFonts w:hint="eastAsia" w:eastAsia="仿宋_GB2312"/>
          <w:kern w:val="0"/>
          <w:sz w:val="30"/>
          <w:szCs w:val="30"/>
        </w:rPr>
        <w:t>0</w:t>
      </w:r>
      <w:r>
        <w:rPr>
          <w:rFonts w:eastAsia="仿宋_GB2312"/>
          <w:kern w:val="0"/>
          <w:sz w:val="30"/>
          <w:szCs w:val="30"/>
        </w:rPr>
        <w:t>万元，其他收入</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，上年结转0万元</w:t>
      </w:r>
      <w:r>
        <w:rPr>
          <w:rFonts w:eastAsia="仿宋_GB2312"/>
          <w:kern w:val="0"/>
          <w:sz w:val="30"/>
          <w:szCs w:val="30"/>
        </w:rPr>
        <w:t>。</w:t>
      </w:r>
    </w:p>
    <w:p>
      <w:pPr>
        <w:keepNext w:val="0"/>
        <w:keepLines w:val="0"/>
        <w:pageBreakBefore w:val="0"/>
        <w:widowControl/>
        <w:kinsoku/>
        <w:wordWrap/>
        <w:overflowPunct/>
        <w:topLinePunct w:val="0"/>
        <w:bidi w:val="0"/>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bidi w:val="0"/>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 xml:space="preserve">年部门财政拨款收入 </w:t>
      </w:r>
      <w:r>
        <w:rPr>
          <w:rFonts w:hint="eastAsia" w:eastAsia="仿宋_GB2312"/>
          <w:kern w:val="0"/>
          <w:sz w:val="30"/>
          <w:szCs w:val="30"/>
        </w:rPr>
        <w:t>1526.44</w:t>
      </w:r>
      <w:r>
        <w:rPr>
          <w:rFonts w:eastAsia="仿宋_GB2312"/>
          <w:kern w:val="0"/>
          <w:sz w:val="30"/>
          <w:szCs w:val="30"/>
        </w:rPr>
        <w:t>万元，其中:本年收入</w:t>
      </w:r>
      <w:r>
        <w:rPr>
          <w:rFonts w:hint="eastAsia" w:eastAsia="仿宋_GB2312"/>
          <w:kern w:val="0"/>
          <w:sz w:val="30"/>
          <w:szCs w:val="30"/>
        </w:rPr>
        <w:t>1526.44</w:t>
      </w:r>
      <w:r>
        <w:rPr>
          <w:rFonts w:eastAsia="仿宋_GB2312"/>
          <w:kern w:val="0"/>
          <w:sz w:val="30"/>
          <w:szCs w:val="30"/>
        </w:rPr>
        <w:t>万元，上年结转</w:t>
      </w:r>
      <w:r>
        <w:rPr>
          <w:rFonts w:hint="eastAsia" w:eastAsia="仿宋_GB2312"/>
          <w:kern w:val="0"/>
          <w:sz w:val="30"/>
          <w:szCs w:val="30"/>
        </w:rPr>
        <w:t>0</w:t>
      </w:r>
      <w:r>
        <w:rPr>
          <w:rFonts w:eastAsia="仿宋_GB2312"/>
          <w:kern w:val="0"/>
          <w:sz w:val="30"/>
          <w:szCs w:val="30"/>
        </w:rPr>
        <w:t>万元。本年收入中，一般公共预算财政拨款</w:t>
      </w:r>
      <w:r>
        <w:rPr>
          <w:rFonts w:hint="eastAsia" w:eastAsia="仿宋_GB2312"/>
          <w:kern w:val="0"/>
          <w:sz w:val="30"/>
          <w:szCs w:val="30"/>
        </w:rPr>
        <w:t>1526.44</w:t>
      </w:r>
      <w:r>
        <w:rPr>
          <w:rFonts w:eastAsia="仿宋_GB2312"/>
          <w:kern w:val="0"/>
          <w:sz w:val="30"/>
          <w:szCs w:val="30"/>
        </w:rPr>
        <w:t>万元（本级财力</w:t>
      </w:r>
      <w:r>
        <w:rPr>
          <w:rFonts w:hint="eastAsia" w:eastAsia="仿宋_GB2312"/>
          <w:kern w:val="0"/>
          <w:sz w:val="30"/>
          <w:szCs w:val="30"/>
        </w:rPr>
        <w:t>0</w:t>
      </w:r>
      <w:r>
        <w:rPr>
          <w:rFonts w:eastAsia="仿宋_GB2312"/>
          <w:kern w:val="0"/>
          <w:sz w:val="30"/>
          <w:szCs w:val="30"/>
        </w:rPr>
        <w:t>万元，专项收入</w:t>
      </w:r>
      <w:r>
        <w:rPr>
          <w:rFonts w:hint="eastAsia" w:eastAsia="仿宋_GB2312"/>
          <w:kern w:val="0"/>
          <w:sz w:val="30"/>
          <w:szCs w:val="30"/>
        </w:rPr>
        <w:t>0</w:t>
      </w:r>
      <w:r>
        <w:rPr>
          <w:rFonts w:eastAsia="仿宋_GB2312"/>
          <w:kern w:val="0"/>
          <w:sz w:val="30"/>
          <w:szCs w:val="30"/>
        </w:rPr>
        <w:t>万元，执法办案补助</w:t>
      </w:r>
      <w:r>
        <w:rPr>
          <w:rFonts w:hint="eastAsia" w:eastAsia="仿宋_GB2312"/>
          <w:kern w:val="0"/>
          <w:sz w:val="30"/>
          <w:szCs w:val="30"/>
        </w:rPr>
        <w:t>0</w:t>
      </w:r>
      <w:r>
        <w:rPr>
          <w:rFonts w:eastAsia="仿宋_GB2312"/>
          <w:kern w:val="0"/>
          <w:sz w:val="30"/>
          <w:szCs w:val="30"/>
        </w:rPr>
        <w:t>万元，收费成本补偿</w:t>
      </w:r>
      <w:r>
        <w:rPr>
          <w:rFonts w:hint="eastAsia" w:eastAsia="仿宋_GB2312"/>
          <w:kern w:val="0"/>
          <w:sz w:val="30"/>
          <w:szCs w:val="30"/>
        </w:rPr>
        <w:t>0</w:t>
      </w:r>
      <w:r>
        <w:rPr>
          <w:rFonts w:eastAsia="仿宋_GB2312"/>
          <w:kern w:val="0"/>
          <w:sz w:val="30"/>
          <w:szCs w:val="30"/>
        </w:rPr>
        <w:t>万元，财政专户管理的收入</w:t>
      </w:r>
      <w:r>
        <w:rPr>
          <w:rFonts w:hint="eastAsia" w:eastAsia="仿宋_GB2312"/>
          <w:kern w:val="0"/>
          <w:sz w:val="30"/>
          <w:szCs w:val="30"/>
        </w:rPr>
        <w:t>0</w:t>
      </w:r>
      <w:r>
        <w:rPr>
          <w:rFonts w:eastAsia="仿宋_GB2312"/>
          <w:kern w:val="0"/>
          <w:sz w:val="30"/>
          <w:szCs w:val="30"/>
        </w:rPr>
        <w:t>万元，国有资源（资产）有偿使用</w:t>
      </w:r>
      <w:r>
        <w:rPr>
          <w:rFonts w:hint="eastAsia" w:eastAsia="仿宋_GB2312"/>
          <w:kern w:val="0"/>
          <w:sz w:val="30"/>
          <w:szCs w:val="30"/>
        </w:rPr>
        <w:t>成本补偿0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bidi w:val="0"/>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bidi w:val="0"/>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2019</w:t>
      </w:r>
      <w:r>
        <w:rPr>
          <w:rFonts w:eastAsia="仿宋_GB2312"/>
          <w:kern w:val="0"/>
          <w:sz w:val="30"/>
          <w:szCs w:val="30"/>
        </w:rPr>
        <w:t>年部门预算总支出</w:t>
      </w:r>
      <w:r>
        <w:rPr>
          <w:rFonts w:hint="eastAsia" w:eastAsia="仿宋_GB2312"/>
          <w:kern w:val="0"/>
          <w:sz w:val="30"/>
          <w:szCs w:val="30"/>
        </w:rPr>
        <w:t>1526.44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1526.44</w:t>
      </w:r>
      <w:r>
        <w:rPr>
          <w:rFonts w:eastAsia="仿宋_GB2312"/>
          <w:kern w:val="0"/>
          <w:sz w:val="30"/>
          <w:szCs w:val="30"/>
        </w:rPr>
        <w:t>万元，其中，基本支出</w:t>
      </w:r>
      <w:r>
        <w:rPr>
          <w:rFonts w:hint="eastAsia" w:eastAsia="仿宋_GB2312"/>
          <w:kern w:val="0"/>
          <w:sz w:val="30"/>
          <w:szCs w:val="30"/>
        </w:rPr>
        <w:t>1526.44</w:t>
      </w:r>
      <w:r>
        <w:rPr>
          <w:rFonts w:eastAsia="仿宋_GB2312"/>
          <w:kern w:val="0"/>
          <w:sz w:val="30"/>
          <w:szCs w:val="30"/>
        </w:rPr>
        <w:t>万元，项目支出</w:t>
      </w:r>
      <w:r>
        <w:rPr>
          <w:rFonts w:hint="eastAsia" w:eastAsia="仿宋_GB2312"/>
          <w:kern w:val="0"/>
          <w:sz w:val="30"/>
          <w:szCs w:val="30"/>
        </w:rPr>
        <w:t>0</w:t>
      </w:r>
      <w:r>
        <w:rPr>
          <w:rFonts w:eastAsia="仿宋_GB2312"/>
          <w:kern w:val="0"/>
          <w:sz w:val="30"/>
          <w:szCs w:val="30"/>
        </w:rPr>
        <w:t>万元。</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hAnsi="仿宋_GB2312" w:eastAsia="仿宋_GB2312" w:cs="仿宋_GB2312"/>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kinsoku/>
        <w:wordWrap/>
        <w:overflowPunct/>
        <w:topLinePunct w:val="0"/>
        <w:bidi w:val="0"/>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“2050202” 教育支出-普通教育-小学教育900.11万元，主要用于工资福利支出和日常学校运行运转。</w:t>
      </w:r>
    </w:p>
    <w:p>
      <w:pPr>
        <w:pStyle w:val="14"/>
        <w:keepNext w:val="0"/>
        <w:keepLines w:val="0"/>
        <w:pageBreakBefore w:val="0"/>
        <w:kinsoku/>
        <w:wordWrap/>
        <w:overflowPunct/>
        <w:topLinePunct w:val="0"/>
        <w:bidi w:val="0"/>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t>“2050203” 教育支出-普通教育-初中教育302.82万元，主要用于工资福利支出和日常学校运行运转。</w:t>
      </w:r>
    </w:p>
    <w:p>
      <w:pPr>
        <w:pStyle w:val="14"/>
        <w:keepNext w:val="0"/>
        <w:keepLines w:val="0"/>
        <w:pageBreakBefore w:val="0"/>
        <w:kinsoku/>
        <w:wordWrap/>
        <w:overflowPunct/>
        <w:topLinePunct w:val="0"/>
        <w:bidi w:val="0"/>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“2080502”社会保障和就业支出-行政事业单位离退休-事业单位离退休0.90万元，主要用于离退休人员公用经费支出。</w:t>
      </w:r>
    </w:p>
    <w:p>
      <w:pPr>
        <w:pStyle w:val="7"/>
        <w:keepNext w:val="0"/>
        <w:keepLines w:val="0"/>
        <w:pageBreakBefore w:val="0"/>
        <w:widowControl/>
        <w:kinsoku/>
        <w:wordWrap/>
        <w:overflowPunct/>
        <w:topLinePunct w:val="0"/>
        <w:bidi w:val="0"/>
        <w:snapToGrid/>
        <w:spacing w:line="27" w:lineRule="atLeast"/>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“2080505”社会保障和就业支出-行政事业单位离退休- 事业单位基本养老保险缴费支出188.98万元，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kinsoku/>
        <w:wordWrap/>
        <w:overflowPunct/>
        <w:topLinePunct w:val="0"/>
        <w:bidi w:val="0"/>
        <w:snapToGrid/>
        <w:spacing w:line="27" w:lineRule="atLeast"/>
        <w:ind w:firstLine="600" w:firstLineChars="200"/>
        <w:jc w:val="both"/>
        <w:textAlignment w:val="auto"/>
        <w:outlineLvl w:val="9"/>
        <w:rPr>
          <w:rFonts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rPr>
        <w:t>“2080506”社会保障和就业支出-行政事业单位职业年金缴费支出- 事业单位职业年金缴费支出2.69万元，</w:t>
      </w:r>
      <w:r>
        <w:rPr>
          <w:rFonts w:hint="eastAsia" w:ascii="仿宋_GB2312" w:hAnsi="仿宋_GB2312" w:eastAsia="仿宋_GB2312" w:cs="仿宋_GB2312"/>
          <w:color w:val="333333"/>
          <w:sz w:val="30"/>
          <w:szCs w:val="30"/>
          <w:shd w:val="clear" w:color="040000" w:fill="FFFFFF"/>
        </w:rPr>
        <w:t>主要反映单位缴交的职业年金支出。</w:t>
      </w:r>
    </w:p>
    <w:p>
      <w:pPr>
        <w:pStyle w:val="7"/>
        <w:keepNext w:val="0"/>
        <w:keepLines w:val="0"/>
        <w:pageBreakBefore w:val="0"/>
        <w:widowControl/>
        <w:kinsoku/>
        <w:wordWrap/>
        <w:overflowPunct/>
        <w:topLinePunct w:val="0"/>
        <w:bidi w:val="0"/>
        <w:snapToGrid/>
        <w:spacing w:line="27"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“2210201”</w:t>
      </w:r>
      <w:r>
        <w:rPr>
          <w:rFonts w:hint="eastAsia" w:ascii="仿宋_GB2312" w:hAnsi="仿宋_GB2312" w:eastAsia="仿宋_GB2312" w:cs="仿宋_GB2312"/>
          <w:color w:val="333333"/>
          <w:sz w:val="30"/>
          <w:szCs w:val="30"/>
          <w:shd w:val="clear" w:color="040000" w:fill="FFFFFF"/>
        </w:rPr>
        <w:t>住房保障支出-住房改革支出-住房公积金130.94万元，主要用于单位住房公积金支出。</w:t>
      </w:r>
    </w:p>
    <w:p>
      <w:pPr>
        <w:keepNext w:val="0"/>
        <w:keepLines w:val="0"/>
        <w:pageBreakBefore w:val="0"/>
        <w:widowControl/>
        <w:numPr>
          <w:ilvl w:val="0"/>
          <w:numId w:val="2"/>
        </w:numPr>
        <w:kinsoku/>
        <w:wordWrap/>
        <w:overflowPunct/>
        <w:topLinePunct w:val="0"/>
        <w:bidi w:val="0"/>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kinsoku/>
        <w:wordWrap/>
        <w:overflowPunct/>
        <w:topLinePunct w:val="0"/>
        <w:bidi w:val="0"/>
        <w:snapToGrid/>
        <w:spacing w:line="27" w:lineRule="atLeas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2050202 小学教育900.11万元，其中：基本支出900.11万元，主要用于301工资福利支出894.04万元，</w:t>
      </w:r>
      <w:bookmarkStart w:id="0" w:name="OLE_LINK1"/>
      <w:r>
        <w:rPr>
          <w:rFonts w:hint="eastAsia" w:ascii="仿宋_GB2312" w:hAnsi="仿宋_GB2312" w:eastAsia="仿宋_GB2312" w:cs="仿宋_GB2312"/>
          <w:kern w:val="0"/>
          <w:sz w:val="30"/>
          <w:szCs w:val="30"/>
        </w:rPr>
        <w:t>302商品服务支出</w:t>
      </w:r>
      <w:bookmarkEnd w:id="0"/>
      <w:r>
        <w:rPr>
          <w:rFonts w:hint="eastAsia" w:ascii="仿宋_GB2312" w:hAnsi="仿宋_GB2312" w:eastAsia="仿宋_GB2312" w:cs="仿宋_GB2312"/>
          <w:kern w:val="0"/>
          <w:sz w:val="30"/>
          <w:szCs w:val="30"/>
        </w:rPr>
        <w:t>5.35万元，303对个人和家庭补助支出0.72万元；项目支出0万元。</w:t>
      </w:r>
    </w:p>
    <w:p>
      <w:pPr>
        <w:pStyle w:val="7"/>
        <w:keepNext w:val="0"/>
        <w:keepLines w:val="0"/>
        <w:pageBreakBefore w:val="0"/>
        <w:widowControl/>
        <w:kinsoku/>
        <w:wordWrap/>
        <w:overflowPunct/>
        <w:topLinePunct w:val="0"/>
        <w:bidi w:val="0"/>
        <w:snapToGrid/>
        <w:spacing w:line="27" w:lineRule="atLeas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2050203 初中教育302.82万元，其中：基本支出302.82万元，主要用于301工资福利支出300.93万元，302商品服务支出1.89万元；项目支出0万元。</w:t>
      </w:r>
    </w:p>
    <w:p>
      <w:pPr>
        <w:pStyle w:val="14"/>
        <w:keepNext w:val="0"/>
        <w:keepLines w:val="0"/>
        <w:pageBreakBefore w:val="0"/>
        <w:kinsoku/>
        <w:wordWrap/>
        <w:overflowPunct/>
        <w:topLinePunct w:val="0"/>
        <w:bidi w:val="0"/>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2080502 事业单位离退休0.90万元，其中：基本支出0.90万元，主要用于302商品服务支出0.90万元；项目支出0万元。</w:t>
      </w:r>
    </w:p>
    <w:p>
      <w:pPr>
        <w:pStyle w:val="14"/>
        <w:keepNext w:val="0"/>
        <w:keepLines w:val="0"/>
        <w:pageBreakBefore w:val="0"/>
        <w:kinsoku/>
        <w:wordWrap/>
        <w:overflowPunct/>
        <w:topLinePunct w:val="0"/>
        <w:bidi w:val="0"/>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2080505 机关事业单位基本养老保险缴费支出188.98万元，其中：基本支出188.98万元，主要用于301工资福利支出188.98万元；项目支出0万元。</w:t>
      </w:r>
    </w:p>
    <w:p>
      <w:pPr>
        <w:pStyle w:val="7"/>
        <w:keepNext w:val="0"/>
        <w:keepLines w:val="0"/>
        <w:pageBreakBefore w:val="0"/>
        <w:widowControl/>
        <w:kinsoku/>
        <w:wordWrap/>
        <w:overflowPunct/>
        <w:topLinePunct w:val="0"/>
        <w:bidi w:val="0"/>
        <w:snapToGrid/>
        <w:spacing w:line="27" w:lineRule="atLeas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2080506 机关事业单位职业年金缴费支出2.69万元，其中：基本支出2.69万元，</w:t>
      </w:r>
      <w:r>
        <w:rPr>
          <w:rFonts w:hint="eastAsia" w:ascii="仿宋_GB2312" w:hAnsi="仿宋_GB2312" w:eastAsia="仿宋_GB2312" w:cs="仿宋_GB2312"/>
          <w:kern w:val="0"/>
          <w:sz w:val="30"/>
          <w:szCs w:val="30"/>
        </w:rPr>
        <w:t>主要用于301</w:t>
      </w:r>
      <w:r>
        <w:rPr>
          <w:rFonts w:hint="eastAsia" w:ascii="仿宋_GB2312" w:hAnsi="仿宋_GB2312" w:eastAsia="仿宋_GB2312" w:cs="仿宋_GB2312"/>
          <w:sz w:val="30"/>
          <w:szCs w:val="30"/>
        </w:rPr>
        <w:t>工资福利支出2.69万元；项目支出0万元。</w:t>
      </w:r>
    </w:p>
    <w:p>
      <w:pPr>
        <w:pStyle w:val="7"/>
        <w:keepNext w:val="0"/>
        <w:keepLines w:val="0"/>
        <w:pageBreakBefore w:val="0"/>
        <w:widowControl/>
        <w:kinsoku/>
        <w:wordWrap/>
        <w:overflowPunct/>
        <w:topLinePunct w:val="0"/>
        <w:bidi w:val="0"/>
        <w:snapToGrid/>
        <w:spacing w:line="27" w:lineRule="atLeas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2210201 住房公积金130.94万元，其中：基本支出130.94万元，</w:t>
      </w:r>
      <w:r>
        <w:rPr>
          <w:rFonts w:hint="eastAsia" w:ascii="仿宋_GB2312" w:hAnsi="仿宋_GB2312" w:eastAsia="仿宋_GB2312" w:cs="仿宋_GB2312"/>
          <w:kern w:val="0"/>
          <w:sz w:val="30"/>
          <w:szCs w:val="30"/>
        </w:rPr>
        <w:t>主要用于301</w:t>
      </w:r>
      <w:r>
        <w:rPr>
          <w:rFonts w:hint="eastAsia" w:ascii="仿宋_GB2312" w:hAnsi="仿宋_GB2312" w:eastAsia="仿宋_GB2312" w:cs="仿宋_GB2312"/>
          <w:sz w:val="30"/>
          <w:szCs w:val="30"/>
        </w:rPr>
        <w:t>工资福利支出130.94万元；项目支出0万元。</w:t>
      </w:r>
    </w:p>
    <w:p>
      <w:pPr>
        <w:keepNext w:val="0"/>
        <w:keepLines w:val="0"/>
        <w:pageBreakBefore w:val="0"/>
        <w:widowControl/>
        <w:numPr>
          <w:ilvl w:val="0"/>
          <w:numId w:val="3"/>
        </w:numPr>
        <w:kinsoku/>
        <w:wordWrap/>
        <w:overflowPunct/>
        <w:topLinePunct w:val="0"/>
        <w:bidi w:val="0"/>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hAnsi="仿宋_GB2312" w:eastAsia="仿宋_GB2312" w:cs="仿宋_GB2312"/>
          <w:kern w:val="0"/>
          <w:sz w:val="30"/>
          <w:szCs w:val="30"/>
        </w:rPr>
      </w:pPr>
      <w:r>
        <w:rPr>
          <w:rFonts w:hint="eastAsia" w:ascii="黑体" w:hAnsi="黑体" w:eastAsia="黑体"/>
          <w:kern w:val="0"/>
          <w:sz w:val="30"/>
          <w:szCs w:val="30"/>
        </w:rPr>
        <w:t xml:space="preserve">  </w:t>
      </w:r>
      <w:r>
        <w:rPr>
          <w:rFonts w:hint="eastAsia" w:ascii="仿宋_GB2312" w:hAnsi="仿宋_GB2312" w:eastAsia="仿宋_GB2312" w:cs="仿宋_GB2312"/>
          <w:kern w:val="0"/>
          <w:sz w:val="30"/>
          <w:szCs w:val="30"/>
        </w:rPr>
        <w:t xml:space="preserve">  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r>
        <w:rPr>
          <w:rFonts w:hint="eastAsia" w:ascii="仿宋_GB2312" w:hAnsi="仿宋_GB2312" w:eastAsia="仿宋_GB2312" w:cs="仿宋_GB2312"/>
          <w:kern w:val="0"/>
          <w:sz w:val="30"/>
          <w:szCs w:val="30"/>
          <w:lang w:eastAsia="zh-CN"/>
        </w:rPr>
        <w:t>。</w:t>
      </w:r>
    </w:p>
    <w:p>
      <w:pPr>
        <w:keepNext w:val="0"/>
        <w:keepLines w:val="0"/>
        <w:pageBreakBefore w:val="0"/>
        <w:widowControl/>
        <w:kinsoku/>
        <w:wordWrap/>
        <w:overflowPunct/>
        <w:topLinePunct w:val="0"/>
        <w:bidi w:val="0"/>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bidi w:val="0"/>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无</w:t>
      </w:r>
    </w:p>
    <w:p>
      <w:pPr>
        <w:keepNext w:val="0"/>
        <w:keepLines w:val="0"/>
        <w:pageBreakBefore w:val="0"/>
        <w:widowControl/>
        <w:kinsoku/>
        <w:wordWrap/>
        <w:overflowPunct/>
        <w:topLinePunct w:val="0"/>
        <w:bidi w:val="0"/>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bidi w:val="0"/>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kinsoku/>
        <w:wordWrap/>
        <w:overflowPunct/>
        <w:topLinePunct w:val="0"/>
        <w:bidi w:val="0"/>
        <w:snapToGrid/>
        <w:spacing w:line="600" w:lineRule="atLeast"/>
        <w:ind w:firstLine="600" w:firstLineChars="200"/>
        <w:jc w:val="both"/>
        <w:textAlignment w:val="auto"/>
        <w:outlineLvl w:val="9"/>
        <w:rPr>
          <w:rFonts w:ascii="仿宋_GB2312" w:eastAsia="仿宋_GB2312"/>
          <w:kern w:val="0"/>
          <w:sz w:val="30"/>
          <w:szCs w:val="30"/>
        </w:rPr>
      </w:pPr>
      <w:r>
        <w:rPr>
          <w:rFonts w:hint="eastAsia" w:ascii="仿宋_GB2312" w:eastAsia="仿宋_GB2312"/>
          <w:kern w:val="0"/>
          <w:sz w:val="30"/>
          <w:szCs w:val="30"/>
        </w:rPr>
        <w:t>2019年盈江县卡场镇九年一贯制学校“三公”经费预算数为3.00万元，其中：因公出国（境）费用0万元、公务接待费1.00万元、公务用车购置及运行费2.00万元,其中:公务用车购置费0万元、公务用车运行费2.00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三公”经费预算数4.00万元相比减少1.00万元，减少25%</w:t>
      </w:r>
      <w:r>
        <w:rPr>
          <w:rFonts w:hint="eastAsia" w:ascii="仿宋_GB2312" w:eastAsia="仿宋_GB2312"/>
          <w:kern w:val="0"/>
          <w:sz w:val="30"/>
          <w:szCs w:val="30"/>
          <w:lang w:eastAsia="zh-CN"/>
        </w:rPr>
        <w:t>，</w:t>
      </w:r>
      <w:r>
        <w:rPr>
          <w:rFonts w:hint="eastAsia" w:ascii="仿宋_GB2312" w:eastAsia="仿宋_GB2312"/>
          <w:kern w:val="0"/>
          <w:sz w:val="30"/>
          <w:szCs w:val="30"/>
        </w:rPr>
        <w:t>其中:因公出国（境）费用0万元与上年预算数0万元持平，公务接待费1.00万元与上年预算数1.00万元持平</w:t>
      </w:r>
      <w:r>
        <w:rPr>
          <w:rFonts w:hint="eastAsia" w:ascii="仿宋_GB2312" w:eastAsia="仿宋_GB2312"/>
          <w:kern w:val="0"/>
          <w:sz w:val="30"/>
          <w:szCs w:val="30"/>
          <w:lang w:eastAsia="zh-CN"/>
        </w:rPr>
        <w:t>，</w:t>
      </w:r>
      <w:r>
        <w:rPr>
          <w:rFonts w:hint="eastAsia" w:ascii="仿宋_GB2312" w:eastAsia="仿宋_GB2312"/>
          <w:kern w:val="0"/>
          <w:sz w:val="30"/>
          <w:szCs w:val="30"/>
        </w:rPr>
        <w:t>公务用车购置及运行费2.00万元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其中:公务用车购置费0万元、公务用车运行费2.00万元与上年预算数3.00万元减少1万元，减少33.33%。</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仿宋_GB2312" w:eastAsia="仿宋_GB2312" w:cs="仿宋_GB2312"/>
          <w:color w:val="FF0000"/>
          <w:sz w:val="30"/>
          <w:szCs w:val="30"/>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hAnsi="仿宋_GB2312" w:eastAsia="仿宋_GB2312" w:cs="仿宋_GB2312"/>
          <w:color w:val="FF0000"/>
          <w:sz w:val="30"/>
          <w:szCs w:val="30"/>
        </w:rPr>
      </w:pPr>
      <w:r>
        <w:rPr>
          <w:rFonts w:hint="eastAsia" w:ascii="仿宋_GB2312" w:hAnsi="仿宋_GB2312" w:eastAsia="仿宋_GB2312" w:cs="仿宋_GB2312"/>
          <w:kern w:val="0"/>
          <w:sz w:val="30"/>
          <w:szCs w:val="30"/>
        </w:rPr>
        <w:t>2019年部门预算收入</w:t>
      </w:r>
      <w:r>
        <w:rPr>
          <w:rFonts w:hint="eastAsia" w:eastAsia="仿宋_GB2312"/>
          <w:kern w:val="0"/>
          <w:sz w:val="30"/>
          <w:szCs w:val="30"/>
        </w:rPr>
        <w:t>1526.44</w:t>
      </w:r>
      <w:r>
        <w:rPr>
          <w:rFonts w:hint="eastAsia" w:ascii="仿宋_GB2312" w:hAnsi="仿宋_GB2312" w:eastAsia="仿宋_GB2312" w:cs="仿宋_GB2312"/>
          <w:kern w:val="0"/>
          <w:sz w:val="30"/>
          <w:szCs w:val="30"/>
        </w:rPr>
        <w:t>万元，比上年预算数1232.55万元增</w:t>
      </w:r>
      <w:r>
        <w:rPr>
          <w:rFonts w:hint="eastAsia" w:ascii="仿宋_GB2312" w:hAnsi="仿宋_GB2312" w:eastAsia="仿宋_GB2312" w:cs="仿宋_GB2312"/>
          <w:kern w:val="0"/>
          <w:sz w:val="30"/>
          <w:szCs w:val="30"/>
          <w:lang w:eastAsia="zh-CN"/>
        </w:rPr>
        <w:t>加</w:t>
      </w:r>
      <w:r>
        <w:rPr>
          <w:rFonts w:hint="eastAsia" w:ascii="仿宋_GB2312" w:hAnsi="仿宋_GB2312" w:eastAsia="仿宋_GB2312" w:cs="仿宋_GB2312"/>
          <w:kern w:val="0"/>
          <w:sz w:val="30"/>
          <w:szCs w:val="30"/>
        </w:rPr>
        <w:t>293.89万元，增加23.84%。增加原因：调增人员工资。</w:t>
      </w:r>
    </w:p>
    <w:p>
      <w:pPr>
        <w:keepNext w:val="0"/>
        <w:keepLines w:val="0"/>
        <w:pageBreakBefore w:val="0"/>
        <w:kinsoku/>
        <w:wordWrap/>
        <w:overflowPunct/>
        <w:topLinePunct w:val="0"/>
        <w:bidi w:val="0"/>
        <w:snapToGrid/>
        <w:ind w:firstLine="600" w:firstLineChars="200"/>
        <w:jc w:val="both"/>
        <w:textAlignment w:val="auto"/>
        <w:outlineLvl w:val="9"/>
        <w:rPr>
          <w:rFonts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bidi w:val="0"/>
        <w:snapToGrid/>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2019年盈江县卡场镇九年一贯制学校无项目支出预算。</w:t>
      </w:r>
    </w:p>
    <w:p>
      <w:pPr>
        <w:keepNext w:val="0"/>
        <w:keepLines w:val="0"/>
        <w:pageBreakBefore w:val="0"/>
        <w:widowControl/>
        <w:kinsoku/>
        <w:wordWrap/>
        <w:overflowPunct/>
        <w:topLinePunct w:val="0"/>
        <w:bidi w:val="0"/>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bidi w:val="0"/>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rPr>
        <w:t>差</w:t>
      </w:r>
      <w:r>
        <w:rPr>
          <w:rFonts w:hint="eastAsia" w:ascii="仿宋_GB2312" w:hAnsi="仿宋_GB2312" w:eastAsia="仿宋_GB2312" w:cs="仿宋_GB2312"/>
          <w:color w:val="333333"/>
          <w:kern w:val="0"/>
          <w:sz w:val="30"/>
          <w:szCs w:val="30"/>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rPr>
        <w:t xml:space="preserve">13.对个人和家庭的补助反映政府用于对个人和家庭的补助支出。 </w:t>
      </w:r>
    </w:p>
    <w:p>
      <w:pPr>
        <w:keepNext w:val="0"/>
        <w:keepLines w:val="0"/>
        <w:pageBreakBefore w:val="0"/>
        <w:widowControl/>
        <w:kinsoku/>
        <w:wordWrap/>
        <w:overflowPunct/>
        <w:topLinePunct w:val="0"/>
        <w:bidi w:val="0"/>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bidi w:val="0"/>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bidi w:val="0"/>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bidi w:val="0"/>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bidi w:val="0"/>
        <w:snapToGrid/>
        <w:ind w:firstLine="600" w:firstLineChars="200"/>
        <w:jc w:val="both"/>
        <w:textAlignment w:val="auto"/>
        <w:outlineLvl w:val="9"/>
        <w:rPr>
          <w:rFonts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pageBreakBefore w:val="0"/>
        <w:widowControl/>
        <w:numPr>
          <w:ilvl w:val="0"/>
          <w:numId w:val="5"/>
        </w:numPr>
        <w:kinsoku/>
        <w:wordWrap/>
        <w:overflowPunct/>
        <w:topLinePunct w:val="0"/>
        <w:bidi w:val="0"/>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bidi w:val="0"/>
        <w:snapToGrid/>
        <w:ind w:firstLine="600" w:firstLineChars="200"/>
        <w:jc w:val="both"/>
        <w:textAlignment w:val="auto"/>
        <w:outlineLvl w:val="9"/>
        <w:rPr>
          <w:rFonts w:eastAsia="仿宋_GB2312"/>
          <w:kern w:val="0"/>
          <w:sz w:val="30"/>
          <w:szCs w:val="30"/>
        </w:rPr>
      </w:pPr>
      <w:r>
        <w:rPr>
          <w:rFonts w:hint="eastAsia" w:eastAsia="仿宋_GB2312"/>
          <w:kern w:val="0"/>
          <w:sz w:val="30"/>
          <w:szCs w:val="30"/>
        </w:rPr>
        <w:t xml:space="preserve">    2019</w:t>
      </w:r>
      <w:r>
        <w:rPr>
          <w:rFonts w:eastAsia="仿宋_GB2312"/>
          <w:kern w:val="0"/>
          <w:sz w:val="30"/>
          <w:szCs w:val="30"/>
        </w:rPr>
        <w:t xml:space="preserve">年部门预算总支出 </w:t>
      </w:r>
      <w:r>
        <w:rPr>
          <w:rFonts w:hint="eastAsia" w:eastAsia="仿宋_GB2312"/>
          <w:kern w:val="0"/>
          <w:sz w:val="30"/>
          <w:szCs w:val="30"/>
        </w:rPr>
        <w:t>1526.44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rPr>
        <w:t>1526.44</w:t>
      </w:r>
      <w:r>
        <w:rPr>
          <w:rFonts w:eastAsia="仿宋_GB2312"/>
          <w:kern w:val="0"/>
          <w:sz w:val="30"/>
          <w:szCs w:val="30"/>
        </w:rPr>
        <w:t>万元，其中，基本支出</w:t>
      </w:r>
      <w:r>
        <w:rPr>
          <w:rFonts w:hint="eastAsia" w:eastAsia="仿宋_GB2312"/>
          <w:kern w:val="0"/>
          <w:sz w:val="30"/>
          <w:szCs w:val="30"/>
        </w:rPr>
        <w:t>1526.44</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归口管理的事业单位离退休、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rPr>
        <w:t>0</w:t>
      </w:r>
      <w:r>
        <w:rPr>
          <w:rFonts w:eastAsia="仿宋_GB2312"/>
          <w:kern w:val="0"/>
          <w:sz w:val="30"/>
          <w:szCs w:val="30"/>
        </w:rPr>
        <w:t>万元。</w:t>
      </w:r>
    </w:p>
    <w:p>
      <w:pPr>
        <w:widowControl/>
        <w:jc w:val="left"/>
        <w:rPr>
          <w:rFonts w:ascii="仿宋_GB2312" w:eastAsia="仿宋_GB2312"/>
          <w:kern w:val="0"/>
          <w:sz w:val="30"/>
          <w:szCs w:val="30"/>
        </w:rPr>
      </w:pPr>
    </w:p>
    <w:p>
      <w:pPr>
        <w:widowControl/>
        <w:jc w:val="left"/>
        <w:rPr>
          <w:rFonts w:ascii="楷体_GB2312" w:eastAsia="楷体_GB2312"/>
          <w:kern w:val="0"/>
          <w:sz w:val="30"/>
          <w:szCs w:val="30"/>
        </w:rPr>
      </w:pPr>
      <w:bookmarkStart w:id="1" w:name="_GoBack"/>
      <w:bookmarkEnd w:id="1"/>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4D50"/>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5686C"/>
    <w:rsid w:val="00360593"/>
    <w:rsid w:val="00360EF7"/>
    <w:rsid w:val="00361A07"/>
    <w:rsid w:val="003710A2"/>
    <w:rsid w:val="00372470"/>
    <w:rsid w:val="00376707"/>
    <w:rsid w:val="0037788A"/>
    <w:rsid w:val="0038029B"/>
    <w:rsid w:val="00383096"/>
    <w:rsid w:val="00392AA8"/>
    <w:rsid w:val="003931E6"/>
    <w:rsid w:val="00395E72"/>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01AE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0F02"/>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06DD7"/>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873"/>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4727D"/>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37576"/>
    <w:rsid w:val="00E46B69"/>
    <w:rsid w:val="00E47754"/>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2B94"/>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450888"/>
    <w:rsid w:val="025737A0"/>
    <w:rsid w:val="03CD50E7"/>
    <w:rsid w:val="03F0214E"/>
    <w:rsid w:val="04CF1775"/>
    <w:rsid w:val="05616F12"/>
    <w:rsid w:val="061D49D6"/>
    <w:rsid w:val="06325B44"/>
    <w:rsid w:val="0661767B"/>
    <w:rsid w:val="06E43398"/>
    <w:rsid w:val="079F1950"/>
    <w:rsid w:val="084A3CB5"/>
    <w:rsid w:val="0AB77A2F"/>
    <w:rsid w:val="0BF920DB"/>
    <w:rsid w:val="0C6E39A3"/>
    <w:rsid w:val="0C9221AC"/>
    <w:rsid w:val="105A3BDF"/>
    <w:rsid w:val="11111627"/>
    <w:rsid w:val="13F52A67"/>
    <w:rsid w:val="14594CAF"/>
    <w:rsid w:val="15AF26BE"/>
    <w:rsid w:val="16C85A74"/>
    <w:rsid w:val="172728C8"/>
    <w:rsid w:val="18194B15"/>
    <w:rsid w:val="1A0B3DDD"/>
    <w:rsid w:val="1A685806"/>
    <w:rsid w:val="1CE54A30"/>
    <w:rsid w:val="1DE51DDD"/>
    <w:rsid w:val="1EC15AC0"/>
    <w:rsid w:val="206C0510"/>
    <w:rsid w:val="207165AF"/>
    <w:rsid w:val="215D47F3"/>
    <w:rsid w:val="21B76D32"/>
    <w:rsid w:val="228F2F2D"/>
    <w:rsid w:val="23293A4E"/>
    <w:rsid w:val="23C6578F"/>
    <w:rsid w:val="242E2599"/>
    <w:rsid w:val="25070933"/>
    <w:rsid w:val="26BF2FF3"/>
    <w:rsid w:val="27E3128E"/>
    <w:rsid w:val="28246F03"/>
    <w:rsid w:val="28D26D48"/>
    <w:rsid w:val="29F4749C"/>
    <w:rsid w:val="2B696D85"/>
    <w:rsid w:val="2C52536E"/>
    <w:rsid w:val="2D405A4B"/>
    <w:rsid w:val="2D7B7E3A"/>
    <w:rsid w:val="2DA75286"/>
    <w:rsid w:val="2FB80DC7"/>
    <w:rsid w:val="2FD25EA1"/>
    <w:rsid w:val="2FDF39C1"/>
    <w:rsid w:val="30D85C38"/>
    <w:rsid w:val="31575E2D"/>
    <w:rsid w:val="33E37726"/>
    <w:rsid w:val="340A3B9E"/>
    <w:rsid w:val="35D20491"/>
    <w:rsid w:val="369B6FF2"/>
    <w:rsid w:val="39466C4F"/>
    <w:rsid w:val="39BF048F"/>
    <w:rsid w:val="3A8C77EA"/>
    <w:rsid w:val="3B0C58A6"/>
    <w:rsid w:val="3B8E422C"/>
    <w:rsid w:val="3BC11965"/>
    <w:rsid w:val="3CC32D4E"/>
    <w:rsid w:val="3D531916"/>
    <w:rsid w:val="40727ADC"/>
    <w:rsid w:val="40A3299A"/>
    <w:rsid w:val="41986473"/>
    <w:rsid w:val="43131F13"/>
    <w:rsid w:val="43B546FA"/>
    <w:rsid w:val="43C35C3E"/>
    <w:rsid w:val="44A11F66"/>
    <w:rsid w:val="45166B3A"/>
    <w:rsid w:val="45AD3F44"/>
    <w:rsid w:val="464716C2"/>
    <w:rsid w:val="46D61E29"/>
    <w:rsid w:val="48BA0E0E"/>
    <w:rsid w:val="4A940EA9"/>
    <w:rsid w:val="4C2B6994"/>
    <w:rsid w:val="4DA30486"/>
    <w:rsid w:val="4E1878C9"/>
    <w:rsid w:val="4E7A28A9"/>
    <w:rsid w:val="4F462F65"/>
    <w:rsid w:val="4FC334A8"/>
    <w:rsid w:val="50F26431"/>
    <w:rsid w:val="510C49A5"/>
    <w:rsid w:val="515A348C"/>
    <w:rsid w:val="53291E1A"/>
    <w:rsid w:val="557240F0"/>
    <w:rsid w:val="564C72BA"/>
    <w:rsid w:val="577644E3"/>
    <w:rsid w:val="5825432A"/>
    <w:rsid w:val="58310B0B"/>
    <w:rsid w:val="58383D39"/>
    <w:rsid w:val="58FC7C59"/>
    <w:rsid w:val="59303652"/>
    <w:rsid w:val="597D7B2E"/>
    <w:rsid w:val="59D53C66"/>
    <w:rsid w:val="5AB4032D"/>
    <w:rsid w:val="5DDB63FE"/>
    <w:rsid w:val="5E7D384C"/>
    <w:rsid w:val="5F1D569A"/>
    <w:rsid w:val="5FB20E86"/>
    <w:rsid w:val="65756AF5"/>
    <w:rsid w:val="65E20823"/>
    <w:rsid w:val="66447E71"/>
    <w:rsid w:val="67081E82"/>
    <w:rsid w:val="67D95CA6"/>
    <w:rsid w:val="67DD5DBE"/>
    <w:rsid w:val="68083500"/>
    <w:rsid w:val="68C77134"/>
    <w:rsid w:val="6A8C3BB7"/>
    <w:rsid w:val="6CAC668F"/>
    <w:rsid w:val="6DA47EEE"/>
    <w:rsid w:val="6F774578"/>
    <w:rsid w:val="6FCD3E36"/>
    <w:rsid w:val="713433EF"/>
    <w:rsid w:val="71585CE5"/>
    <w:rsid w:val="724A4A01"/>
    <w:rsid w:val="72F37DB5"/>
    <w:rsid w:val="74C44278"/>
    <w:rsid w:val="74F82535"/>
    <w:rsid w:val="75F37398"/>
    <w:rsid w:val="767666F4"/>
    <w:rsid w:val="76C22F3D"/>
    <w:rsid w:val="7779331C"/>
    <w:rsid w:val="77B2525D"/>
    <w:rsid w:val="77D46EE6"/>
    <w:rsid w:val="77E5158F"/>
    <w:rsid w:val="783208A0"/>
    <w:rsid w:val="783D31F1"/>
    <w:rsid w:val="795A54EA"/>
    <w:rsid w:val="79910928"/>
    <w:rsid w:val="79F04961"/>
    <w:rsid w:val="7A017677"/>
    <w:rsid w:val="7B1E5394"/>
    <w:rsid w:val="7C434B75"/>
    <w:rsid w:val="7CC5101A"/>
    <w:rsid w:val="7E39766E"/>
    <w:rsid w:val="7E9E748B"/>
    <w:rsid w:val="7F661CB9"/>
    <w:rsid w:val="7FAD4FDC"/>
    <w:rsid w:val="7FC545C4"/>
    <w:rsid w:val="7FCA40B9"/>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普通(网站)1"/>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13</Pages>
  <Words>959</Words>
  <Characters>5470</Characters>
  <Lines>45</Lines>
  <Paragraphs>12</Paragraphs>
  <TotalTime>24</TotalTime>
  <ScaleCrop>false</ScaleCrop>
  <LinksUpToDate>false</LinksUpToDate>
  <CharactersWithSpaces>6417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2019-04-26T02:31:00Z</cp:lastPrinted>
  <dcterms:modified xsi:type="dcterms:W3CDTF">2019-04-29T09:03:07Z</dcterms:modified>
  <dc:title>年部门预算编制说明</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