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bCs/>
          <w:sz w:val="36"/>
          <w:szCs w:val="36"/>
        </w:rPr>
      </w:pPr>
      <w:r>
        <w:rPr>
          <w:rFonts w:hint="eastAsia" w:ascii="黑体" w:hAnsi="黑体" w:eastAsia="黑体" w:cs="黑体"/>
          <w:b/>
          <w:bCs/>
          <w:sz w:val="36"/>
          <w:szCs w:val="36"/>
          <w:lang w:eastAsia="zh-CN"/>
        </w:rPr>
        <w:t>盈江县卫生监督大队</w:t>
      </w:r>
      <w:r>
        <w:rPr>
          <w:rFonts w:hint="eastAsia" w:ascii="黑体" w:hAnsi="黑体" w:eastAsia="黑体" w:cs="黑体"/>
          <w:b/>
          <w:bCs/>
          <w:sz w:val="36"/>
          <w:szCs w:val="36"/>
          <w:lang w:val="en-US" w:eastAsia="zh-CN"/>
        </w:rPr>
        <w:t>2019</w:t>
      </w:r>
      <w:r>
        <w:rPr>
          <w:rFonts w:hint="eastAsia" w:ascii="黑体" w:hAnsi="黑体" w:eastAsia="黑体" w:cs="黑体"/>
          <w:b/>
          <w:bCs/>
          <w:sz w:val="36"/>
          <w:szCs w:val="36"/>
        </w:rPr>
        <w:t>年</w:t>
      </w:r>
      <w:r>
        <w:rPr>
          <w:rFonts w:hint="eastAsia" w:ascii="黑体" w:hAnsi="黑体" w:eastAsia="黑体" w:cs="黑体"/>
          <w:b/>
          <w:bCs/>
          <w:sz w:val="36"/>
          <w:szCs w:val="36"/>
          <w:lang w:eastAsia="zh-CN"/>
        </w:rPr>
        <w:t>部门</w:t>
      </w:r>
      <w:r>
        <w:rPr>
          <w:rFonts w:hint="eastAsia" w:ascii="黑体" w:hAnsi="黑体" w:eastAsia="黑体" w:cs="黑体"/>
          <w:b/>
          <w:bCs/>
          <w:sz w:val="36"/>
          <w:szCs w:val="36"/>
        </w:rPr>
        <w:t>预算</w:t>
      </w:r>
      <w:r>
        <w:rPr>
          <w:rFonts w:hint="eastAsia" w:ascii="黑体" w:hAnsi="黑体" w:eastAsia="黑体" w:cs="黑体"/>
          <w:b/>
          <w:bCs/>
          <w:sz w:val="36"/>
          <w:szCs w:val="36"/>
          <w:lang w:eastAsia="zh-CN"/>
        </w:rPr>
        <w:t>公开</w:t>
      </w:r>
    </w:p>
    <w:p>
      <w:pPr>
        <w:jc w:val="center"/>
        <w:rPr>
          <w:rFonts w:hint="eastAsia" w:ascii="黑体" w:hAnsi="黑体" w:eastAsia="黑体" w:cs="黑体"/>
          <w:b/>
          <w:bCs/>
          <w:sz w:val="36"/>
          <w:szCs w:val="36"/>
        </w:rPr>
      </w:pPr>
      <w:r>
        <w:rPr>
          <w:rFonts w:hint="eastAsia" w:ascii="黑体" w:hAnsi="黑体" w:eastAsia="黑体" w:cs="黑体"/>
          <w:b/>
          <w:bCs/>
          <w:sz w:val="36"/>
          <w:szCs w:val="36"/>
        </w:rPr>
        <w:t>目录</w:t>
      </w:r>
    </w:p>
    <w:p>
      <w:pPr>
        <w:jc w:val="left"/>
        <w:rPr>
          <w:rFonts w:hint="eastAsia" w:ascii="黑体" w:hAnsi="黑体" w:eastAsia="黑体" w:cs="黑体"/>
          <w:b/>
          <w:bCs/>
          <w:sz w:val="36"/>
          <w:szCs w:val="36"/>
        </w:rPr>
      </w:pPr>
    </w:p>
    <w:p>
      <w:pPr>
        <w:jc w:val="left"/>
        <w:rPr>
          <w:rFonts w:hint="eastAsia" w:ascii="黑体" w:hAnsi="黑体" w:eastAsia="黑体" w:cs="黑体"/>
          <w:b/>
          <w:bCs/>
          <w:sz w:val="36"/>
          <w:szCs w:val="36"/>
        </w:rPr>
      </w:pPr>
      <w:r>
        <w:rPr>
          <w:rFonts w:hint="eastAsia" w:ascii="黑体" w:hAnsi="黑体" w:eastAsia="黑体" w:cs="黑体"/>
          <w:b/>
          <w:bCs/>
          <w:sz w:val="36"/>
          <w:szCs w:val="36"/>
        </w:rPr>
        <w:t xml:space="preserve">第一部分 </w:t>
      </w:r>
      <w:r>
        <w:rPr>
          <w:rFonts w:hint="eastAsia" w:ascii="黑体" w:hAnsi="黑体" w:eastAsia="黑体" w:cs="黑体"/>
          <w:b/>
          <w:bCs/>
          <w:sz w:val="36"/>
          <w:szCs w:val="36"/>
          <w:lang w:eastAsia="zh-CN"/>
        </w:rPr>
        <w:t>盈江县卫生监督大队</w:t>
      </w:r>
      <w:r>
        <w:rPr>
          <w:rFonts w:hint="eastAsia" w:ascii="黑体" w:hAnsi="黑体" w:eastAsia="黑体" w:cs="黑体"/>
          <w:b/>
          <w:bCs/>
          <w:sz w:val="36"/>
          <w:szCs w:val="36"/>
          <w:lang w:val="en-US" w:eastAsia="zh-CN"/>
        </w:rPr>
        <w:t>2019</w:t>
      </w:r>
      <w:r>
        <w:rPr>
          <w:rFonts w:hint="eastAsia" w:ascii="黑体" w:hAnsi="黑体" w:eastAsia="黑体" w:cs="黑体"/>
          <w:b/>
          <w:bCs/>
          <w:sz w:val="36"/>
          <w:szCs w:val="36"/>
        </w:rPr>
        <w:t>年部门预算编制说明</w:t>
      </w:r>
    </w:p>
    <w:p>
      <w:pPr>
        <w:jc w:val="left"/>
        <w:rPr>
          <w:rFonts w:hint="eastAsia" w:ascii="黑体" w:hAnsi="黑体" w:eastAsia="黑体" w:cs="黑体"/>
          <w:b/>
          <w:bCs/>
          <w:sz w:val="36"/>
          <w:szCs w:val="36"/>
        </w:rPr>
      </w:pPr>
      <w:r>
        <w:rPr>
          <w:rFonts w:hint="eastAsia" w:ascii="黑体" w:hAnsi="黑体" w:eastAsia="黑体" w:cs="黑体"/>
          <w:b/>
          <w:bCs/>
          <w:sz w:val="36"/>
          <w:szCs w:val="36"/>
        </w:rPr>
        <w:t xml:space="preserve">第二部分 </w:t>
      </w:r>
      <w:r>
        <w:rPr>
          <w:rFonts w:hint="eastAsia" w:ascii="黑体" w:hAnsi="黑体" w:eastAsia="黑体" w:cs="黑体"/>
          <w:b/>
          <w:bCs/>
          <w:sz w:val="36"/>
          <w:szCs w:val="36"/>
          <w:lang w:eastAsia="zh-CN"/>
        </w:rPr>
        <w:t>盈江县卫生监督大队</w:t>
      </w:r>
      <w:r>
        <w:rPr>
          <w:rFonts w:hint="eastAsia" w:ascii="黑体" w:hAnsi="黑体" w:eastAsia="黑体" w:cs="黑体"/>
          <w:b/>
          <w:bCs/>
          <w:sz w:val="36"/>
          <w:szCs w:val="36"/>
          <w:lang w:val="en-US" w:eastAsia="zh-CN"/>
        </w:rPr>
        <w:t>2019</w:t>
      </w:r>
      <w:r>
        <w:rPr>
          <w:rFonts w:hint="eastAsia" w:ascii="黑体" w:hAnsi="黑体" w:eastAsia="黑体" w:cs="黑体"/>
          <w:b/>
          <w:bCs/>
          <w:sz w:val="36"/>
          <w:szCs w:val="36"/>
        </w:rPr>
        <w:t>年部门预算表</w:t>
      </w:r>
    </w:p>
    <w:p>
      <w:pPr>
        <w:jc w:val="left"/>
        <w:rPr>
          <w:rFonts w:hint="eastAsia" w:ascii="黑体" w:hAnsi="黑体" w:eastAsia="黑体" w:cs="黑体"/>
          <w:b/>
          <w:bCs/>
          <w:sz w:val="36"/>
          <w:szCs w:val="36"/>
        </w:rPr>
      </w:pPr>
      <w:r>
        <w:rPr>
          <w:rFonts w:hint="eastAsia" w:ascii="黑体" w:hAnsi="黑体" w:eastAsia="黑体" w:cs="黑体"/>
          <w:b/>
          <w:bCs/>
          <w:sz w:val="36"/>
          <w:szCs w:val="36"/>
        </w:rPr>
        <w:t>一、部门财务收支总体情况表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二、部门收入总体情况表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三、部门支出总体情况表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四、部门财政拨款收支总体情况表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五、部门一般公共预算本级财力安排支出情况表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六、部门基本支出情况表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七、部门政府性基金预算支出情况表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八、财政拨款支出明细表（按经济科目分类）</w:t>
      </w:r>
    </w:p>
    <w:p>
      <w:pPr>
        <w:jc w:val="left"/>
        <w:rPr>
          <w:rFonts w:hint="eastAsia" w:ascii="黑体" w:hAnsi="黑体" w:eastAsia="黑体" w:cs="黑体"/>
          <w:b/>
          <w:bCs/>
          <w:sz w:val="36"/>
          <w:szCs w:val="36"/>
        </w:rPr>
      </w:pPr>
      <w:r>
        <w:rPr>
          <w:rFonts w:hint="eastAsia" w:ascii="黑体" w:hAnsi="黑体" w:eastAsia="黑体" w:cs="黑体"/>
          <w:b/>
          <w:bCs/>
          <w:sz w:val="36"/>
          <w:szCs w:val="36"/>
        </w:rPr>
        <w:t>九、部门一般公共预算“三公”经费支出情况表</w:t>
      </w:r>
    </w:p>
    <w:p>
      <w:pPr>
        <w:jc w:val="left"/>
        <w:rPr>
          <w:rFonts w:hint="eastAsia" w:ascii="黑体" w:hAnsi="黑体" w:eastAsia="黑体" w:cs="黑体"/>
          <w:b/>
          <w:bCs/>
          <w:sz w:val="36"/>
          <w:szCs w:val="36"/>
        </w:rPr>
      </w:pPr>
      <w:r>
        <w:rPr>
          <w:rFonts w:hint="eastAsia" w:ascii="黑体" w:hAnsi="黑体" w:eastAsia="黑体" w:cs="黑体"/>
          <w:b/>
          <w:bCs/>
          <w:sz w:val="36"/>
          <w:szCs w:val="36"/>
        </w:rPr>
        <w:t>十、</w:t>
      </w:r>
      <w:r>
        <w:rPr>
          <w:rFonts w:hint="eastAsia" w:ascii="黑体" w:hAnsi="黑体" w:eastAsia="黑体" w:cs="黑体"/>
          <w:b/>
          <w:bCs/>
          <w:sz w:val="36"/>
          <w:szCs w:val="36"/>
          <w:lang w:val="en-US" w:eastAsia="zh-CN"/>
        </w:rPr>
        <w:t>县</w:t>
      </w:r>
      <w:r>
        <w:rPr>
          <w:rFonts w:hint="eastAsia" w:ascii="黑体" w:hAnsi="黑体" w:eastAsia="黑体" w:cs="黑体"/>
          <w:b/>
          <w:bCs/>
          <w:sz w:val="36"/>
          <w:szCs w:val="36"/>
        </w:rPr>
        <w:t>本级项目支出绩效目标表（本次下达）</w:t>
      </w:r>
    </w:p>
    <w:p>
      <w:pPr>
        <w:jc w:val="left"/>
        <w:rPr>
          <w:rFonts w:hint="eastAsia" w:ascii="黑体" w:hAnsi="黑体" w:eastAsia="黑体" w:cs="黑体"/>
          <w:b/>
          <w:bCs/>
          <w:sz w:val="36"/>
          <w:szCs w:val="36"/>
        </w:rPr>
      </w:pPr>
      <w:r>
        <w:rPr>
          <w:rFonts w:hint="eastAsia" w:ascii="黑体" w:hAnsi="黑体" w:eastAsia="黑体" w:cs="黑体"/>
          <w:b/>
          <w:bCs/>
          <w:sz w:val="36"/>
          <w:szCs w:val="36"/>
        </w:rPr>
        <w:t>十一、</w:t>
      </w:r>
      <w:r>
        <w:rPr>
          <w:rFonts w:hint="eastAsia" w:ascii="黑体" w:hAnsi="黑体" w:eastAsia="黑体" w:cs="黑体"/>
          <w:b/>
          <w:bCs/>
          <w:sz w:val="36"/>
          <w:szCs w:val="36"/>
          <w:lang w:val="en-US" w:eastAsia="zh-CN"/>
        </w:rPr>
        <w:t>县</w:t>
      </w:r>
      <w:r>
        <w:rPr>
          <w:rFonts w:hint="eastAsia" w:ascii="黑体" w:hAnsi="黑体" w:eastAsia="黑体" w:cs="黑体"/>
          <w:b/>
          <w:bCs/>
          <w:sz w:val="36"/>
          <w:szCs w:val="36"/>
        </w:rPr>
        <w:t>本级项目支出绩效目标表（另文下达）</w:t>
      </w:r>
    </w:p>
    <w:p>
      <w:pPr>
        <w:jc w:val="left"/>
        <w:rPr>
          <w:rFonts w:hint="eastAsia" w:ascii="黑体" w:hAnsi="黑体" w:eastAsia="黑体" w:cs="黑体"/>
          <w:b/>
          <w:bCs/>
          <w:sz w:val="36"/>
          <w:szCs w:val="36"/>
        </w:rPr>
      </w:pPr>
      <w:r>
        <w:rPr>
          <w:rFonts w:hint="eastAsia" w:ascii="黑体" w:hAnsi="黑体" w:eastAsia="黑体" w:cs="黑体"/>
          <w:b/>
          <w:bCs/>
          <w:sz w:val="36"/>
          <w:szCs w:val="36"/>
        </w:rPr>
        <w:t>十二、</w:t>
      </w:r>
      <w:r>
        <w:rPr>
          <w:rFonts w:hint="eastAsia" w:ascii="黑体" w:hAnsi="黑体" w:eastAsia="黑体" w:cs="黑体"/>
          <w:b/>
          <w:bCs/>
          <w:sz w:val="36"/>
          <w:szCs w:val="36"/>
          <w:lang w:val="en-US" w:eastAsia="zh-CN"/>
        </w:rPr>
        <w:t>县</w:t>
      </w:r>
      <w:r>
        <w:rPr>
          <w:rFonts w:hint="eastAsia" w:ascii="黑体" w:hAnsi="黑体" w:eastAsia="黑体" w:cs="黑体"/>
          <w:b/>
          <w:bCs/>
          <w:sz w:val="36"/>
          <w:szCs w:val="36"/>
        </w:rPr>
        <w:t>对下转移支付绩效目标表</w:t>
      </w:r>
    </w:p>
    <w:p>
      <w:pPr>
        <w:jc w:val="left"/>
        <w:rPr>
          <w:rFonts w:hint="eastAsia" w:ascii="黑体" w:hAnsi="黑体" w:eastAsia="黑体" w:cs="黑体"/>
          <w:b/>
          <w:bCs/>
          <w:sz w:val="36"/>
          <w:szCs w:val="36"/>
        </w:rPr>
      </w:pPr>
      <w:r>
        <w:rPr>
          <w:rFonts w:hint="eastAsia" w:ascii="黑体" w:hAnsi="黑体" w:eastAsia="黑体" w:cs="黑体"/>
          <w:b/>
          <w:bCs/>
          <w:sz w:val="36"/>
          <w:szCs w:val="36"/>
        </w:rPr>
        <w:t>十三、部门政府采购情况表</w:t>
      </w:r>
    </w:p>
    <w:p>
      <w:pPr>
        <w:jc w:val="left"/>
        <w:rPr>
          <w:rFonts w:hint="eastAsia" w:ascii="黑体" w:hAnsi="黑体" w:eastAsia="黑体" w:cs="黑体"/>
          <w:b/>
          <w:bCs/>
          <w:sz w:val="30"/>
          <w:szCs w:val="30"/>
        </w:rPr>
      </w:pPr>
    </w:p>
    <w:p>
      <w:pPr>
        <w:widowControl/>
        <w:jc w:val="both"/>
        <w:rPr>
          <w:rFonts w:hint="eastAsia" w:ascii="黑体" w:hAnsi="黑体" w:eastAsia="黑体" w:cs="黑体"/>
          <w:b/>
          <w:bCs/>
          <w:kern w:val="0"/>
          <w:sz w:val="36"/>
          <w:szCs w:val="36"/>
        </w:rPr>
      </w:pPr>
      <w:r>
        <w:rPr>
          <w:rFonts w:hint="eastAsia" w:ascii="黑体" w:hAnsi="黑体" w:eastAsia="黑体" w:cs="黑体"/>
          <w:b/>
          <w:bCs/>
          <w:kern w:val="0"/>
          <w:sz w:val="36"/>
          <w:szCs w:val="36"/>
          <w:lang w:eastAsia="zh-CN"/>
        </w:rPr>
        <w:t>盈江县卫生监督大队</w:t>
      </w:r>
      <w:r>
        <w:rPr>
          <w:rFonts w:hint="eastAsia" w:ascii="黑体" w:hAnsi="黑体" w:eastAsia="黑体" w:cs="黑体"/>
          <w:b/>
          <w:bCs/>
          <w:kern w:val="0"/>
          <w:sz w:val="36"/>
          <w:szCs w:val="36"/>
          <w:lang w:val="en-US" w:eastAsia="zh-CN"/>
        </w:rPr>
        <w:t>2019</w:t>
      </w:r>
      <w:r>
        <w:rPr>
          <w:rFonts w:hint="eastAsia" w:ascii="黑体" w:hAnsi="黑体" w:eastAsia="黑体" w:cs="黑体"/>
          <w:b/>
          <w:bCs/>
          <w:kern w:val="0"/>
          <w:sz w:val="36"/>
          <w:szCs w:val="36"/>
        </w:rPr>
        <w:t>年部门预算编制说明</w:t>
      </w:r>
    </w:p>
    <w:p>
      <w:pPr>
        <w:widowControl/>
        <w:jc w:val="left"/>
        <w:rPr>
          <w:rFonts w:hint="eastAsia" w:ascii="仿宋" w:hAnsi="仿宋" w:eastAsia="仿宋" w:cs="仿宋"/>
          <w:b/>
          <w:bCs/>
          <w:kern w:val="0"/>
          <w:sz w:val="30"/>
          <w:szCs w:val="30"/>
        </w:rPr>
      </w:pPr>
    </w:p>
    <w:p>
      <w:pPr>
        <w:widowControl/>
        <w:ind w:firstLine="452" w:firstLineChars="15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一、基本职能及主要工作</w:t>
      </w:r>
    </w:p>
    <w:p>
      <w:pPr>
        <w:widowControl/>
        <w:ind w:firstLine="301" w:firstLineChars="1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（一）部门主要职责</w:t>
      </w:r>
    </w:p>
    <w:p>
      <w:pPr>
        <w:ind w:left="420" w:leftChars="200" w:firstLine="600" w:firstLineChars="200"/>
        <w:jc w:val="left"/>
        <w:rPr>
          <w:rFonts w:hint="eastAsia" w:ascii="仿宋" w:hAnsi="仿宋" w:eastAsia="仿宋" w:cs="仿宋"/>
          <w:sz w:val="30"/>
          <w:szCs w:val="30"/>
        </w:rPr>
      </w:pPr>
      <w:r>
        <w:rPr>
          <w:rFonts w:hint="eastAsia" w:ascii="仿宋" w:hAnsi="仿宋" w:eastAsia="仿宋" w:cs="仿宋"/>
          <w:sz w:val="30"/>
          <w:szCs w:val="30"/>
        </w:rPr>
        <w:t>根据《中华人民共和国卫生部令》第39号文件规定，主要职能是：依法监督管理消毒产品、生活饮用水及涉及饮用水卫生安全产品；依法监督管理公共场所、职业、放射、学校卫生等工作；依法监督传染病防治工作；依法监督医疗机构和采供血机构及其执业人员的执业活动，整顿和规范医疗服务市场，打击非法行医和非法采供血行为；承担法律法规规定的其他职责。</w:t>
      </w:r>
    </w:p>
    <w:p>
      <w:pPr>
        <w:widowControl/>
        <w:ind w:firstLine="301" w:firstLineChars="1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（二）机构设置情况</w:t>
      </w:r>
    </w:p>
    <w:p>
      <w:pPr>
        <w:widowControl/>
        <w:numPr>
          <w:ilvl w:val="0"/>
          <w:numId w:val="0"/>
        </w:numPr>
        <w:ind w:firstLine="600" w:firstLineChars="200"/>
        <w:jc w:val="left"/>
        <w:rPr>
          <w:rFonts w:hint="eastAsia" w:ascii="仿宋" w:hAnsi="仿宋" w:eastAsia="仿宋" w:cs="仿宋"/>
          <w:sz w:val="30"/>
          <w:szCs w:val="30"/>
        </w:rPr>
      </w:pPr>
      <w:r>
        <w:rPr>
          <w:rFonts w:hint="eastAsia" w:ascii="仿宋" w:hAnsi="仿宋" w:eastAsia="仿宋" w:cs="仿宋"/>
          <w:sz w:val="30"/>
          <w:szCs w:val="30"/>
        </w:rPr>
        <w:t>盈江县卫生监督大队设</w:t>
      </w:r>
      <w:r>
        <w:rPr>
          <w:rFonts w:hint="eastAsia" w:ascii="仿宋" w:hAnsi="仿宋" w:eastAsia="仿宋" w:cs="仿宋"/>
          <w:sz w:val="30"/>
          <w:szCs w:val="30"/>
          <w:lang w:val="en-US" w:eastAsia="zh-CN"/>
        </w:rPr>
        <w:t>5</w:t>
      </w:r>
      <w:r>
        <w:rPr>
          <w:rFonts w:hint="eastAsia" w:ascii="仿宋" w:hAnsi="仿宋" w:eastAsia="仿宋" w:cs="仿宋"/>
          <w:sz w:val="30"/>
          <w:szCs w:val="30"/>
        </w:rPr>
        <w:t>个职能科室</w:t>
      </w:r>
      <w:r>
        <w:rPr>
          <w:rFonts w:hint="eastAsia" w:ascii="仿宋" w:hAnsi="仿宋" w:eastAsia="仿宋" w:cs="仿宋"/>
          <w:sz w:val="30"/>
          <w:szCs w:val="30"/>
          <w:lang w:val="en-US" w:eastAsia="zh-CN"/>
        </w:rPr>
        <w:t>,分别为：办公室、医疗科、综合执法科、技术管理科及协管站。</w:t>
      </w:r>
    </w:p>
    <w:p>
      <w:pPr>
        <w:widowControl/>
        <w:ind w:firstLine="301" w:firstLineChars="1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（三）重点工作概述</w:t>
      </w:r>
    </w:p>
    <w:p>
      <w:pPr>
        <w:snapToGrid w:val="0"/>
        <w:spacing w:line="560" w:lineRule="exact"/>
        <w:ind w:firstLine="600" w:firstLineChars="200"/>
        <w:rPr>
          <w:rFonts w:hint="eastAsia" w:ascii="仿宋" w:hAnsi="仿宋" w:eastAsia="仿宋" w:cs="仿宋"/>
          <w:b w:val="0"/>
          <w:bCs w:val="0"/>
          <w:sz w:val="30"/>
          <w:szCs w:val="30"/>
        </w:rPr>
      </w:pPr>
      <w:r>
        <w:rPr>
          <w:rFonts w:hint="eastAsia" w:ascii="仿宋" w:hAnsi="仿宋" w:eastAsia="仿宋" w:cs="仿宋"/>
          <w:b w:val="0"/>
          <w:bCs w:val="0"/>
          <w:sz w:val="30"/>
          <w:szCs w:val="30"/>
          <w:lang w:val="en-US" w:eastAsia="zh-CN"/>
        </w:rPr>
        <w:t>1、</w:t>
      </w:r>
      <w:r>
        <w:rPr>
          <w:rFonts w:hint="eastAsia" w:ascii="仿宋" w:hAnsi="仿宋" w:eastAsia="仿宋" w:cs="仿宋"/>
          <w:b w:val="0"/>
          <w:bCs w:val="0"/>
          <w:sz w:val="30"/>
          <w:szCs w:val="30"/>
        </w:rPr>
        <w:t>认真履职，高效开展卫生行政许可工作</w:t>
      </w:r>
    </w:p>
    <w:p>
      <w:pPr>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认真贯彻落实《行政许可法》，按照相关卫生法律、法规、标准、规范的要求，完成全县公共场所、生活饮用水生产（经营）场所、医疗机构执业许可证、医师执业证、护士执业证等的申办和变更的受理和审查发证工作。</w:t>
      </w:r>
    </w:p>
    <w:p>
      <w:pPr>
        <w:spacing w:line="560" w:lineRule="exact"/>
        <w:ind w:firstLine="660" w:firstLineChars="200"/>
        <w:rPr>
          <w:rFonts w:hint="eastAsia" w:ascii="仿宋" w:hAnsi="仿宋" w:eastAsia="仿宋" w:cs="仿宋"/>
          <w:b w:val="0"/>
          <w:bCs/>
          <w:color w:val="000000"/>
          <w:spacing w:val="15"/>
          <w:sz w:val="30"/>
          <w:szCs w:val="30"/>
        </w:rPr>
      </w:pPr>
      <w:r>
        <w:rPr>
          <w:rFonts w:hint="eastAsia" w:ascii="仿宋" w:hAnsi="仿宋" w:eastAsia="仿宋" w:cs="仿宋"/>
          <w:b w:val="0"/>
          <w:bCs/>
          <w:color w:val="000000"/>
          <w:spacing w:val="15"/>
          <w:sz w:val="30"/>
          <w:szCs w:val="30"/>
          <w:lang w:val="en-US" w:eastAsia="zh-CN"/>
        </w:rPr>
        <w:t>2、</w:t>
      </w:r>
      <w:r>
        <w:rPr>
          <w:rFonts w:hint="eastAsia" w:ascii="仿宋" w:hAnsi="仿宋" w:eastAsia="仿宋" w:cs="仿宋"/>
          <w:b w:val="0"/>
          <w:bCs/>
          <w:color w:val="000000"/>
          <w:spacing w:val="15"/>
          <w:sz w:val="30"/>
          <w:szCs w:val="30"/>
        </w:rPr>
        <w:t>突出卫生监督执法工作重点、加强日常监督管理工作</w:t>
      </w:r>
    </w:p>
    <w:p>
      <w:pPr>
        <w:spacing w:line="560" w:lineRule="exact"/>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3、</w:t>
      </w:r>
      <w:r>
        <w:rPr>
          <w:rFonts w:hint="eastAsia" w:ascii="仿宋" w:hAnsi="仿宋" w:eastAsia="仿宋" w:cs="仿宋"/>
          <w:b w:val="0"/>
          <w:bCs/>
          <w:sz w:val="30"/>
          <w:szCs w:val="30"/>
        </w:rPr>
        <w:t>认真完成卫生监督抽检工作及各项专项整治工作任务</w:t>
      </w:r>
    </w:p>
    <w:p>
      <w:pPr>
        <w:spacing w:line="560" w:lineRule="exact"/>
        <w:ind w:firstLine="600" w:firstLineChars="200"/>
        <w:rPr>
          <w:rFonts w:hint="eastAsia" w:ascii="仿宋" w:hAnsi="仿宋" w:eastAsia="仿宋" w:cs="仿宋"/>
          <w:bCs/>
          <w:sz w:val="30"/>
          <w:szCs w:val="30"/>
        </w:rPr>
      </w:pPr>
      <w:r>
        <w:rPr>
          <w:rFonts w:hint="eastAsia" w:ascii="仿宋" w:hAnsi="仿宋" w:eastAsia="仿宋" w:cs="仿宋"/>
          <w:bCs/>
          <w:sz w:val="30"/>
          <w:szCs w:val="30"/>
        </w:rPr>
        <w:t>积极与县疾控中心配合，完成公共场所、生活饮用水、餐饮具消毒单位和医院感染的监测和抽检任务；</w:t>
      </w:r>
    </w:p>
    <w:p>
      <w:pPr>
        <w:spacing w:line="560" w:lineRule="exact"/>
        <w:ind w:firstLine="600" w:firstLineChars="200"/>
        <w:rPr>
          <w:rFonts w:hint="eastAsia" w:ascii="仿宋" w:hAnsi="仿宋" w:eastAsia="仿宋" w:cs="仿宋"/>
          <w:b w:val="0"/>
          <w:bCs/>
          <w:sz w:val="30"/>
          <w:szCs w:val="30"/>
        </w:rPr>
      </w:pPr>
      <w:r>
        <w:rPr>
          <w:rFonts w:hint="eastAsia" w:ascii="仿宋" w:hAnsi="仿宋" w:eastAsia="仿宋" w:cs="仿宋"/>
          <w:b w:val="0"/>
          <w:bCs/>
          <w:sz w:val="30"/>
          <w:szCs w:val="30"/>
          <w:lang w:val="en-US" w:eastAsia="zh-CN"/>
        </w:rPr>
        <w:t>4、</w:t>
      </w:r>
      <w:r>
        <w:rPr>
          <w:rFonts w:hint="eastAsia" w:ascii="仿宋" w:hAnsi="仿宋" w:eastAsia="仿宋" w:cs="仿宋"/>
          <w:b w:val="0"/>
          <w:bCs/>
          <w:sz w:val="30"/>
          <w:szCs w:val="30"/>
        </w:rPr>
        <w:t>强化卫生监督协管工作，促进基本公共卫生服务均等化发展。</w:t>
      </w:r>
    </w:p>
    <w:p>
      <w:pPr>
        <w:snapToGrid w:val="0"/>
        <w:spacing w:line="560" w:lineRule="exact"/>
        <w:ind w:firstLine="600" w:firstLineChars="200"/>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w:t>
      </w:r>
      <w:r>
        <w:rPr>
          <w:rFonts w:hint="eastAsia" w:ascii="仿宋" w:hAnsi="仿宋" w:eastAsia="仿宋" w:cs="仿宋"/>
          <w:b w:val="0"/>
          <w:bCs w:val="0"/>
          <w:sz w:val="30"/>
          <w:szCs w:val="30"/>
        </w:rPr>
        <w:t>认真做好突发公共卫生事件的应急处理</w:t>
      </w:r>
      <w:r>
        <w:rPr>
          <w:rFonts w:hint="eastAsia" w:ascii="仿宋" w:hAnsi="仿宋" w:eastAsia="仿宋" w:cs="仿宋"/>
          <w:b w:val="0"/>
          <w:bCs w:val="0"/>
          <w:sz w:val="30"/>
          <w:szCs w:val="30"/>
          <w:lang w:eastAsia="zh-CN"/>
        </w:rPr>
        <w:t>。</w:t>
      </w:r>
    </w:p>
    <w:p>
      <w:pPr>
        <w:snapToGrid w:val="0"/>
        <w:spacing w:line="560" w:lineRule="exact"/>
        <w:ind w:firstLine="600" w:firstLineChars="200"/>
        <w:rPr>
          <w:rFonts w:hint="eastAsia" w:ascii="仿宋" w:hAnsi="仿宋" w:eastAsia="仿宋" w:cs="仿宋"/>
          <w:b w:val="0"/>
          <w:bCs w:val="0"/>
          <w:sz w:val="30"/>
          <w:szCs w:val="30"/>
          <w:lang w:eastAsia="zh-CN"/>
        </w:rPr>
      </w:pPr>
      <w:r>
        <w:rPr>
          <w:rFonts w:hint="eastAsia" w:ascii="仿宋" w:hAnsi="仿宋" w:eastAsia="仿宋" w:cs="仿宋"/>
          <w:b w:val="0"/>
          <w:bCs w:val="0"/>
          <w:sz w:val="30"/>
          <w:szCs w:val="30"/>
          <w:lang w:val="en-US" w:eastAsia="zh-CN"/>
        </w:rPr>
        <w:t>6</w:t>
      </w:r>
      <w:r>
        <w:rPr>
          <w:rFonts w:hint="eastAsia" w:ascii="仿宋" w:hAnsi="仿宋" w:eastAsia="仿宋" w:cs="仿宋"/>
          <w:b w:val="0"/>
          <w:bCs w:val="0"/>
          <w:sz w:val="30"/>
          <w:szCs w:val="30"/>
        </w:rPr>
        <w:t>、加大宣传力度、依法推进民主法制建设</w:t>
      </w:r>
      <w:r>
        <w:rPr>
          <w:rFonts w:hint="eastAsia" w:ascii="仿宋" w:hAnsi="仿宋" w:eastAsia="仿宋" w:cs="仿宋"/>
          <w:b w:val="0"/>
          <w:bCs w:val="0"/>
          <w:sz w:val="30"/>
          <w:szCs w:val="30"/>
          <w:lang w:eastAsia="zh-CN"/>
        </w:rPr>
        <w:t>。</w:t>
      </w:r>
    </w:p>
    <w:p>
      <w:pPr>
        <w:spacing w:line="560" w:lineRule="exact"/>
        <w:ind w:firstLine="600" w:firstLineChars="200"/>
        <w:rPr>
          <w:rFonts w:hint="eastAsia" w:ascii="仿宋" w:hAnsi="仿宋" w:eastAsia="仿宋" w:cs="仿宋"/>
          <w:b w:val="0"/>
          <w:bCs/>
          <w:color w:val="000000"/>
          <w:spacing w:val="15"/>
          <w:sz w:val="28"/>
          <w:szCs w:val="28"/>
          <w:lang w:eastAsia="zh-CN"/>
        </w:rPr>
      </w:pPr>
      <w:r>
        <w:rPr>
          <w:rFonts w:hint="eastAsia" w:ascii="仿宋" w:hAnsi="仿宋" w:eastAsia="仿宋" w:cs="仿宋"/>
          <w:b w:val="0"/>
          <w:bCs/>
          <w:sz w:val="30"/>
          <w:szCs w:val="30"/>
          <w:lang w:val="en-US" w:eastAsia="zh-CN"/>
        </w:rPr>
        <w:t>7</w:t>
      </w:r>
      <w:r>
        <w:rPr>
          <w:rFonts w:hint="eastAsia" w:ascii="仿宋" w:hAnsi="仿宋" w:eastAsia="仿宋" w:cs="仿宋"/>
          <w:b w:val="0"/>
          <w:bCs/>
          <w:sz w:val="30"/>
          <w:szCs w:val="30"/>
        </w:rPr>
        <w:t>、加强综合管理工作，构建和谐社会</w:t>
      </w:r>
      <w:r>
        <w:rPr>
          <w:rFonts w:hint="eastAsia" w:ascii="仿宋" w:hAnsi="仿宋" w:eastAsia="仿宋" w:cs="仿宋"/>
          <w:b w:val="0"/>
          <w:bCs/>
          <w:sz w:val="28"/>
          <w:szCs w:val="28"/>
          <w:lang w:eastAsia="zh-CN"/>
        </w:rPr>
        <w:t>。</w:t>
      </w:r>
    </w:p>
    <w:p>
      <w:pPr>
        <w:widowControl/>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二、预算单位基本情况</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我部门编制</w:t>
      </w:r>
      <w:r>
        <w:rPr>
          <w:rFonts w:hint="eastAsia" w:ascii="仿宋" w:hAnsi="仿宋" w:eastAsia="仿宋" w:cs="仿宋"/>
          <w:kern w:val="0"/>
          <w:sz w:val="30"/>
          <w:szCs w:val="30"/>
          <w:lang w:val="en-US" w:eastAsia="zh-CN"/>
        </w:rPr>
        <w:t>2019</w:t>
      </w:r>
      <w:r>
        <w:rPr>
          <w:rFonts w:hint="eastAsia" w:ascii="仿宋" w:hAnsi="仿宋" w:eastAsia="仿宋" w:cs="仿宋"/>
          <w:kern w:val="0"/>
          <w:sz w:val="30"/>
          <w:szCs w:val="30"/>
        </w:rPr>
        <w:t>年部门预算单位共</w:t>
      </w:r>
      <w:r>
        <w:rPr>
          <w:rFonts w:hint="eastAsia" w:ascii="仿宋" w:hAnsi="仿宋" w:eastAsia="仿宋" w:cs="仿宋"/>
          <w:kern w:val="0"/>
          <w:sz w:val="30"/>
          <w:szCs w:val="30"/>
          <w:lang w:val="en-US" w:eastAsia="zh-CN"/>
        </w:rPr>
        <w:t>1</w:t>
      </w:r>
      <w:r>
        <w:rPr>
          <w:rFonts w:hint="eastAsia" w:ascii="仿宋" w:hAnsi="仿宋" w:eastAsia="仿宋" w:cs="仿宋"/>
          <w:kern w:val="0"/>
          <w:sz w:val="30"/>
          <w:szCs w:val="30"/>
        </w:rPr>
        <w:t>个。其中：财政全供给单位</w:t>
      </w:r>
      <w:r>
        <w:rPr>
          <w:rFonts w:hint="eastAsia" w:ascii="仿宋" w:hAnsi="仿宋" w:eastAsia="仿宋" w:cs="仿宋"/>
          <w:kern w:val="0"/>
          <w:sz w:val="30"/>
          <w:szCs w:val="30"/>
          <w:lang w:val="en-US" w:eastAsia="zh-CN"/>
        </w:rPr>
        <w:t>1</w:t>
      </w:r>
      <w:r>
        <w:rPr>
          <w:rFonts w:hint="eastAsia" w:ascii="仿宋" w:hAnsi="仿宋" w:eastAsia="仿宋" w:cs="仿宋"/>
          <w:kern w:val="0"/>
          <w:sz w:val="30"/>
          <w:szCs w:val="30"/>
        </w:rPr>
        <w:t>个；部分供给单位</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个；特殊供给单位</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个；自收自支单位</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个。财政全供给单位中行政单位</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个；参公管理事业单位</w:t>
      </w:r>
      <w:r>
        <w:rPr>
          <w:rFonts w:hint="eastAsia" w:ascii="仿宋" w:hAnsi="仿宋" w:eastAsia="仿宋" w:cs="仿宋"/>
          <w:kern w:val="0"/>
          <w:sz w:val="30"/>
          <w:szCs w:val="30"/>
          <w:lang w:val="en-US" w:eastAsia="zh-CN"/>
        </w:rPr>
        <w:t>1</w:t>
      </w:r>
      <w:r>
        <w:rPr>
          <w:rFonts w:hint="eastAsia" w:ascii="仿宋" w:hAnsi="仿宋" w:eastAsia="仿宋" w:cs="仿宋"/>
          <w:kern w:val="0"/>
          <w:sz w:val="30"/>
          <w:szCs w:val="30"/>
        </w:rPr>
        <w:t>个；非参公管理事业单位个。截止20</w:t>
      </w:r>
      <w:r>
        <w:rPr>
          <w:rFonts w:hint="eastAsia" w:ascii="仿宋" w:hAnsi="仿宋" w:eastAsia="仿宋" w:cs="仿宋"/>
          <w:kern w:val="0"/>
          <w:sz w:val="30"/>
          <w:szCs w:val="30"/>
          <w:lang w:val="en-US" w:eastAsia="zh-CN"/>
        </w:rPr>
        <w:t>18</w:t>
      </w:r>
      <w:r>
        <w:rPr>
          <w:rFonts w:hint="eastAsia" w:ascii="仿宋" w:hAnsi="仿宋" w:eastAsia="仿宋" w:cs="仿宋"/>
          <w:kern w:val="0"/>
          <w:sz w:val="30"/>
          <w:szCs w:val="30"/>
        </w:rPr>
        <w:t>年11月统计，部门基本情况如下：</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在职人员编制</w:t>
      </w:r>
      <w:r>
        <w:rPr>
          <w:rFonts w:hint="eastAsia" w:ascii="仿宋" w:hAnsi="仿宋" w:eastAsia="仿宋" w:cs="仿宋"/>
          <w:kern w:val="0"/>
          <w:sz w:val="30"/>
          <w:szCs w:val="30"/>
          <w:lang w:val="en-US" w:eastAsia="zh-CN"/>
        </w:rPr>
        <w:t>20</w:t>
      </w:r>
      <w:r>
        <w:rPr>
          <w:rFonts w:hint="eastAsia" w:ascii="仿宋" w:hAnsi="仿宋" w:eastAsia="仿宋" w:cs="仿宋"/>
          <w:kern w:val="0"/>
          <w:sz w:val="30"/>
          <w:szCs w:val="30"/>
        </w:rPr>
        <w:t xml:space="preserve">人，其中：行政编制 </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人，事业编制</w:t>
      </w:r>
      <w:r>
        <w:rPr>
          <w:rFonts w:hint="eastAsia" w:ascii="仿宋" w:hAnsi="仿宋" w:eastAsia="仿宋" w:cs="仿宋"/>
          <w:kern w:val="0"/>
          <w:sz w:val="30"/>
          <w:szCs w:val="30"/>
          <w:lang w:val="en-US" w:eastAsia="zh-CN"/>
        </w:rPr>
        <w:t>17</w:t>
      </w:r>
      <w:r>
        <w:rPr>
          <w:rFonts w:hint="eastAsia" w:ascii="仿宋" w:hAnsi="仿宋" w:eastAsia="仿宋" w:cs="仿宋"/>
          <w:kern w:val="0"/>
          <w:sz w:val="30"/>
          <w:szCs w:val="30"/>
        </w:rPr>
        <w:t>人。在职实有</w:t>
      </w:r>
      <w:r>
        <w:rPr>
          <w:rFonts w:hint="eastAsia" w:ascii="仿宋" w:hAnsi="仿宋" w:eastAsia="仿宋" w:cs="仿宋"/>
          <w:kern w:val="0"/>
          <w:sz w:val="30"/>
          <w:szCs w:val="30"/>
          <w:lang w:val="en-US" w:eastAsia="zh-CN"/>
        </w:rPr>
        <w:t>17</w:t>
      </w:r>
      <w:r>
        <w:rPr>
          <w:rFonts w:hint="eastAsia" w:ascii="仿宋" w:hAnsi="仿宋" w:eastAsia="仿宋" w:cs="仿宋"/>
          <w:kern w:val="0"/>
          <w:sz w:val="30"/>
          <w:szCs w:val="30"/>
        </w:rPr>
        <w:t>人，其中： 财政全供养</w:t>
      </w:r>
      <w:r>
        <w:rPr>
          <w:rFonts w:hint="eastAsia" w:ascii="仿宋" w:hAnsi="仿宋" w:eastAsia="仿宋" w:cs="仿宋"/>
          <w:kern w:val="0"/>
          <w:sz w:val="30"/>
          <w:szCs w:val="30"/>
          <w:lang w:val="en-US" w:eastAsia="zh-CN"/>
        </w:rPr>
        <w:t>17</w:t>
      </w:r>
      <w:r>
        <w:rPr>
          <w:rFonts w:hint="eastAsia" w:ascii="仿宋" w:hAnsi="仿宋" w:eastAsia="仿宋" w:cs="仿宋"/>
          <w:kern w:val="0"/>
          <w:sz w:val="30"/>
          <w:szCs w:val="30"/>
        </w:rPr>
        <w:t>人，财政部分供养</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人，非财政供养</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人。</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 xml:space="preserve">离退休人员 </w:t>
      </w:r>
      <w:r>
        <w:rPr>
          <w:rFonts w:hint="eastAsia" w:ascii="仿宋" w:hAnsi="仿宋" w:eastAsia="仿宋" w:cs="仿宋"/>
          <w:kern w:val="0"/>
          <w:sz w:val="30"/>
          <w:szCs w:val="30"/>
          <w:lang w:val="en-US" w:eastAsia="zh-CN"/>
        </w:rPr>
        <w:t>5</w:t>
      </w:r>
      <w:r>
        <w:rPr>
          <w:rFonts w:hint="eastAsia" w:ascii="仿宋" w:hAnsi="仿宋" w:eastAsia="仿宋" w:cs="仿宋"/>
          <w:kern w:val="0"/>
          <w:sz w:val="30"/>
          <w:szCs w:val="30"/>
        </w:rPr>
        <w:t xml:space="preserve">人，其中： 离休 </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 xml:space="preserve">人，退休 </w:t>
      </w:r>
      <w:r>
        <w:rPr>
          <w:rFonts w:hint="eastAsia" w:ascii="仿宋" w:hAnsi="仿宋" w:eastAsia="仿宋" w:cs="仿宋"/>
          <w:kern w:val="0"/>
          <w:sz w:val="30"/>
          <w:szCs w:val="30"/>
          <w:lang w:val="en-US" w:eastAsia="zh-CN"/>
        </w:rPr>
        <w:t>5</w:t>
      </w:r>
      <w:r>
        <w:rPr>
          <w:rFonts w:hint="eastAsia" w:ascii="仿宋" w:hAnsi="仿宋" w:eastAsia="仿宋" w:cs="仿宋"/>
          <w:kern w:val="0"/>
          <w:sz w:val="30"/>
          <w:szCs w:val="30"/>
        </w:rPr>
        <w:t>人。</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车辆编制</w:t>
      </w:r>
      <w:r>
        <w:rPr>
          <w:rFonts w:hint="eastAsia" w:ascii="仿宋" w:hAnsi="仿宋" w:eastAsia="仿宋" w:cs="仿宋"/>
          <w:kern w:val="0"/>
          <w:sz w:val="30"/>
          <w:szCs w:val="30"/>
          <w:lang w:val="en-US" w:eastAsia="zh-CN"/>
        </w:rPr>
        <w:t>3</w:t>
      </w:r>
      <w:r>
        <w:rPr>
          <w:rFonts w:hint="eastAsia" w:ascii="仿宋" w:hAnsi="仿宋" w:eastAsia="仿宋" w:cs="仿宋"/>
          <w:kern w:val="0"/>
          <w:sz w:val="30"/>
          <w:szCs w:val="30"/>
        </w:rPr>
        <w:t>辆，实有车辆</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辆。</w:t>
      </w:r>
    </w:p>
    <w:p>
      <w:pPr>
        <w:widowControl/>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三、预算单位收入情况</w:t>
      </w:r>
    </w:p>
    <w:p>
      <w:pPr>
        <w:widowControl/>
        <w:ind w:firstLine="452" w:firstLineChars="15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（一）部门财务收入情况</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2019</w:t>
      </w:r>
      <w:r>
        <w:rPr>
          <w:rFonts w:hint="eastAsia" w:ascii="仿宋" w:hAnsi="仿宋" w:eastAsia="仿宋" w:cs="仿宋"/>
          <w:kern w:val="0"/>
          <w:sz w:val="30"/>
          <w:szCs w:val="30"/>
        </w:rPr>
        <w:t xml:space="preserve">年部门财务总收入 </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万元，其中：一般公共预算财政拨款</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万元，政府性基金预算财政拨款</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万元，国有资本经营预算财政拨款</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万元，事业收入</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万元，事业单位经营收入</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万元，其他收入</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万元，上年结转</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w:t>
      </w:r>
    </w:p>
    <w:p>
      <w:pPr>
        <w:widowControl/>
        <w:ind w:firstLine="452" w:firstLineChars="15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（二）财政拨款收入情况</w:t>
      </w:r>
    </w:p>
    <w:p>
      <w:pPr>
        <w:widowControl/>
        <w:ind w:firstLine="750" w:firstLineChars="25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2019</w:t>
      </w:r>
      <w:r>
        <w:rPr>
          <w:rFonts w:hint="eastAsia" w:ascii="仿宋" w:hAnsi="仿宋" w:eastAsia="仿宋" w:cs="仿宋"/>
          <w:kern w:val="0"/>
          <w:sz w:val="30"/>
          <w:szCs w:val="30"/>
        </w:rPr>
        <w:t xml:space="preserve">年部门财政拨款收入 </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万元，其中:本年收入</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万元，上年结转</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万元。本年收入中，一般公共预算财政拨款</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万元（本级财力</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万元，专项收入</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万元，执法办案补助</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万元，收费成本补偿</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万元，财政专户管理的收入</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万元，国有资源（资产）有偿使用成本补偿</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万元），政府性基金预算财政拨款</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万元，国有资本经营预算财政拨款</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w:t>
      </w:r>
    </w:p>
    <w:p>
      <w:pPr>
        <w:widowControl/>
        <w:numPr>
          <w:ilvl w:val="0"/>
          <w:numId w:val="1"/>
        </w:numPr>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预算单位支出情况</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2019</w:t>
      </w:r>
      <w:r>
        <w:rPr>
          <w:rFonts w:hint="eastAsia" w:ascii="仿宋" w:hAnsi="仿宋" w:eastAsia="仿宋" w:cs="仿宋"/>
          <w:kern w:val="0"/>
          <w:sz w:val="30"/>
          <w:szCs w:val="30"/>
        </w:rPr>
        <w:t xml:space="preserve">年部门预算总支出 </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 xml:space="preserve">万元。财政拨款安排支出 </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万元，其中，基本支出</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万元，项目支出</w:t>
      </w:r>
      <w:r>
        <w:rPr>
          <w:rFonts w:hint="eastAsia" w:ascii="仿宋" w:hAnsi="仿宋" w:eastAsia="仿宋" w:cs="仿宋"/>
          <w:kern w:val="0"/>
          <w:sz w:val="30"/>
          <w:szCs w:val="30"/>
          <w:lang w:val="en-US" w:eastAsia="zh-CN"/>
        </w:rPr>
        <w:t>0</w:t>
      </w:r>
      <w:r>
        <w:rPr>
          <w:rFonts w:hint="eastAsia" w:ascii="仿宋" w:hAnsi="仿宋" w:eastAsia="仿宋" w:cs="仿宋"/>
          <w:kern w:val="0"/>
          <w:sz w:val="30"/>
          <w:szCs w:val="30"/>
        </w:rPr>
        <w:t>万元。</w:t>
      </w:r>
    </w:p>
    <w:p>
      <w:pPr>
        <w:widowControl/>
        <w:numPr>
          <w:ilvl w:val="0"/>
          <w:numId w:val="2"/>
        </w:numPr>
        <w:ind w:firstLine="452" w:firstLineChars="15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财政拨款安排支出按功能科目分类情况</w:t>
      </w:r>
    </w:p>
    <w:p>
      <w:pPr>
        <w:widowControl/>
        <w:numPr>
          <w:ilvl w:val="0"/>
          <w:numId w:val="0"/>
        </w:numPr>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 xml:space="preserve">   功能科目分类</w:t>
      </w:r>
    </w:p>
    <w:p>
      <w:pPr>
        <w:widowControl/>
        <w:ind w:firstLine="600" w:firstLineChars="200"/>
        <w:jc w:val="left"/>
        <w:rPr>
          <w:rFonts w:hint="eastAsia" w:ascii="仿宋" w:hAnsi="仿宋" w:eastAsia="仿宋" w:cs="仿宋"/>
          <w:kern w:val="0"/>
          <w:sz w:val="30"/>
          <w:szCs w:val="30"/>
          <w:lang w:eastAsia="zh-CN"/>
        </w:rPr>
      </w:pPr>
      <w:r>
        <w:rPr>
          <w:rFonts w:hint="eastAsia" w:ascii="仿宋" w:hAnsi="仿宋" w:eastAsia="仿宋" w:cs="仿宋"/>
          <w:kern w:val="0"/>
          <w:sz w:val="30"/>
          <w:szCs w:val="30"/>
          <w:lang w:val="en-US" w:eastAsia="zh-CN"/>
        </w:rPr>
        <w:t>2080501项</w:t>
      </w:r>
      <w:r>
        <w:rPr>
          <w:rFonts w:hint="eastAsia" w:ascii="仿宋" w:hAnsi="仿宋" w:eastAsia="仿宋" w:cs="仿宋"/>
          <w:kern w:val="0"/>
          <w:sz w:val="30"/>
          <w:szCs w:val="30"/>
          <w:lang w:eastAsia="zh-CN"/>
        </w:rPr>
        <w:t>归口管理的行政单位离退休基本支出</w:t>
      </w:r>
      <w:r>
        <w:rPr>
          <w:rFonts w:hint="eastAsia" w:ascii="仿宋" w:hAnsi="仿宋" w:eastAsia="仿宋" w:cs="仿宋"/>
          <w:kern w:val="0"/>
          <w:sz w:val="30"/>
          <w:szCs w:val="30"/>
          <w:lang w:val="en-US" w:eastAsia="zh-CN"/>
        </w:rPr>
        <w:t>0.30万元</w:t>
      </w:r>
      <w:r>
        <w:rPr>
          <w:rFonts w:hint="eastAsia" w:ascii="仿宋" w:hAnsi="仿宋" w:eastAsia="仿宋" w:cs="仿宋"/>
          <w:kern w:val="0"/>
          <w:sz w:val="30"/>
          <w:szCs w:val="30"/>
          <w:lang w:eastAsia="zh-CN"/>
        </w:rPr>
        <w:t>，</w:t>
      </w:r>
      <w:r>
        <w:rPr>
          <w:rFonts w:hint="eastAsia" w:ascii="仿宋" w:hAnsi="仿宋" w:eastAsia="仿宋" w:cs="仿宋"/>
          <w:kern w:val="0"/>
          <w:sz w:val="30"/>
          <w:szCs w:val="30"/>
        </w:rPr>
        <w:t>主要用</w:t>
      </w:r>
      <w:r>
        <w:rPr>
          <w:rFonts w:hint="eastAsia" w:ascii="仿宋" w:hAnsi="仿宋" w:eastAsia="仿宋" w:cs="仿宋"/>
          <w:kern w:val="0"/>
          <w:sz w:val="30"/>
          <w:szCs w:val="30"/>
          <w:lang w:eastAsia="zh-CN"/>
        </w:rPr>
        <w:t>于</w:t>
      </w:r>
      <w:r>
        <w:rPr>
          <w:rFonts w:hint="eastAsia" w:ascii="仿宋" w:hAnsi="仿宋" w:eastAsia="仿宋" w:cs="仿宋"/>
          <w:kern w:val="0"/>
          <w:sz w:val="30"/>
          <w:szCs w:val="30"/>
          <w:lang w:val="en-US" w:eastAsia="zh-CN"/>
        </w:rPr>
        <w:t>退休人员必要的活动开支，</w:t>
      </w:r>
    </w:p>
    <w:p>
      <w:pPr>
        <w:widowControl/>
        <w:ind w:firstLine="600" w:firstLineChars="200"/>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2080505机关事业单位基本养老保险缴费支出24.64万元，主要用于在职人员基本养老保险单位缴费，</w:t>
      </w:r>
    </w:p>
    <w:p>
      <w:pPr>
        <w:widowControl/>
        <w:ind w:firstLine="600" w:firstLineChars="200"/>
        <w:jc w:val="left"/>
        <w:rPr>
          <w:rFonts w:hint="eastAsia" w:ascii="仿宋" w:hAnsi="仿宋" w:eastAsia="仿宋" w:cs="仿宋"/>
          <w:kern w:val="0"/>
          <w:sz w:val="30"/>
          <w:szCs w:val="30"/>
          <w:lang w:eastAsia="zh-CN"/>
        </w:rPr>
      </w:pPr>
      <w:r>
        <w:rPr>
          <w:rFonts w:hint="eastAsia" w:ascii="仿宋" w:hAnsi="仿宋" w:eastAsia="仿宋" w:cs="仿宋"/>
          <w:kern w:val="0"/>
          <w:sz w:val="30"/>
          <w:szCs w:val="30"/>
          <w:lang w:val="en-US" w:eastAsia="zh-CN"/>
        </w:rPr>
        <w:t>2080506机管事业单位职业年金缴费支出2.50万元，主要用于职业年金单位缴费</w:t>
      </w:r>
      <w:r>
        <w:rPr>
          <w:rFonts w:hint="eastAsia" w:ascii="仿宋" w:hAnsi="仿宋" w:eastAsia="仿宋" w:cs="仿宋"/>
          <w:kern w:val="0"/>
          <w:sz w:val="30"/>
          <w:szCs w:val="30"/>
          <w:lang w:eastAsia="zh-CN"/>
        </w:rPr>
        <w:t>。</w:t>
      </w:r>
    </w:p>
    <w:p>
      <w:pPr>
        <w:widowControl/>
        <w:ind w:firstLine="600" w:firstLineChars="200"/>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2100402卫生监督机构145.81万元，主要用于在职人员工资135.61万元、保运转公用经费10.20万元。</w:t>
      </w:r>
    </w:p>
    <w:p>
      <w:pPr>
        <w:widowControl/>
        <w:ind w:firstLine="600" w:firstLineChars="200"/>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2210201住房公积金20.95万元，主要用于支付在职人员住房公积金。</w:t>
      </w:r>
    </w:p>
    <w:p>
      <w:pPr>
        <w:widowControl/>
        <w:numPr>
          <w:ilvl w:val="0"/>
          <w:numId w:val="3"/>
        </w:numPr>
        <w:ind w:firstLine="450" w:firstLineChars="150"/>
        <w:jc w:val="left"/>
        <w:rPr>
          <w:rFonts w:hint="eastAsia" w:ascii="仿宋" w:hAnsi="仿宋" w:eastAsia="仿宋" w:cs="仿宋"/>
          <w:kern w:val="0"/>
          <w:sz w:val="30"/>
          <w:szCs w:val="30"/>
        </w:rPr>
      </w:pPr>
      <w:r>
        <w:rPr>
          <w:rFonts w:hint="eastAsia" w:ascii="仿宋" w:hAnsi="仿宋" w:eastAsia="仿宋" w:cs="仿宋"/>
          <w:kern w:val="0"/>
          <w:sz w:val="30"/>
          <w:szCs w:val="30"/>
        </w:rPr>
        <w:t>财政拨款安排支出按经济科目分类情况</w:t>
      </w:r>
    </w:p>
    <w:p>
      <w:pPr>
        <w:widowControl/>
        <w:jc w:val="left"/>
        <w:rPr>
          <w:rFonts w:hint="eastAsia" w:ascii="仿宋" w:hAnsi="仿宋" w:eastAsia="仿宋" w:cs="仿宋"/>
          <w:kern w:val="0"/>
          <w:sz w:val="30"/>
          <w:szCs w:val="30"/>
        </w:rPr>
      </w:pPr>
      <w:r>
        <w:rPr>
          <w:rFonts w:hint="eastAsia" w:ascii="仿宋" w:hAnsi="仿宋" w:eastAsia="仿宋" w:cs="仿宋"/>
          <w:kern w:val="0"/>
          <w:sz w:val="30"/>
          <w:szCs w:val="30"/>
        </w:rPr>
        <w:t xml:space="preserve">    经济科目分类</w:t>
      </w:r>
    </w:p>
    <w:p>
      <w:pPr>
        <w:widowControl/>
        <w:ind w:firstLine="600" w:firstLineChars="200"/>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2080501</w:t>
      </w:r>
      <w:r>
        <w:rPr>
          <w:rFonts w:hint="eastAsia" w:ascii="仿宋" w:hAnsi="仿宋" w:eastAsia="仿宋" w:cs="仿宋"/>
          <w:kern w:val="0"/>
          <w:sz w:val="30"/>
          <w:szCs w:val="30"/>
          <w:lang w:eastAsia="zh-CN"/>
        </w:rPr>
        <w:t>归口管理的行政单位离退休基本支出</w:t>
      </w:r>
      <w:r>
        <w:rPr>
          <w:rFonts w:hint="eastAsia" w:ascii="仿宋" w:hAnsi="仿宋" w:eastAsia="仿宋" w:cs="仿宋"/>
          <w:kern w:val="0"/>
          <w:sz w:val="30"/>
          <w:szCs w:val="30"/>
          <w:lang w:val="en-US" w:eastAsia="zh-CN"/>
        </w:rPr>
        <w:t>0.30万元，用于302类</w:t>
      </w:r>
      <w:r>
        <w:rPr>
          <w:rFonts w:hint="eastAsia" w:ascii="仿宋" w:hAnsi="仿宋" w:eastAsia="仿宋" w:cs="仿宋"/>
          <w:kern w:val="0"/>
          <w:sz w:val="30"/>
          <w:szCs w:val="30"/>
          <w:lang w:eastAsia="zh-CN"/>
        </w:rPr>
        <w:t>商品和服务支出</w:t>
      </w:r>
      <w:r>
        <w:rPr>
          <w:rFonts w:hint="eastAsia" w:ascii="仿宋" w:hAnsi="仿宋" w:eastAsia="仿宋" w:cs="仿宋"/>
          <w:kern w:val="0"/>
          <w:sz w:val="30"/>
          <w:szCs w:val="30"/>
          <w:lang w:val="en-US" w:eastAsia="zh-CN"/>
        </w:rPr>
        <w:t>0.30万元。</w:t>
      </w:r>
    </w:p>
    <w:p>
      <w:pPr>
        <w:widowControl/>
        <w:numPr>
          <w:ilvl w:val="0"/>
          <w:numId w:val="0"/>
        </w:numPr>
        <w:ind w:firstLine="600" w:firstLineChars="200"/>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2080505机关事业单位基本养老保险缴费支出24.64万元、用于301工资福利支出24.64万元。</w:t>
      </w:r>
    </w:p>
    <w:p>
      <w:pPr>
        <w:widowControl/>
        <w:ind w:firstLine="600" w:firstLineChars="200"/>
        <w:jc w:val="left"/>
        <w:rPr>
          <w:rFonts w:hint="eastAsia" w:ascii="仿宋" w:hAnsi="仿宋" w:eastAsia="仿宋" w:cs="仿宋"/>
          <w:kern w:val="0"/>
          <w:sz w:val="30"/>
          <w:szCs w:val="30"/>
          <w:lang w:val="en-US" w:eastAsia="zh-CN"/>
        </w:rPr>
      </w:pPr>
      <w:r>
        <w:rPr>
          <w:rFonts w:hint="eastAsia" w:ascii="仿宋" w:hAnsi="仿宋" w:eastAsia="仿宋" w:cs="仿宋"/>
          <w:kern w:val="0"/>
          <w:sz w:val="30"/>
          <w:szCs w:val="30"/>
          <w:lang w:val="en-US" w:eastAsia="zh-CN"/>
        </w:rPr>
        <w:t>2080506机管事业单位职业年金缴费支出2.50万元，用于301工资福利支出2.50万元。</w:t>
      </w:r>
    </w:p>
    <w:p>
      <w:pPr>
        <w:widowControl/>
        <w:numPr>
          <w:ilvl w:val="0"/>
          <w:numId w:val="0"/>
        </w:numPr>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lang w:val="en-US" w:eastAsia="zh-CN"/>
        </w:rPr>
        <w:t>2100402卫生监督机构基本支出145.81万元，用于301类工资福利支出135.61万元、302类商品及服务支出10.20万元，</w:t>
      </w:r>
      <w:r>
        <w:rPr>
          <w:rFonts w:hint="eastAsia" w:ascii="仿宋" w:hAnsi="仿宋" w:eastAsia="仿宋" w:cs="仿宋"/>
          <w:kern w:val="0"/>
          <w:sz w:val="30"/>
          <w:szCs w:val="30"/>
        </w:rPr>
        <w:t>。</w:t>
      </w:r>
    </w:p>
    <w:p>
      <w:pPr>
        <w:widowControl/>
        <w:numPr>
          <w:ilvl w:val="0"/>
          <w:numId w:val="0"/>
        </w:numPr>
        <w:ind w:firstLine="600" w:firstLineChars="200"/>
        <w:jc w:val="left"/>
        <w:rPr>
          <w:rFonts w:hint="eastAsia"/>
        </w:rPr>
      </w:pPr>
      <w:r>
        <w:rPr>
          <w:rFonts w:hint="eastAsia" w:ascii="仿宋" w:hAnsi="仿宋" w:eastAsia="仿宋" w:cs="仿宋"/>
          <w:kern w:val="0"/>
          <w:sz w:val="30"/>
          <w:szCs w:val="30"/>
          <w:lang w:val="en-US" w:eastAsia="zh-CN"/>
        </w:rPr>
        <w:t>2210201住房公积金20.95万元，用于301类工资福利支20.95万元。</w:t>
      </w:r>
    </w:p>
    <w:p>
      <w:pPr>
        <w:widowControl/>
        <w:numPr>
          <w:ilvl w:val="0"/>
          <w:numId w:val="4"/>
        </w:numPr>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lang w:eastAsia="zh-CN"/>
        </w:rPr>
        <w:t>县</w:t>
      </w:r>
      <w:r>
        <w:rPr>
          <w:rFonts w:hint="eastAsia" w:ascii="仿宋" w:hAnsi="仿宋" w:eastAsia="仿宋" w:cs="仿宋"/>
          <w:b/>
          <w:bCs/>
          <w:kern w:val="0"/>
          <w:sz w:val="30"/>
          <w:szCs w:val="30"/>
        </w:rPr>
        <w:t>对下专项转移支付情况</w:t>
      </w:r>
    </w:p>
    <w:p>
      <w:pPr>
        <w:widowControl/>
        <w:jc w:val="left"/>
        <w:rPr>
          <w:rFonts w:hint="eastAsia" w:ascii="仿宋" w:hAnsi="仿宋" w:eastAsia="仿宋" w:cs="仿宋"/>
          <w:kern w:val="0"/>
          <w:sz w:val="30"/>
          <w:szCs w:val="30"/>
          <w:lang w:eastAsia="zh-CN"/>
        </w:rPr>
      </w:pPr>
      <w:r>
        <w:rPr>
          <w:rFonts w:hint="eastAsia" w:ascii="仿宋" w:hAnsi="仿宋" w:eastAsia="仿宋" w:cs="仿宋"/>
          <w:kern w:val="0"/>
          <w:sz w:val="30"/>
          <w:szCs w:val="30"/>
        </w:rPr>
        <w:t xml:space="preserve">   本单位2019年无</w:t>
      </w:r>
      <w:r>
        <w:rPr>
          <w:rFonts w:hint="eastAsia" w:ascii="仿宋" w:hAnsi="仿宋" w:eastAsia="仿宋" w:cs="仿宋"/>
          <w:kern w:val="0"/>
          <w:sz w:val="30"/>
          <w:szCs w:val="30"/>
          <w:lang w:eastAsia="zh-CN"/>
        </w:rPr>
        <w:t>县</w:t>
      </w:r>
      <w:r>
        <w:rPr>
          <w:rFonts w:hint="eastAsia" w:ascii="仿宋" w:hAnsi="仿宋" w:eastAsia="仿宋" w:cs="仿宋"/>
          <w:kern w:val="0"/>
          <w:sz w:val="30"/>
          <w:szCs w:val="30"/>
        </w:rPr>
        <w:t>对下专项转移支付</w:t>
      </w:r>
      <w:r>
        <w:rPr>
          <w:rFonts w:hint="eastAsia" w:ascii="仿宋" w:hAnsi="仿宋" w:eastAsia="仿宋" w:cs="仿宋"/>
          <w:kern w:val="0"/>
          <w:sz w:val="30"/>
          <w:szCs w:val="30"/>
          <w:lang w:eastAsia="zh-CN"/>
        </w:rPr>
        <w:t>。</w:t>
      </w:r>
    </w:p>
    <w:p>
      <w:pPr>
        <w:widowControl/>
        <w:ind w:firstLine="600" w:firstLineChars="200"/>
        <w:jc w:val="left"/>
        <w:rPr>
          <w:rFonts w:hint="eastAsia" w:ascii="仿宋" w:hAnsi="仿宋" w:eastAsia="仿宋" w:cs="仿宋"/>
          <w:b/>
          <w:bCs/>
          <w:kern w:val="0"/>
          <w:sz w:val="30"/>
          <w:szCs w:val="30"/>
        </w:rPr>
      </w:pPr>
      <w:r>
        <w:rPr>
          <w:rFonts w:hint="eastAsia" w:ascii="仿宋" w:hAnsi="仿宋" w:eastAsia="仿宋" w:cs="仿宋"/>
          <w:kern w:val="0"/>
          <w:sz w:val="30"/>
          <w:szCs w:val="30"/>
        </w:rPr>
        <w:t>六、</w:t>
      </w:r>
      <w:r>
        <w:rPr>
          <w:rFonts w:hint="eastAsia" w:ascii="仿宋" w:hAnsi="仿宋" w:eastAsia="仿宋" w:cs="仿宋"/>
          <w:b/>
          <w:bCs/>
          <w:kern w:val="0"/>
          <w:sz w:val="30"/>
          <w:szCs w:val="30"/>
        </w:rPr>
        <w:t>政府采购预算情况</w:t>
      </w:r>
    </w:p>
    <w:p>
      <w:pPr>
        <w:widowControl/>
        <w:ind w:firstLine="600"/>
        <w:jc w:val="left"/>
        <w:rPr>
          <w:rFonts w:hint="eastAsia" w:ascii="仿宋" w:hAnsi="仿宋" w:eastAsia="仿宋" w:cs="仿宋"/>
          <w:kern w:val="0"/>
          <w:sz w:val="30"/>
          <w:szCs w:val="30"/>
        </w:rPr>
      </w:pPr>
      <w:r>
        <w:rPr>
          <w:rFonts w:hint="eastAsia" w:ascii="仿宋" w:hAnsi="仿宋" w:eastAsia="仿宋" w:cs="仿宋"/>
          <w:kern w:val="0"/>
          <w:sz w:val="30"/>
          <w:szCs w:val="30"/>
          <w:lang w:eastAsia="zh-CN"/>
        </w:rPr>
        <w:t>本单位无政府采购预算。</w:t>
      </w:r>
    </w:p>
    <w:p>
      <w:pPr>
        <w:widowControl/>
        <w:ind w:firstLine="600" w:firstLineChars="200"/>
        <w:jc w:val="left"/>
        <w:rPr>
          <w:rFonts w:hint="eastAsia" w:ascii="仿宋" w:hAnsi="仿宋" w:eastAsia="仿宋" w:cs="仿宋"/>
          <w:b/>
          <w:bCs/>
          <w:kern w:val="0"/>
          <w:sz w:val="30"/>
          <w:szCs w:val="30"/>
        </w:rPr>
      </w:pPr>
      <w:r>
        <w:rPr>
          <w:rFonts w:hint="eastAsia" w:ascii="仿宋" w:hAnsi="仿宋" w:eastAsia="仿宋" w:cs="仿宋"/>
          <w:kern w:val="0"/>
          <w:sz w:val="30"/>
          <w:szCs w:val="30"/>
        </w:rPr>
        <w:t>七</w:t>
      </w:r>
      <w:r>
        <w:rPr>
          <w:rFonts w:hint="eastAsia" w:ascii="仿宋" w:hAnsi="仿宋" w:eastAsia="仿宋" w:cs="仿宋"/>
          <w:b/>
          <w:bCs/>
          <w:kern w:val="0"/>
          <w:sz w:val="30"/>
          <w:szCs w:val="30"/>
        </w:rPr>
        <w:t>、预算收支增减变化情况说明</w:t>
      </w:r>
    </w:p>
    <w:p>
      <w:pPr>
        <w:widowControl/>
        <w:numPr>
          <w:ilvl w:val="0"/>
          <w:numId w:val="5"/>
        </w:numPr>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部门“三公”经费增减变化情况及原因说明</w:t>
      </w:r>
    </w:p>
    <w:p>
      <w:pPr>
        <w:widowControl/>
        <w:numPr>
          <w:ilvl w:val="0"/>
          <w:numId w:val="0"/>
        </w:numPr>
        <w:ind w:firstLine="600" w:firstLineChars="200"/>
        <w:jc w:val="left"/>
        <w:rPr>
          <w:rFonts w:hint="eastAsia" w:ascii="仿宋" w:hAnsi="仿宋" w:eastAsia="仿宋" w:cs="仿宋"/>
          <w:kern w:val="0"/>
          <w:sz w:val="30"/>
          <w:szCs w:val="30"/>
          <w:lang w:eastAsia="zh-CN"/>
        </w:rPr>
      </w:pPr>
      <w:r>
        <w:rPr>
          <w:rFonts w:hint="eastAsia" w:ascii="仿宋" w:hAnsi="仿宋" w:eastAsia="仿宋" w:cs="仿宋"/>
          <w:kern w:val="0"/>
          <w:sz w:val="30"/>
          <w:szCs w:val="30"/>
          <w:lang w:eastAsia="zh-CN"/>
        </w:rPr>
        <w:t>2019年“三公”经费预算数为0.5万元，比上年预算3.5万元减少3万元，其中：公务接待费0.5万元，与上年相比无变化；公务用车运行费比上年减少3.00万元，原因是本单位无公务用车 ，上年将其他交通费误报为公务用车运行费。</w:t>
      </w:r>
    </w:p>
    <w:p>
      <w:pPr>
        <w:widowControl/>
        <w:numPr>
          <w:ilvl w:val="0"/>
          <w:numId w:val="0"/>
        </w:numPr>
        <w:tabs>
          <w:tab w:val="left" w:pos="1186"/>
        </w:tabs>
        <w:ind w:firstLine="600" w:firstLineChars="200"/>
        <w:jc w:val="left"/>
        <w:rPr>
          <w:rFonts w:hint="eastAsia" w:ascii="仿宋" w:hAnsi="仿宋" w:eastAsia="仿宋" w:cs="仿宋"/>
          <w:b/>
          <w:bCs/>
          <w:color w:val="auto"/>
          <w:sz w:val="30"/>
          <w:szCs w:val="30"/>
        </w:rPr>
      </w:pPr>
      <w:r>
        <w:rPr>
          <w:rFonts w:hint="eastAsia" w:ascii="仿宋" w:hAnsi="仿宋" w:eastAsia="仿宋" w:cs="仿宋"/>
          <w:color w:val="auto"/>
          <w:sz w:val="30"/>
          <w:szCs w:val="30"/>
          <w:lang w:eastAsia="zh-CN"/>
        </w:rPr>
        <w:t>（二）</w:t>
      </w:r>
      <w:r>
        <w:rPr>
          <w:rFonts w:hint="eastAsia" w:ascii="仿宋" w:hAnsi="仿宋" w:eastAsia="仿宋" w:cs="仿宋"/>
          <w:b/>
          <w:bCs/>
          <w:color w:val="auto"/>
          <w:sz w:val="30"/>
          <w:szCs w:val="30"/>
        </w:rPr>
        <w:t>部门预算财政拨款收入增减变化情况及原因说明</w:t>
      </w:r>
    </w:p>
    <w:p>
      <w:pPr>
        <w:widowControl/>
        <w:ind w:firstLine="600" w:firstLineChars="200"/>
        <w:jc w:val="left"/>
        <w:rPr>
          <w:rFonts w:hint="eastAsia" w:ascii="仿宋" w:hAnsi="仿宋" w:eastAsia="仿宋" w:cs="仿宋"/>
          <w:color w:val="auto"/>
          <w:sz w:val="30"/>
          <w:szCs w:val="30"/>
          <w:lang w:eastAsia="zh-CN"/>
        </w:rPr>
      </w:pPr>
      <w:r>
        <w:rPr>
          <w:rFonts w:hint="eastAsia" w:ascii="仿宋" w:hAnsi="仿宋" w:eastAsia="仿宋" w:cs="仿宋"/>
          <w:color w:val="auto"/>
          <w:sz w:val="30"/>
          <w:szCs w:val="30"/>
        </w:rPr>
        <w:t>2019年部门预算财政拨款收入</w:t>
      </w:r>
      <w:r>
        <w:rPr>
          <w:rFonts w:hint="eastAsia" w:ascii="仿宋" w:hAnsi="仿宋" w:eastAsia="仿宋" w:cs="仿宋"/>
          <w:color w:val="auto"/>
          <w:sz w:val="30"/>
          <w:szCs w:val="30"/>
          <w:lang w:val="en-US" w:eastAsia="zh-CN"/>
        </w:rPr>
        <w:t>194.20</w:t>
      </w:r>
      <w:r>
        <w:rPr>
          <w:rFonts w:hint="eastAsia" w:ascii="仿宋" w:hAnsi="仿宋" w:eastAsia="仿宋" w:cs="仿宋"/>
          <w:color w:val="auto"/>
          <w:sz w:val="30"/>
          <w:szCs w:val="30"/>
        </w:rPr>
        <w:t>万元，较2018年</w:t>
      </w:r>
      <w:r>
        <w:rPr>
          <w:rFonts w:hint="eastAsia" w:ascii="仿宋" w:hAnsi="仿宋" w:eastAsia="仿宋" w:cs="仿宋"/>
          <w:color w:val="auto"/>
          <w:sz w:val="30"/>
          <w:szCs w:val="30"/>
          <w:lang w:val="en-US" w:eastAsia="zh-CN"/>
        </w:rPr>
        <w:t>218.40</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减少</w:t>
      </w:r>
      <w:r>
        <w:rPr>
          <w:rFonts w:hint="eastAsia" w:ascii="仿宋" w:hAnsi="仿宋" w:eastAsia="仿宋" w:cs="仿宋"/>
          <w:color w:val="auto"/>
          <w:sz w:val="30"/>
          <w:szCs w:val="30"/>
          <w:lang w:val="en-US" w:eastAsia="zh-CN"/>
        </w:rPr>
        <w:t>24.20</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降</w:t>
      </w:r>
      <w:r>
        <w:rPr>
          <w:rFonts w:hint="eastAsia" w:ascii="仿宋" w:hAnsi="仿宋" w:eastAsia="仿宋" w:cs="仿宋"/>
          <w:color w:val="auto"/>
          <w:sz w:val="30"/>
          <w:szCs w:val="30"/>
        </w:rPr>
        <w:t>幅</w:t>
      </w:r>
      <w:r>
        <w:rPr>
          <w:rFonts w:hint="eastAsia" w:ascii="仿宋" w:hAnsi="仿宋" w:eastAsia="仿宋" w:cs="仿宋"/>
          <w:color w:val="auto"/>
          <w:sz w:val="30"/>
          <w:szCs w:val="30"/>
          <w:lang w:val="en-US" w:eastAsia="zh-CN"/>
        </w:rPr>
        <w:t>12.46</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减少</w:t>
      </w:r>
      <w:r>
        <w:rPr>
          <w:rFonts w:hint="eastAsia" w:ascii="仿宋" w:hAnsi="仿宋" w:eastAsia="仿宋" w:cs="仿宋"/>
          <w:color w:val="auto"/>
          <w:sz w:val="30"/>
          <w:szCs w:val="30"/>
        </w:rPr>
        <w:t>原因是</w:t>
      </w:r>
      <w:r>
        <w:rPr>
          <w:rFonts w:hint="eastAsia" w:ascii="仿宋" w:hAnsi="仿宋" w:eastAsia="仿宋" w:cs="仿宋"/>
          <w:color w:val="auto"/>
          <w:sz w:val="30"/>
          <w:szCs w:val="30"/>
          <w:lang w:eastAsia="zh-CN"/>
        </w:rPr>
        <w:t>基本公共卫生服务项目协管员工资预算减少。</w:t>
      </w:r>
    </w:p>
    <w:p>
      <w:pPr>
        <w:widowControl/>
        <w:ind w:firstLine="600" w:firstLineChars="200"/>
        <w:jc w:val="left"/>
        <w:rPr>
          <w:rFonts w:hint="eastAsia" w:ascii="仿宋" w:hAnsi="仿宋" w:eastAsia="仿宋" w:cs="仿宋"/>
          <w:b/>
          <w:bCs/>
          <w:color w:val="auto"/>
          <w:sz w:val="30"/>
          <w:szCs w:val="30"/>
        </w:rPr>
      </w:pPr>
      <w:r>
        <w:rPr>
          <w:rFonts w:hint="eastAsia" w:ascii="仿宋" w:hAnsi="仿宋" w:eastAsia="仿宋" w:cs="仿宋"/>
          <w:color w:val="auto"/>
          <w:sz w:val="30"/>
          <w:szCs w:val="30"/>
          <w:lang w:eastAsia="zh-CN"/>
        </w:rPr>
        <w:t>（三）</w:t>
      </w:r>
      <w:r>
        <w:rPr>
          <w:rFonts w:hint="eastAsia" w:ascii="仿宋" w:hAnsi="仿宋" w:eastAsia="仿宋" w:cs="仿宋"/>
          <w:b/>
          <w:bCs/>
          <w:color w:val="auto"/>
          <w:sz w:val="30"/>
          <w:szCs w:val="30"/>
        </w:rPr>
        <w:t>部门预算财政拨款支出增减变化情况及原因说明</w:t>
      </w:r>
    </w:p>
    <w:p>
      <w:pPr>
        <w:widowControl/>
        <w:ind w:firstLine="600" w:firstLineChars="200"/>
        <w:jc w:val="left"/>
        <w:rPr>
          <w:rFonts w:hint="eastAsia" w:ascii="仿宋" w:hAnsi="仿宋" w:eastAsia="仿宋" w:cs="仿宋"/>
          <w:color w:val="auto"/>
          <w:sz w:val="30"/>
          <w:szCs w:val="30"/>
          <w:lang w:eastAsia="zh-CN"/>
        </w:rPr>
      </w:pPr>
      <w:r>
        <w:rPr>
          <w:rFonts w:hint="eastAsia" w:ascii="仿宋" w:hAnsi="仿宋" w:eastAsia="仿宋" w:cs="仿宋"/>
          <w:color w:val="auto"/>
          <w:sz w:val="30"/>
          <w:szCs w:val="30"/>
        </w:rPr>
        <w:t>2019年部门预算财政拨款</w:t>
      </w:r>
      <w:r>
        <w:rPr>
          <w:rFonts w:hint="eastAsia" w:ascii="仿宋" w:hAnsi="仿宋" w:eastAsia="仿宋" w:cs="仿宋"/>
          <w:color w:val="auto"/>
          <w:sz w:val="30"/>
          <w:szCs w:val="30"/>
          <w:lang w:eastAsia="zh-CN"/>
        </w:rPr>
        <w:t>支出</w:t>
      </w:r>
      <w:r>
        <w:rPr>
          <w:rFonts w:hint="eastAsia" w:ascii="仿宋" w:hAnsi="仿宋" w:eastAsia="仿宋" w:cs="仿宋"/>
          <w:color w:val="auto"/>
          <w:sz w:val="30"/>
          <w:szCs w:val="30"/>
          <w:lang w:val="en-US" w:eastAsia="zh-CN"/>
        </w:rPr>
        <w:t>194.20</w:t>
      </w:r>
      <w:r>
        <w:rPr>
          <w:rFonts w:hint="eastAsia" w:ascii="仿宋" w:hAnsi="仿宋" w:eastAsia="仿宋" w:cs="仿宋"/>
          <w:color w:val="auto"/>
          <w:sz w:val="30"/>
          <w:szCs w:val="30"/>
        </w:rPr>
        <w:t>万元，较2018年</w:t>
      </w:r>
      <w:r>
        <w:rPr>
          <w:rFonts w:hint="eastAsia" w:ascii="仿宋" w:hAnsi="仿宋" w:eastAsia="仿宋" w:cs="仿宋"/>
          <w:color w:val="auto"/>
          <w:sz w:val="30"/>
          <w:szCs w:val="30"/>
          <w:lang w:val="en-US" w:eastAsia="zh-CN"/>
        </w:rPr>
        <w:t>218.40</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减少</w:t>
      </w:r>
      <w:r>
        <w:rPr>
          <w:rFonts w:hint="eastAsia" w:ascii="仿宋" w:hAnsi="仿宋" w:eastAsia="仿宋" w:cs="仿宋"/>
          <w:color w:val="auto"/>
          <w:sz w:val="30"/>
          <w:szCs w:val="30"/>
          <w:lang w:val="en-US" w:eastAsia="zh-CN"/>
        </w:rPr>
        <w:t>24.20</w:t>
      </w:r>
      <w:r>
        <w:rPr>
          <w:rFonts w:hint="eastAsia" w:ascii="仿宋" w:hAnsi="仿宋" w:eastAsia="仿宋" w:cs="仿宋"/>
          <w:color w:val="auto"/>
          <w:sz w:val="30"/>
          <w:szCs w:val="30"/>
        </w:rPr>
        <w:t>万元，</w:t>
      </w:r>
      <w:r>
        <w:rPr>
          <w:rFonts w:hint="eastAsia" w:ascii="仿宋" w:hAnsi="仿宋" w:eastAsia="仿宋" w:cs="仿宋"/>
          <w:color w:val="auto"/>
          <w:sz w:val="30"/>
          <w:szCs w:val="30"/>
          <w:lang w:eastAsia="zh-CN"/>
        </w:rPr>
        <w:t>降</w:t>
      </w:r>
      <w:r>
        <w:rPr>
          <w:rFonts w:hint="eastAsia" w:ascii="仿宋" w:hAnsi="仿宋" w:eastAsia="仿宋" w:cs="仿宋"/>
          <w:color w:val="auto"/>
          <w:sz w:val="30"/>
          <w:szCs w:val="30"/>
        </w:rPr>
        <w:t>幅</w:t>
      </w:r>
      <w:r>
        <w:rPr>
          <w:rFonts w:hint="eastAsia" w:ascii="仿宋" w:hAnsi="仿宋" w:eastAsia="仿宋" w:cs="仿宋"/>
          <w:color w:val="auto"/>
          <w:sz w:val="30"/>
          <w:szCs w:val="30"/>
          <w:lang w:val="en-US" w:eastAsia="zh-CN"/>
        </w:rPr>
        <w:t>12.46</w:t>
      </w:r>
      <w:r>
        <w:rPr>
          <w:rFonts w:hint="eastAsia" w:ascii="仿宋" w:hAnsi="仿宋" w:eastAsia="仿宋" w:cs="仿宋"/>
          <w:color w:val="auto"/>
          <w:sz w:val="30"/>
          <w:szCs w:val="30"/>
        </w:rPr>
        <w:t>%，</w:t>
      </w:r>
      <w:r>
        <w:rPr>
          <w:rFonts w:hint="eastAsia" w:ascii="仿宋" w:hAnsi="仿宋" w:eastAsia="仿宋" w:cs="仿宋"/>
          <w:color w:val="auto"/>
          <w:sz w:val="30"/>
          <w:szCs w:val="30"/>
          <w:lang w:eastAsia="zh-CN"/>
        </w:rPr>
        <w:t>减少</w:t>
      </w:r>
      <w:r>
        <w:rPr>
          <w:rFonts w:hint="eastAsia" w:ascii="仿宋" w:hAnsi="仿宋" w:eastAsia="仿宋" w:cs="仿宋"/>
          <w:color w:val="auto"/>
          <w:sz w:val="30"/>
          <w:szCs w:val="30"/>
        </w:rPr>
        <w:t>原因是</w:t>
      </w:r>
      <w:r>
        <w:rPr>
          <w:rFonts w:hint="eastAsia" w:ascii="仿宋" w:hAnsi="仿宋" w:eastAsia="仿宋" w:cs="仿宋"/>
          <w:color w:val="auto"/>
          <w:sz w:val="30"/>
          <w:szCs w:val="30"/>
          <w:lang w:eastAsia="zh-CN"/>
        </w:rPr>
        <w:t>基本公共卫生服务项目协管员工资预算减少。</w:t>
      </w:r>
    </w:p>
    <w:p>
      <w:pPr>
        <w:widowControl/>
        <w:numPr>
          <w:ilvl w:val="0"/>
          <w:numId w:val="0"/>
        </w:numPr>
        <w:ind w:firstLine="600" w:firstLineChars="200"/>
        <w:jc w:val="left"/>
        <w:rPr>
          <w:rFonts w:hint="eastAsia" w:ascii="仿宋" w:hAnsi="仿宋" w:eastAsia="仿宋" w:cs="仿宋"/>
          <w:b/>
          <w:bCs/>
          <w:color w:val="auto"/>
          <w:sz w:val="30"/>
          <w:szCs w:val="30"/>
        </w:rPr>
      </w:pPr>
      <w:r>
        <w:rPr>
          <w:rFonts w:hint="eastAsia" w:ascii="仿宋" w:hAnsi="仿宋" w:eastAsia="仿宋" w:cs="仿宋"/>
          <w:color w:val="auto"/>
          <w:kern w:val="0"/>
          <w:sz w:val="30"/>
          <w:szCs w:val="30"/>
          <w:lang w:eastAsia="zh-CN"/>
        </w:rPr>
        <w:t>（四）</w:t>
      </w:r>
      <w:r>
        <w:rPr>
          <w:rFonts w:hint="eastAsia" w:ascii="仿宋" w:hAnsi="仿宋" w:eastAsia="仿宋" w:cs="仿宋"/>
          <w:b/>
          <w:bCs/>
          <w:color w:val="auto"/>
          <w:kern w:val="0"/>
          <w:sz w:val="30"/>
          <w:szCs w:val="30"/>
        </w:rPr>
        <w:t>部门基本支出</w:t>
      </w:r>
      <w:r>
        <w:rPr>
          <w:rFonts w:hint="eastAsia" w:ascii="仿宋" w:hAnsi="仿宋" w:eastAsia="仿宋" w:cs="仿宋"/>
          <w:b/>
          <w:bCs/>
          <w:color w:val="auto"/>
          <w:sz w:val="30"/>
          <w:szCs w:val="30"/>
        </w:rPr>
        <w:t>增减变化情况及原因说明</w:t>
      </w:r>
    </w:p>
    <w:p>
      <w:pPr>
        <w:widowControl/>
        <w:ind w:firstLine="600" w:firstLineChars="200"/>
        <w:jc w:val="left"/>
        <w:rPr>
          <w:rFonts w:hint="eastAsia" w:ascii="仿宋" w:hAnsi="仿宋" w:eastAsia="仿宋" w:cs="仿宋"/>
          <w:color w:val="auto"/>
          <w:sz w:val="30"/>
          <w:szCs w:val="30"/>
          <w:lang w:eastAsia="zh-CN"/>
        </w:rPr>
      </w:pPr>
      <w:r>
        <w:rPr>
          <w:rFonts w:hint="eastAsia" w:ascii="仿宋" w:hAnsi="仿宋" w:eastAsia="仿宋" w:cs="仿宋"/>
          <w:color w:val="auto"/>
          <w:kern w:val="0"/>
          <w:sz w:val="30"/>
          <w:szCs w:val="30"/>
        </w:rPr>
        <w:t>2019 年部门基本支出</w:t>
      </w:r>
      <w:r>
        <w:rPr>
          <w:rFonts w:hint="eastAsia" w:ascii="仿宋" w:hAnsi="仿宋" w:eastAsia="仿宋" w:cs="仿宋"/>
          <w:color w:val="auto"/>
          <w:kern w:val="0"/>
          <w:sz w:val="30"/>
          <w:szCs w:val="30"/>
          <w:lang w:val="en-US" w:eastAsia="zh-CN"/>
        </w:rPr>
        <w:t>194.20</w:t>
      </w:r>
      <w:r>
        <w:rPr>
          <w:rFonts w:hint="eastAsia" w:ascii="仿宋" w:hAnsi="仿宋" w:eastAsia="仿宋" w:cs="仿宋"/>
          <w:color w:val="auto"/>
          <w:kern w:val="0"/>
          <w:sz w:val="30"/>
          <w:szCs w:val="30"/>
        </w:rPr>
        <w:t>万元，比上年</w:t>
      </w:r>
      <w:r>
        <w:rPr>
          <w:rFonts w:hint="eastAsia" w:ascii="仿宋" w:hAnsi="仿宋" w:eastAsia="仿宋" w:cs="仿宋"/>
          <w:color w:val="auto"/>
          <w:kern w:val="0"/>
          <w:sz w:val="30"/>
          <w:szCs w:val="30"/>
          <w:lang w:val="en-US" w:eastAsia="zh-CN"/>
        </w:rPr>
        <w:t>181.20</w:t>
      </w:r>
      <w:r>
        <w:rPr>
          <w:rFonts w:hint="eastAsia" w:ascii="仿宋" w:hAnsi="仿宋" w:eastAsia="仿宋" w:cs="仿宋"/>
          <w:color w:val="auto"/>
          <w:kern w:val="0"/>
          <w:sz w:val="30"/>
          <w:szCs w:val="30"/>
        </w:rPr>
        <w:t>万元增加</w:t>
      </w:r>
      <w:r>
        <w:rPr>
          <w:rFonts w:hint="eastAsia" w:ascii="仿宋" w:hAnsi="仿宋" w:eastAsia="仿宋" w:cs="仿宋"/>
          <w:color w:val="auto"/>
          <w:kern w:val="0"/>
          <w:sz w:val="30"/>
          <w:szCs w:val="30"/>
          <w:lang w:val="en-US" w:eastAsia="zh-CN"/>
        </w:rPr>
        <w:t>13.00</w:t>
      </w:r>
      <w:r>
        <w:rPr>
          <w:rFonts w:hint="eastAsia" w:ascii="仿宋" w:hAnsi="仿宋" w:eastAsia="仿宋" w:cs="仿宋"/>
          <w:color w:val="auto"/>
          <w:kern w:val="0"/>
          <w:sz w:val="30"/>
          <w:szCs w:val="30"/>
        </w:rPr>
        <w:t>万元，增幅</w:t>
      </w:r>
      <w:r>
        <w:rPr>
          <w:rFonts w:hint="eastAsia" w:ascii="仿宋" w:hAnsi="仿宋" w:eastAsia="仿宋" w:cs="仿宋"/>
          <w:color w:val="auto"/>
          <w:kern w:val="0"/>
          <w:sz w:val="30"/>
          <w:szCs w:val="30"/>
          <w:lang w:val="en-US" w:eastAsia="zh-CN"/>
        </w:rPr>
        <w:t>6.69</w:t>
      </w:r>
      <w:r>
        <w:rPr>
          <w:rFonts w:hint="eastAsia" w:ascii="仿宋" w:hAnsi="仿宋" w:eastAsia="仿宋" w:cs="仿宋"/>
          <w:color w:val="auto"/>
          <w:kern w:val="0"/>
          <w:sz w:val="30"/>
          <w:szCs w:val="30"/>
        </w:rPr>
        <w:t>%，增加原因</w:t>
      </w:r>
      <w:r>
        <w:rPr>
          <w:rFonts w:hint="eastAsia" w:ascii="仿宋" w:hAnsi="仿宋" w:eastAsia="仿宋" w:cs="仿宋"/>
          <w:color w:val="auto"/>
          <w:kern w:val="0"/>
          <w:sz w:val="30"/>
          <w:szCs w:val="30"/>
          <w:lang w:val="en-US" w:eastAsia="zh-CN"/>
        </w:rPr>
        <w:t>是</w:t>
      </w:r>
      <w:r>
        <w:rPr>
          <w:rFonts w:hint="eastAsia" w:ascii="仿宋" w:hAnsi="仿宋" w:eastAsia="仿宋" w:cs="仿宋"/>
          <w:color w:val="auto"/>
          <w:sz w:val="30"/>
          <w:szCs w:val="30"/>
        </w:rPr>
        <w:t>机关事业单位基本养老保险缴费</w:t>
      </w:r>
      <w:r>
        <w:rPr>
          <w:rFonts w:hint="eastAsia" w:ascii="仿宋" w:hAnsi="仿宋" w:eastAsia="仿宋" w:cs="仿宋"/>
          <w:color w:val="auto"/>
          <w:sz w:val="30"/>
          <w:szCs w:val="30"/>
          <w:lang w:eastAsia="zh-CN"/>
        </w:rPr>
        <w:t>、职业年金、人员工资增加。</w:t>
      </w:r>
    </w:p>
    <w:p>
      <w:pPr>
        <w:widowControl/>
        <w:ind w:firstLine="600" w:firstLineChars="200"/>
        <w:jc w:val="left"/>
        <w:rPr>
          <w:rFonts w:hint="eastAsia" w:ascii="仿宋" w:hAnsi="仿宋" w:eastAsia="仿宋" w:cs="仿宋"/>
          <w:b/>
          <w:bCs/>
          <w:color w:val="auto"/>
          <w:sz w:val="30"/>
          <w:szCs w:val="30"/>
        </w:rPr>
      </w:pPr>
      <w:r>
        <w:rPr>
          <w:rFonts w:hint="eastAsia" w:ascii="仿宋" w:hAnsi="仿宋" w:eastAsia="仿宋" w:cs="仿宋"/>
          <w:color w:val="auto"/>
          <w:sz w:val="30"/>
          <w:szCs w:val="30"/>
          <w:lang w:eastAsia="zh-CN"/>
        </w:rPr>
        <w:t>（五）</w:t>
      </w:r>
      <w:r>
        <w:rPr>
          <w:rFonts w:hint="eastAsia" w:ascii="仿宋" w:hAnsi="仿宋" w:eastAsia="仿宋" w:cs="仿宋"/>
          <w:b/>
          <w:bCs/>
          <w:color w:val="auto"/>
          <w:kern w:val="0"/>
          <w:sz w:val="30"/>
          <w:szCs w:val="30"/>
        </w:rPr>
        <w:t>部门项目支出</w:t>
      </w:r>
      <w:r>
        <w:rPr>
          <w:rFonts w:hint="eastAsia" w:ascii="仿宋" w:hAnsi="仿宋" w:eastAsia="仿宋" w:cs="仿宋"/>
          <w:b/>
          <w:bCs/>
          <w:color w:val="auto"/>
          <w:sz w:val="30"/>
          <w:szCs w:val="30"/>
        </w:rPr>
        <w:t>增减变化情况及原因说明</w:t>
      </w:r>
    </w:p>
    <w:p>
      <w:pPr>
        <w:widowControl/>
        <w:ind w:firstLine="600" w:firstLineChars="200"/>
        <w:jc w:val="left"/>
        <w:rPr>
          <w:rFonts w:hint="eastAsia" w:ascii="仿宋" w:hAnsi="仿宋" w:eastAsia="仿宋" w:cs="仿宋"/>
          <w:color w:val="FF0000"/>
          <w:kern w:val="0"/>
          <w:sz w:val="30"/>
          <w:szCs w:val="30"/>
          <w:lang w:eastAsia="zh-CN"/>
        </w:rPr>
      </w:pPr>
      <w:r>
        <w:rPr>
          <w:rFonts w:hint="eastAsia" w:ascii="仿宋" w:hAnsi="仿宋" w:eastAsia="仿宋" w:cs="仿宋"/>
          <w:color w:val="auto"/>
          <w:kern w:val="0"/>
          <w:sz w:val="30"/>
          <w:szCs w:val="30"/>
        </w:rPr>
        <w:t>2019 年部门项目支出</w:t>
      </w:r>
      <w:r>
        <w:rPr>
          <w:rFonts w:hint="eastAsia" w:ascii="仿宋" w:hAnsi="仿宋" w:eastAsia="仿宋" w:cs="仿宋"/>
          <w:color w:val="auto"/>
          <w:kern w:val="0"/>
          <w:sz w:val="30"/>
          <w:szCs w:val="30"/>
          <w:lang w:val="en-US" w:eastAsia="zh-CN"/>
        </w:rPr>
        <w:t>0</w:t>
      </w:r>
      <w:r>
        <w:rPr>
          <w:rFonts w:hint="eastAsia" w:ascii="仿宋" w:hAnsi="仿宋" w:eastAsia="仿宋" w:cs="仿宋"/>
          <w:color w:val="auto"/>
          <w:kern w:val="0"/>
          <w:sz w:val="30"/>
          <w:szCs w:val="30"/>
        </w:rPr>
        <w:t>万元，比上年</w:t>
      </w:r>
      <w:r>
        <w:rPr>
          <w:rFonts w:hint="eastAsia" w:ascii="仿宋" w:hAnsi="仿宋" w:eastAsia="仿宋" w:cs="仿宋"/>
          <w:color w:val="auto"/>
          <w:kern w:val="0"/>
          <w:sz w:val="30"/>
          <w:szCs w:val="30"/>
          <w:lang w:val="en-US" w:eastAsia="zh-CN"/>
        </w:rPr>
        <w:t>37.20</w:t>
      </w:r>
      <w:r>
        <w:rPr>
          <w:rFonts w:hint="eastAsia" w:ascii="仿宋" w:hAnsi="仿宋" w:eastAsia="仿宋" w:cs="仿宋"/>
          <w:color w:val="auto"/>
          <w:kern w:val="0"/>
          <w:sz w:val="30"/>
          <w:szCs w:val="30"/>
        </w:rPr>
        <w:t>万元减少</w:t>
      </w:r>
      <w:r>
        <w:rPr>
          <w:rFonts w:hint="eastAsia" w:ascii="仿宋" w:hAnsi="仿宋" w:eastAsia="仿宋" w:cs="仿宋"/>
          <w:color w:val="auto"/>
          <w:kern w:val="0"/>
          <w:sz w:val="30"/>
          <w:szCs w:val="30"/>
          <w:lang w:val="en-US" w:eastAsia="zh-CN"/>
        </w:rPr>
        <w:t>37.20</w:t>
      </w:r>
      <w:r>
        <w:rPr>
          <w:rFonts w:hint="eastAsia" w:ascii="仿宋" w:hAnsi="仿宋" w:eastAsia="仿宋" w:cs="仿宋"/>
          <w:color w:val="auto"/>
          <w:kern w:val="0"/>
          <w:sz w:val="30"/>
          <w:szCs w:val="30"/>
        </w:rPr>
        <w:t>万元，下降</w:t>
      </w:r>
      <w:r>
        <w:rPr>
          <w:rFonts w:hint="eastAsia" w:ascii="仿宋" w:hAnsi="仿宋" w:eastAsia="仿宋" w:cs="仿宋"/>
          <w:color w:val="auto"/>
          <w:kern w:val="0"/>
          <w:sz w:val="30"/>
          <w:szCs w:val="30"/>
          <w:lang w:val="en-US" w:eastAsia="zh-CN"/>
        </w:rPr>
        <w:t>100</w:t>
      </w:r>
      <w:r>
        <w:rPr>
          <w:rFonts w:hint="eastAsia" w:ascii="仿宋" w:hAnsi="仿宋" w:eastAsia="仿宋" w:cs="仿宋"/>
          <w:color w:val="auto"/>
          <w:kern w:val="0"/>
          <w:sz w:val="30"/>
          <w:szCs w:val="30"/>
        </w:rPr>
        <w:t>%，减少原因</w:t>
      </w:r>
      <w:r>
        <w:rPr>
          <w:rFonts w:hint="eastAsia" w:ascii="仿宋" w:hAnsi="仿宋" w:eastAsia="仿宋" w:cs="仿宋"/>
          <w:color w:val="auto"/>
          <w:kern w:val="0"/>
          <w:sz w:val="30"/>
          <w:szCs w:val="30"/>
          <w:lang w:val="en-US" w:eastAsia="zh-CN"/>
        </w:rPr>
        <w:t>是</w:t>
      </w:r>
      <w:r>
        <w:rPr>
          <w:rFonts w:hint="eastAsia" w:ascii="仿宋" w:hAnsi="仿宋" w:eastAsia="仿宋" w:cs="仿宋"/>
          <w:color w:val="auto"/>
          <w:kern w:val="0"/>
          <w:sz w:val="30"/>
          <w:szCs w:val="30"/>
          <w:lang w:eastAsia="zh-CN"/>
        </w:rPr>
        <w:t>基本公共卫生服务项目协管员工资未分配项目预算。</w:t>
      </w:r>
    </w:p>
    <w:p>
      <w:pPr>
        <w:widowControl/>
        <w:jc w:val="left"/>
        <w:rPr>
          <w:rFonts w:hint="eastAsia" w:ascii="仿宋" w:hAnsi="仿宋" w:eastAsia="仿宋" w:cs="仿宋"/>
          <w:b/>
          <w:bCs/>
          <w:kern w:val="0"/>
          <w:sz w:val="30"/>
          <w:szCs w:val="30"/>
        </w:rPr>
      </w:pPr>
      <w:bookmarkStart w:id="0" w:name="_GoBack"/>
      <w:bookmarkEnd w:id="0"/>
      <w:r>
        <w:rPr>
          <w:rFonts w:hint="eastAsia" w:ascii="仿宋" w:hAnsi="仿宋" w:eastAsia="仿宋" w:cs="仿宋"/>
          <w:b/>
          <w:bCs/>
          <w:kern w:val="0"/>
          <w:sz w:val="30"/>
          <w:szCs w:val="30"/>
        </w:rPr>
        <w:t>八、其他公开信息</w:t>
      </w:r>
    </w:p>
    <w:p>
      <w:pPr>
        <w:widowControl/>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（一）专业名词解释</w:t>
      </w:r>
    </w:p>
    <w:p>
      <w:pPr>
        <w:pStyle w:val="10"/>
        <w:widowControl/>
        <w:numPr>
          <w:ilvl w:val="0"/>
          <w:numId w:val="6"/>
        </w:numPr>
        <w:spacing w:after="225" w:line="360" w:lineRule="atLeast"/>
        <w:ind w:firstLine="425"/>
        <w:rPr>
          <w:rFonts w:hint="eastAsia" w:ascii="仿宋" w:hAnsi="仿宋" w:eastAsia="仿宋" w:cs="仿宋"/>
          <w:sz w:val="30"/>
          <w:szCs w:val="30"/>
        </w:rPr>
      </w:pPr>
      <w:r>
        <w:rPr>
          <w:rStyle w:val="12"/>
          <w:rFonts w:hint="eastAsia" w:ascii="仿宋" w:hAnsi="仿宋" w:eastAsia="仿宋" w:cs="仿宋"/>
          <w:b w:val="0"/>
          <w:color w:val="000000"/>
          <w:sz w:val="30"/>
          <w:szCs w:val="30"/>
        </w:rPr>
        <w:t>财政拨款（补助）收入</w:t>
      </w:r>
      <w:r>
        <w:rPr>
          <w:rFonts w:hint="eastAsia" w:ascii="仿宋" w:hAnsi="仿宋" w:eastAsia="仿宋" w:cs="仿宋"/>
          <w:color w:val="000000"/>
          <w:sz w:val="30"/>
          <w:szCs w:val="30"/>
        </w:rPr>
        <w:t xml:space="preserve">指财政部门当年拨付的资金。 </w:t>
      </w:r>
    </w:p>
    <w:p>
      <w:pPr>
        <w:pStyle w:val="10"/>
        <w:widowControl/>
        <w:numPr>
          <w:ilvl w:val="0"/>
          <w:numId w:val="6"/>
        </w:numPr>
        <w:spacing w:after="225" w:line="360" w:lineRule="atLeast"/>
        <w:ind w:firstLine="425"/>
        <w:rPr>
          <w:rFonts w:hint="eastAsia" w:ascii="仿宋" w:hAnsi="仿宋" w:eastAsia="仿宋" w:cs="仿宋"/>
          <w:sz w:val="30"/>
          <w:szCs w:val="30"/>
        </w:rPr>
      </w:pPr>
      <w:r>
        <w:rPr>
          <w:rStyle w:val="12"/>
          <w:rFonts w:hint="eastAsia" w:ascii="仿宋" w:hAnsi="仿宋" w:eastAsia="仿宋" w:cs="仿宋"/>
          <w:b w:val="0"/>
          <w:bCs/>
          <w:color w:val="000000"/>
          <w:sz w:val="30"/>
          <w:szCs w:val="30"/>
        </w:rPr>
        <w:t>事业收入</w:t>
      </w:r>
      <w:r>
        <w:rPr>
          <w:rFonts w:hint="eastAsia" w:ascii="仿宋" w:hAnsi="仿宋" w:eastAsia="仿宋" w:cs="仿宋"/>
          <w:color w:val="000000"/>
          <w:sz w:val="30"/>
          <w:szCs w:val="30"/>
        </w:rPr>
        <w:t>指事业单位开展业务活动取得的收入。</w:t>
      </w:r>
    </w:p>
    <w:p>
      <w:pPr>
        <w:pStyle w:val="10"/>
        <w:widowControl/>
        <w:numPr>
          <w:ilvl w:val="0"/>
          <w:numId w:val="6"/>
        </w:numPr>
        <w:spacing w:after="225" w:line="360" w:lineRule="atLeast"/>
        <w:ind w:firstLine="425"/>
        <w:rPr>
          <w:rFonts w:hint="eastAsia" w:ascii="仿宋" w:hAnsi="仿宋" w:eastAsia="仿宋" w:cs="仿宋"/>
          <w:sz w:val="30"/>
          <w:szCs w:val="30"/>
        </w:rPr>
      </w:pPr>
      <w:r>
        <w:rPr>
          <w:rStyle w:val="12"/>
          <w:rFonts w:hint="eastAsia" w:ascii="仿宋" w:hAnsi="仿宋" w:eastAsia="仿宋" w:cs="仿宋"/>
          <w:b w:val="0"/>
          <w:bCs/>
          <w:color w:val="000000"/>
          <w:sz w:val="30"/>
          <w:szCs w:val="30"/>
        </w:rPr>
        <w:t>事业单位经营收入</w:t>
      </w:r>
      <w:r>
        <w:rPr>
          <w:rFonts w:hint="eastAsia" w:ascii="仿宋" w:hAnsi="仿宋" w:eastAsia="仿宋" w:cs="仿宋"/>
          <w:color w:val="000000"/>
          <w:sz w:val="30"/>
          <w:szCs w:val="30"/>
        </w:rPr>
        <w:t xml:space="preserve">指事业单位在业务活动之外开展非独立核算经营活动取得的收入。 </w:t>
      </w:r>
    </w:p>
    <w:p>
      <w:pPr>
        <w:pStyle w:val="10"/>
        <w:widowControl/>
        <w:numPr>
          <w:ilvl w:val="0"/>
          <w:numId w:val="6"/>
        </w:numPr>
        <w:spacing w:after="225" w:line="360" w:lineRule="atLeast"/>
        <w:ind w:firstLine="425"/>
        <w:rPr>
          <w:rFonts w:hint="eastAsia" w:ascii="仿宋" w:hAnsi="仿宋" w:eastAsia="仿宋" w:cs="仿宋"/>
          <w:color w:val="000000"/>
          <w:sz w:val="30"/>
          <w:szCs w:val="30"/>
        </w:rPr>
      </w:pPr>
      <w:r>
        <w:rPr>
          <w:rStyle w:val="12"/>
          <w:rFonts w:hint="eastAsia" w:ascii="仿宋" w:hAnsi="仿宋" w:eastAsia="仿宋" w:cs="仿宋"/>
          <w:b w:val="0"/>
          <w:bCs/>
          <w:color w:val="000000"/>
          <w:sz w:val="30"/>
          <w:szCs w:val="30"/>
        </w:rPr>
        <w:t>其他收入</w:t>
      </w:r>
      <w:r>
        <w:rPr>
          <w:rFonts w:hint="eastAsia" w:ascii="仿宋" w:hAnsi="仿宋" w:eastAsia="仿宋" w:cs="仿宋"/>
          <w:color w:val="000000"/>
          <w:sz w:val="30"/>
          <w:szCs w:val="30"/>
        </w:rPr>
        <w:t xml:space="preserve">指预算单位在“财政拨款收入”、“事业收入”、“经营收入”之外取得的收入。 </w:t>
      </w:r>
    </w:p>
    <w:p>
      <w:pPr>
        <w:pStyle w:val="10"/>
        <w:widowControl/>
        <w:numPr>
          <w:ilvl w:val="0"/>
          <w:numId w:val="6"/>
        </w:numPr>
        <w:spacing w:after="225" w:line="360" w:lineRule="atLeast"/>
        <w:ind w:firstLine="425"/>
        <w:rPr>
          <w:rFonts w:hint="eastAsia" w:ascii="仿宋" w:hAnsi="仿宋" w:eastAsia="仿宋" w:cs="仿宋"/>
          <w:color w:val="000000"/>
          <w:sz w:val="30"/>
          <w:szCs w:val="30"/>
        </w:rPr>
      </w:pPr>
      <w:r>
        <w:rPr>
          <w:rStyle w:val="12"/>
          <w:rFonts w:hint="eastAsia" w:ascii="仿宋" w:hAnsi="仿宋" w:eastAsia="仿宋" w:cs="仿宋"/>
          <w:b w:val="0"/>
          <w:bCs/>
          <w:color w:val="000000"/>
          <w:sz w:val="30"/>
          <w:szCs w:val="30"/>
        </w:rPr>
        <w:t>基本支出</w:t>
      </w:r>
      <w:r>
        <w:rPr>
          <w:rFonts w:hint="eastAsia" w:ascii="仿宋" w:hAnsi="仿宋" w:eastAsia="仿宋" w:cs="仿宋"/>
          <w:color w:val="000000"/>
          <w:sz w:val="30"/>
          <w:szCs w:val="30"/>
        </w:rPr>
        <w:t>指为保障机构正常运转、完成日常工作任务而发生的人员支出和公用支出。</w:t>
      </w:r>
    </w:p>
    <w:p>
      <w:pPr>
        <w:pStyle w:val="10"/>
        <w:widowControl/>
        <w:numPr>
          <w:ilvl w:val="0"/>
          <w:numId w:val="6"/>
        </w:numPr>
        <w:spacing w:after="225" w:line="360" w:lineRule="atLeast"/>
        <w:ind w:firstLine="425"/>
        <w:rPr>
          <w:rFonts w:hint="eastAsia" w:ascii="仿宋" w:hAnsi="仿宋" w:eastAsia="仿宋" w:cs="仿宋"/>
          <w:color w:val="000000"/>
          <w:sz w:val="30"/>
          <w:szCs w:val="30"/>
        </w:rPr>
      </w:pPr>
      <w:r>
        <w:rPr>
          <w:rStyle w:val="12"/>
          <w:rFonts w:hint="eastAsia" w:ascii="仿宋" w:hAnsi="仿宋" w:eastAsia="仿宋" w:cs="仿宋"/>
          <w:b w:val="0"/>
          <w:bCs/>
          <w:color w:val="000000"/>
          <w:sz w:val="30"/>
          <w:szCs w:val="30"/>
        </w:rPr>
        <w:t>项目支出</w:t>
      </w:r>
      <w:r>
        <w:rPr>
          <w:rFonts w:hint="eastAsia" w:ascii="仿宋" w:hAnsi="仿宋" w:eastAsia="仿宋" w:cs="仿宋"/>
          <w:color w:val="000000"/>
          <w:sz w:val="30"/>
          <w:szCs w:val="30"/>
        </w:rPr>
        <w:t xml:space="preserve">指在基本支出之外为完成相关行政任务和事业发展目标所发生的支出。 </w:t>
      </w:r>
    </w:p>
    <w:p>
      <w:pPr>
        <w:widowControl/>
        <w:numPr>
          <w:ilvl w:val="0"/>
          <w:numId w:val="6"/>
        </w:numPr>
        <w:snapToGrid w:val="0"/>
        <w:spacing w:before="100" w:after="100" w:line="360" w:lineRule="auto"/>
        <w:ind w:firstLine="425"/>
        <w:jc w:val="left"/>
        <w:rPr>
          <w:rFonts w:hint="eastAsia" w:ascii="仿宋" w:hAnsi="仿宋" w:eastAsia="仿宋" w:cs="仿宋"/>
          <w:sz w:val="30"/>
          <w:szCs w:val="30"/>
        </w:rPr>
      </w:pPr>
      <w:r>
        <w:rPr>
          <w:rFonts w:hint="eastAsia" w:ascii="仿宋" w:hAnsi="仿宋" w:eastAsia="仿宋" w:cs="仿宋"/>
          <w:sz w:val="30"/>
          <w:szCs w:val="30"/>
        </w:rPr>
        <w:t>机关运行经费指行政单位和参照公务员法管理的事业单位使用一般公共预算财政拨款安排的基本支出中的日常公用经费支出。</w:t>
      </w:r>
      <w:r>
        <w:rPr>
          <w:rFonts w:hint="eastAsia" w:ascii="仿宋" w:hAnsi="仿宋" w:eastAsia="仿宋" w:cs="仿宋"/>
          <w:color w:val="000000"/>
          <w:sz w:val="30"/>
          <w:szCs w:val="30"/>
        </w:rPr>
        <w:t>包括办公及印刷费、邮电费、差旅费、会议费、福利费、日常维修费、专用材料及一般设备购置费、办公用房水电费、办公用房取暖费、办公用房物业管理费、公务用车运行维护费以及其他费用。</w:t>
      </w:r>
    </w:p>
    <w:p>
      <w:pPr>
        <w:widowControl/>
        <w:numPr>
          <w:ilvl w:val="0"/>
          <w:numId w:val="6"/>
        </w:numPr>
        <w:snapToGrid w:val="0"/>
        <w:spacing w:before="100" w:after="100" w:line="360" w:lineRule="auto"/>
        <w:ind w:firstLine="425"/>
        <w:jc w:val="left"/>
        <w:rPr>
          <w:rFonts w:hint="eastAsia" w:ascii="仿宋" w:hAnsi="仿宋" w:eastAsia="仿宋" w:cs="仿宋"/>
          <w:sz w:val="30"/>
          <w:szCs w:val="30"/>
        </w:rPr>
      </w:pPr>
      <w:r>
        <w:rPr>
          <w:rFonts w:hint="eastAsia" w:ascii="仿宋" w:hAnsi="仿宋" w:eastAsia="仿宋" w:cs="仿宋"/>
          <w:sz w:val="30"/>
          <w:szCs w:val="30"/>
        </w:rPr>
        <w:t>“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widowControl/>
        <w:numPr>
          <w:ilvl w:val="0"/>
          <w:numId w:val="6"/>
        </w:numPr>
        <w:snapToGrid w:val="0"/>
        <w:spacing w:before="100" w:after="100" w:line="360" w:lineRule="auto"/>
        <w:ind w:firstLine="425"/>
        <w:jc w:val="left"/>
        <w:rPr>
          <w:rFonts w:hint="eastAsia" w:ascii="仿宋" w:hAnsi="仿宋" w:eastAsia="仿宋" w:cs="仿宋"/>
          <w:sz w:val="30"/>
          <w:szCs w:val="30"/>
        </w:rPr>
      </w:pPr>
      <w:r>
        <w:rPr>
          <w:rFonts w:hint="eastAsia" w:ascii="仿宋" w:hAnsi="仿宋" w:eastAsia="仿宋" w:cs="仿宋"/>
          <w:sz w:val="30"/>
          <w:szCs w:val="30"/>
        </w:rPr>
        <w:t>一般公共预算是对以税收为主体的财政收入，安排用于保障和改善民生、推动经济社会发展、维护国家安全、维护国家机构正常运转等方面的收支预算。</w:t>
      </w:r>
    </w:p>
    <w:p>
      <w:pPr>
        <w:widowControl/>
        <w:numPr>
          <w:ilvl w:val="0"/>
          <w:numId w:val="6"/>
        </w:numPr>
        <w:snapToGrid w:val="0"/>
        <w:spacing w:before="100" w:after="100" w:line="360" w:lineRule="auto"/>
        <w:ind w:firstLine="425"/>
        <w:jc w:val="left"/>
        <w:rPr>
          <w:rFonts w:hint="eastAsia" w:ascii="仿宋" w:hAnsi="仿宋" w:eastAsia="仿宋" w:cs="仿宋"/>
          <w:sz w:val="30"/>
          <w:szCs w:val="30"/>
        </w:rPr>
      </w:pPr>
      <w:r>
        <w:rPr>
          <w:rFonts w:hint="eastAsia" w:ascii="仿宋" w:hAnsi="仿宋" w:eastAsia="仿宋" w:cs="仿宋"/>
          <w:sz w:val="30"/>
          <w:szCs w:val="30"/>
        </w:rPr>
        <w:t>非税收入是各级政府及其所属部门和单位依法利用行政权力、政府信誉、国家资源、国有资产或提供特定公共服务征收、收取、提取、募集的除税收和政府债务收入以外的财政收入。</w:t>
      </w:r>
    </w:p>
    <w:p>
      <w:pPr>
        <w:widowControl/>
        <w:numPr>
          <w:ilvl w:val="0"/>
          <w:numId w:val="6"/>
        </w:numPr>
        <w:snapToGrid w:val="0"/>
        <w:spacing w:before="100" w:after="100" w:line="360" w:lineRule="auto"/>
        <w:ind w:firstLine="425"/>
        <w:jc w:val="left"/>
        <w:rPr>
          <w:rFonts w:hint="eastAsia" w:ascii="仿宋" w:hAnsi="仿宋" w:eastAsia="仿宋" w:cs="仿宋"/>
          <w:sz w:val="30"/>
          <w:szCs w:val="30"/>
        </w:rPr>
      </w:pPr>
      <w:r>
        <w:rPr>
          <w:rFonts w:hint="eastAsia" w:ascii="仿宋" w:hAnsi="仿宋" w:eastAsia="仿宋" w:cs="仿宋"/>
          <w:sz w:val="30"/>
          <w:szCs w:val="30"/>
        </w:rPr>
        <w:t>工资福利支出反映单位开支的在职职工和编制外长期聘用人员的各类劳动报酬，以及为上述人员缴纳的各项社会保险费等。</w:t>
      </w:r>
    </w:p>
    <w:p>
      <w:pPr>
        <w:widowControl/>
        <w:numPr>
          <w:ilvl w:val="0"/>
          <w:numId w:val="6"/>
        </w:numPr>
        <w:snapToGrid w:val="0"/>
        <w:spacing w:before="100" w:after="100" w:line="360" w:lineRule="auto"/>
        <w:ind w:firstLine="425"/>
        <w:jc w:val="left"/>
        <w:rPr>
          <w:rFonts w:hint="eastAsia" w:ascii="仿宋" w:hAnsi="仿宋" w:eastAsia="仿宋" w:cs="仿宋"/>
          <w:sz w:val="30"/>
          <w:szCs w:val="30"/>
        </w:rPr>
      </w:pPr>
      <w:r>
        <w:rPr>
          <w:rFonts w:hint="eastAsia" w:ascii="仿宋" w:hAnsi="仿宋" w:eastAsia="仿宋" w:cs="仿宋"/>
          <w:sz w:val="30"/>
          <w:szCs w:val="30"/>
        </w:rPr>
        <w:t>商品和服务支出反映单位购买商品和服务的支出（不包括用于购置固定资产的支出、战略性和应急储备支出）。</w:t>
      </w:r>
    </w:p>
    <w:p>
      <w:pPr>
        <w:widowControl/>
        <w:numPr>
          <w:ilvl w:val="0"/>
          <w:numId w:val="6"/>
        </w:numPr>
        <w:snapToGrid w:val="0"/>
        <w:spacing w:before="100" w:after="100" w:line="360" w:lineRule="auto"/>
        <w:ind w:firstLine="425"/>
        <w:jc w:val="left"/>
        <w:rPr>
          <w:rFonts w:hint="eastAsia" w:ascii="仿宋" w:hAnsi="仿宋" w:eastAsia="仿宋" w:cs="仿宋"/>
          <w:sz w:val="30"/>
          <w:szCs w:val="30"/>
        </w:rPr>
      </w:pPr>
      <w:r>
        <w:rPr>
          <w:rFonts w:hint="eastAsia" w:ascii="仿宋" w:hAnsi="仿宋" w:eastAsia="仿宋" w:cs="仿宋"/>
          <w:sz w:val="30"/>
          <w:szCs w:val="30"/>
        </w:rPr>
        <w:t>对个人和家庭的补助反映政府用于对个人和家庭的补助支出。</w:t>
      </w:r>
    </w:p>
    <w:p>
      <w:pPr>
        <w:widowControl/>
        <w:numPr>
          <w:ilvl w:val="0"/>
          <w:numId w:val="6"/>
        </w:numPr>
        <w:ind w:firstLine="425"/>
        <w:jc w:val="left"/>
        <w:rPr>
          <w:rFonts w:hint="eastAsia" w:ascii="仿宋" w:hAnsi="仿宋" w:eastAsia="仿宋" w:cs="仿宋"/>
          <w:sz w:val="30"/>
          <w:szCs w:val="30"/>
        </w:rPr>
      </w:pPr>
      <w:r>
        <w:rPr>
          <w:rFonts w:hint="eastAsia" w:ascii="仿宋" w:hAnsi="仿宋" w:eastAsia="仿宋" w:cs="仿宋"/>
          <w:sz w:val="30"/>
          <w:szCs w:val="30"/>
        </w:rPr>
        <w:t>政府采购是指各级国家机关、事业单位和团体组织，使用财政性资金采购依法制定的集中采购目录以内的或者采购限额标准以上的货物、工程和服务的行为。</w:t>
      </w:r>
    </w:p>
    <w:p>
      <w:pPr>
        <w:widowControl/>
        <w:ind w:firstLine="600" w:firstLineChars="200"/>
        <w:jc w:val="left"/>
        <w:rPr>
          <w:rFonts w:hint="eastAsia" w:ascii="仿宋" w:hAnsi="仿宋" w:eastAsia="仿宋" w:cs="仿宋"/>
          <w:b/>
          <w:bCs/>
          <w:kern w:val="0"/>
          <w:sz w:val="30"/>
          <w:szCs w:val="30"/>
        </w:rPr>
      </w:pPr>
      <w:r>
        <w:rPr>
          <w:rFonts w:hint="eastAsia" w:ascii="仿宋" w:hAnsi="仿宋" w:eastAsia="仿宋" w:cs="仿宋"/>
          <w:kern w:val="0"/>
          <w:sz w:val="30"/>
          <w:szCs w:val="30"/>
        </w:rPr>
        <w:t>（二）</w:t>
      </w:r>
      <w:r>
        <w:rPr>
          <w:rFonts w:hint="eastAsia" w:ascii="仿宋" w:hAnsi="仿宋" w:eastAsia="仿宋" w:cs="仿宋"/>
          <w:b/>
          <w:bCs/>
          <w:kern w:val="0"/>
          <w:sz w:val="30"/>
          <w:szCs w:val="30"/>
        </w:rPr>
        <w:t>机关运行经费安排</w:t>
      </w:r>
    </w:p>
    <w:p>
      <w:pPr>
        <w:widowControl/>
        <w:ind w:firstLine="600" w:firstLineChars="200"/>
        <w:jc w:val="left"/>
        <w:rPr>
          <w:rFonts w:hint="eastAsia" w:ascii="仿宋" w:hAnsi="仿宋" w:eastAsia="仿宋" w:cs="仿宋"/>
          <w:kern w:val="0"/>
          <w:sz w:val="30"/>
          <w:szCs w:val="30"/>
        </w:rPr>
      </w:pPr>
      <w:r>
        <w:rPr>
          <w:rFonts w:hint="eastAsia" w:ascii="仿宋" w:hAnsi="仿宋" w:eastAsia="仿宋" w:cs="仿宋"/>
          <w:kern w:val="0"/>
          <w:sz w:val="30"/>
          <w:szCs w:val="30"/>
        </w:rPr>
        <w:t>盈江县卫生</w:t>
      </w:r>
      <w:r>
        <w:rPr>
          <w:rFonts w:hint="eastAsia" w:ascii="仿宋" w:hAnsi="仿宋" w:eastAsia="仿宋" w:cs="仿宋"/>
          <w:kern w:val="0"/>
          <w:sz w:val="30"/>
          <w:szCs w:val="30"/>
          <w:lang w:eastAsia="zh-CN"/>
        </w:rPr>
        <w:t>监督大队</w:t>
      </w:r>
      <w:r>
        <w:rPr>
          <w:rFonts w:hint="eastAsia" w:ascii="仿宋" w:hAnsi="仿宋" w:eastAsia="仿宋" w:cs="仿宋"/>
          <w:kern w:val="0"/>
          <w:sz w:val="30"/>
          <w:szCs w:val="30"/>
        </w:rPr>
        <w:t>2019年部门预算机关运行经费支出共安排</w:t>
      </w:r>
      <w:r>
        <w:rPr>
          <w:rFonts w:hint="eastAsia" w:ascii="仿宋" w:hAnsi="仿宋" w:eastAsia="仿宋" w:cs="仿宋"/>
          <w:kern w:val="0"/>
          <w:sz w:val="30"/>
          <w:szCs w:val="30"/>
          <w:lang w:val="en-US" w:eastAsia="zh-CN"/>
        </w:rPr>
        <w:t>10.50</w:t>
      </w:r>
      <w:r>
        <w:rPr>
          <w:rFonts w:hint="eastAsia" w:ascii="仿宋" w:hAnsi="仿宋" w:eastAsia="仿宋" w:cs="仿宋"/>
          <w:kern w:val="0"/>
          <w:sz w:val="30"/>
          <w:szCs w:val="30"/>
        </w:rPr>
        <w:t>万元，主要用于机关正常运转开支的办公费、水电费、邮电费、差旅费等。</w:t>
      </w:r>
    </w:p>
    <w:p>
      <w:pPr>
        <w:widowControl/>
        <w:numPr>
          <w:ilvl w:val="0"/>
          <w:numId w:val="7"/>
        </w:numPr>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国有资产占用情况</w:t>
      </w:r>
    </w:p>
    <w:p>
      <w:pPr>
        <w:widowControl/>
        <w:ind w:firstLine="300" w:firstLineChars="100"/>
        <w:jc w:val="left"/>
        <w:rPr>
          <w:rFonts w:hint="eastAsia" w:ascii="仿宋" w:hAnsi="仿宋" w:eastAsia="仿宋" w:cs="仿宋"/>
          <w:kern w:val="0"/>
          <w:sz w:val="30"/>
          <w:szCs w:val="30"/>
        </w:rPr>
      </w:pPr>
      <w:r>
        <w:rPr>
          <w:rFonts w:hint="eastAsia" w:ascii="仿宋" w:hAnsi="仿宋" w:eastAsia="仿宋" w:cs="仿宋"/>
          <w:kern w:val="0"/>
          <w:sz w:val="30"/>
          <w:szCs w:val="30"/>
        </w:rPr>
        <w:t xml:space="preserve">  鉴于截至2019年12月31日的国有资产占有使用情况需在完成2019年决算编制后才能统计汇总相关数据，因此，将在公开</w:t>
      </w:r>
      <w:r>
        <w:rPr>
          <w:rFonts w:hint="eastAsia" w:ascii="仿宋" w:hAnsi="仿宋" w:eastAsia="仿宋" w:cs="仿宋"/>
          <w:kern w:val="0"/>
          <w:sz w:val="30"/>
          <w:szCs w:val="30"/>
          <w:lang w:val="en-US" w:eastAsia="zh-CN"/>
        </w:rPr>
        <w:t>2019</w:t>
      </w:r>
      <w:r>
        <w:rPr>
          <w:rFonts w:hint="eastAsia" w:ascii="仿宋" w:hAnsi="仿宋" w:eastAsia="仿宋" w:cs="仿宋"/>
          <w:kern w:val="0"/>
          <w:sz w:val="30"/>
          <w:szCs w:val="30"/>
        </w:rPr>
        <w:t>年度部门决算时一并公开部门截至2019年12月31日的国有资产占有使用情况。</w:t>
      </w:r>
    </w:p>
    <w:p>
      <w:pPr>
        <w:widowControl/>
        <w:numPr>
          <w:ilvl w:val="0"/>
          <w:numId w:val="7"/>
        </w:numPr>
        <w:ind w:firstLine="602" w:firstLineChars="200"/>
        <w:jc w:val="left"/>
        <w:rPr>
          <w:rFonts w:hint="eastAsia" w:ascii="仿宋" w:hAnsi="仿宋" w:eastAsia="仿宋" w:cs="仿宋"/>
          <w:b/>
          <w:bCs/>
          <w:kern w:val="0"/>
          <w:sz w:val="30"/>
          <w:szCs w:val="30"/>
        </w:rPr>
      </w:pPr>
      <w:r>
        <w:rPr>
          <w:rFonts w:hint="eastAsia" w:ascii="仿宋" w:hAnsi="仿宋" w:eastAsia="仿宋" w:cs="仿宋"/>
          <w:b/>
          <w:bCs/>
          <w:kern w:val="0"/>
          <w:sz w:val="30"/>
          <w:szCs w:val="30"/>
        </w:rPr>
        <w:t>本部门预算绩效情况说明</w:t>
      </w:r>
    </w:p>
    <w:p>
      <w:pPr>
        <w:widowControl/>
        <w:ind w:firstLine="300" w:firstLineChars="100"/>
        <w:jc w:val="left"/>
        <w:rPr>
          <w:rFonts w:hint="eastAsia" w:ascii="仿宋" w:hAnsi="仿宋" w:eastAsia="仿宋" w:cs="仿宋"/>
          <w:kern w:val="0"/>
          <w:sz w:val="30"/>
          <w:szCs w:val="30"/>
          <w:lang w:eastAsia="zh-CN"/>
        </w:rPr>
      </w:pPr>
      <w:r>
        <w:rPr>
          <w:rFonts w:hint="eastAsia" w:ascii="仿宋" w:hAnsi="仿宋" w:eastAsia="仿宋" w:cs="仿宋"/>
          <w:kern w:val="0"/>
          <w:sz w:val="30"/>
          <w:szCs w:val="30"/>
        </w:rPr>
        <w:t xml:space="preserve">     2019年单位支出预算为</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万元，其中：基本支出</w:t>
      </w:r>
      <w:r>
        <w:rPr>
          <w:rFonts w:hint="eastAsia" w:ascii="仿宋" w:hAnsi="仿宋" w:eastAsia="仿宋" w:cs="仿宋"/>
          <w:kern w:val="0"/>
          <w:sz w:val="30"/>
          <w:szCs w:val="30"/>
          <w:lang w:val="en-US" w:eastAsia="zh-CN"/>
        </w:rPr>
        <w:t>194.20</w:t>
      </w:r>
      <w:r>
        <w:rPr>
          <w:rFonts w:hint="eastAsia" w:ascii="仿宋" w:hAnsi="仿宋" w:eastAsia="仿宋" w:cs="仿宋"/>
          <w:kern w:val="0"/>
          <w:sz w:val="30"/>
          <w:szCs w:val="30"/>
        </w:rPr>
        <w:t>万元，主要用于发放职工工资，归口管理的行政单位离退休、基本养老保险缴费，</w:t>
      </w:r>
      <w:r>
        <w:rPr>
          <w:rFonts w:hint="eastAsia" w:ascii="仿宋" w:hAnsi="仿宋" w:eastAsia="仿宋" w:cs="仿宋"/>
          <w:kern w:val="0"/>
          <w:sz w:val="30"/>
          <w:szCs w:val="30"/>
          <w:lang w:eastAsia="zh-CN"/>
        </w:rPr>
        <w:t>职业年金、</w:t>
      </w:r>
      <w:r>
        <w:rPr>
          <w:rFonts w:hint="eastAsia" w:ascii="仿宋" w:hAnsi="仿宋" w:eastAsia="仿宋" w:cs="仿宋"/>
          <w:kern w:val="0"/>
          <w:sz w:val="30"/>
          <w:szCs w:val="30"/>
        </w:rPr>
        <w:t>住房公积金，支付公用经费，确保机构正常运转</w:t>
      </w:r>
      <w:r>
        <w:rPr>
          <w:rFonts w:hint="eastAsia" w:ascii="仿宋" w:hAnsi="仿宋" w:eastAsia="仿宋" w:cs="仿宋"/>
          <w:kern w:val="0"/>
          <w:sz w:val="30"/>
          <w:szCs w:val="30"/>
          <w:lang w:eastAsia="zh-CN"/>
        </w:rPr>
        <w:t>，</w:t>
      </w:r>
      <w:r>
        <w:rPr>
          <w:rFonts w:hint="eastAsia" w:ascii="仿宋" w:hAnsi="仿宋" w:eastAsia="仿宋" w:cs="仿宋"/>
          <w:kern w:val="0"/>
          <w:sz w:val="30"/>
          <w:szCs w:val="30"/>
          <w:lang w:val="en-US" w:eastAsia="zh-CN"/>
        </w:rPr>
        <w:t>确保卫生监督工作顺利开展，为全县经济发展和社会稳定做出应有的贡献</w:t>
      </w:r>
      <w:r>
        <w:rPr>
          <w:rFonts w:hint="eastAsia" w:ascii="仿宋" w:hAnsi="仿宋" w:eastAsia="仿宋" w:cs="仿宋"/>
          <w:kern w:val="0"/>
          <w:sz w:val="30"/>
          <w:szCs w:val="30"/>
          <w:lang w:eastAsia="zh-CN"/>
        </w:rPr>
        <w:t>。</w:t>
      </w:r>
    </w:p>
    <w:p>
      <w:pPr>
        <w:widowControl/>
        <w:jc w:val="left"/>
        <w:rPr>
          <w:rFonts w:hint="eastAsia" w:ascii="仿宋" w:hAnsi="仿宋" w:eastAsia="仿宋" w:cs="仿宋"/>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PingFang SC">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仿宋_GBK">
    <w:panose1 w:val="03000509000000000000"/>
    <w:charset w:val="86"/>
    <w:family w:val="script"/>
    <w:pitch w:val="default"/>
    <w:sig w:usb0="00000001" w:usb1="080E0000" w:usb2="00000000" w:usb3="00000000" w:csb0="00040000" w:csb1="00000000"/>
  </w:font>
  <w:font w:name="??_GB2312">
    <w:altName w:val="Times New Roman"/>
    <w:panose1 w:val="00000000000000000000"/>
    <w:charset w:val="00"/>
    <w:family w:val="auto"/>
    <w:pitch w:val="default"/>
    <w:sig w:usb0="00000000" w:usb1="00000000" w:usb2="00000000" w:usb3="00000000" w:csb0="00000001"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644ED8"/>
    <w:multiLevelType w:val="singleLevel"/>
    <w:tmpl w:val="90644ED8"/>
    <w:lvl w:ilvl="0" w:tentative="0">
      <w:start w:val="1"/>
      <w:numFmt w:val="decimal"/>
      <w:suff w:val="nothing"/>
      <w:lvlText w:val="%1．"/>
      <w:lvlJc w:val="left"/>
      <w:pPr>
        <w:ind w:left="0" w:firstLine="400"/>
      </w:pPr>
      <w:rPr>
        <w:rFonts w:hint="default"/>
      </w:rPr>
    </w:lvl>
  </w:abstractNum>
  <w:abstractNum w:abstractNumId="1">
    <w:nsid w:val="BBBF086A"/>
    <w:multiLevelType w:val="singleLevel"/>
    <w:tmpl w:val="BBBF086A"/>
    <w:lvl w:ilvl="0" w:tentative="0">
      <w:start w:val="1"/>
      <w:numFmt w:val="chineseCounting"/>
      <w:suff w:val="nothing"/>
      <w:lvlText w:val="（%1）"/>
      <w:lvlJc w:val="left"/>
      <w:rPr>
        <w:rFonts w:hint="eastAsia"/>
      </w:rPr>
    </w:lvl>
  </w:abstractNum>
  <w:abstractNum w:abstractNumId="2">
    <w:nsid w:val="5C3DA9B9"/>
    <w:multiLevelType w:val="singleLevel"/>
    <w:tmpl w:val="5C3DA9B9"/>
    <w:lvl w:ilvl="0" w:tentative="0">
      <w:start w:val="3"/>
      <w:numFmt w:val="chineseCounting"/>
      <w:suff w:val="nothing"/>
      <w:lvlText w:val="（%1）"/>
      <w:lvlJc w:val="left"/>
    </w:lvl>
  </w:abstractNum>
  <w:abstractNum w:abstractNumId="3">
    <w:nsid w:val="5C47BA42"/>
    <w:multiLevelType w:val="singleLevel"/>
    <w:tmpl w:val="5C47BA42"/>
    <w:lvl w:ilvl="0" w:tentative="0">
      <w:start w:val="2"/>
      <w:numFmt w:val="chineseCounting"/>
      <w:suff w:val="nothing"/>
      <w:lvlText w:val="（%1）"/>
      <w:lvlJc w:val="left"/>
    </w:lvl>
  </w:abstractNum>
  <w:abstractNum w:abstractNumId="4">
    <w:nsid w:val="5C47DBBF"/>
    <w:multiLevelType w:val="singleLevel"/>
    <w:tmpl w:val="5C47DBBF"/>
    <w:lvl w:ilvl="0" w:tentative="0">
      <w:start w:val="4"/>
      <w:numFmt w:val="chineseCounting"/>
      <w:suff w:val="nothing"/>
      <w:lvlText w:val="%1、"/>
      <w:lvlJc w:val="left"/>
    </w:lvl>
  </w:abstractNum>
  <w:abstractNum w:abstractNumId="5">
    <w:nsid w:val="5C47DC0A"/>
    <w:multiLevelType w:val="singleLevel"/>
    <w:tmpl w:val="5C47DC0A"/>
    <w:lvl w:ilvl="0" w:tentative="0">
      <w:start w:val="5"/>
      <w:numFmt w:val="chineseCounting"/>
      <w:suff w:val="nothing"/>
      <w:lvlText w:val="%1、"/>
      <w:lvlJc w:val="left"/>
    </w:lvl>
  </w:abstractNum>
  <w:abstractNum w:abstractNumId="6">
    <w:nsid w:val="6F31F2E2"/>
    <w:multiLevelType w:val="singleLevel"/>
    <w:tmpl w:val="6F31F2E2"/>
    <w:lvl w:ilvl="0" w:tentative="0">
      <w:start w:val="1"/>
      <w:numFmt w:val="chineseCounting"/>
      <w:suff w:val="nothing"/>
      <w:lvlText w:val="（%1）"/>
      <w:lvlJc w:val="left"/>
      <w:rPr>
        <w:rFonts w:hint="eastAsia"/>
      </w:rPr>
    </w:lvl>
  </w:abstractNum>
  <w:num w:numId="1">
    <w:abstractNumId w:val="4"/>
  </w:num>
  <w:num w:numId="2">
    <w:abstractNumId w:val="1"/>
  </w:num>
  <w:num w:numId="3">
    <w:abstractNumId w:val="3"/>
  </w:num>
  <w:num w:numId="4">
    <w:abstractNumId w:val="5"/>
  </w:num>
  <w:num w:numId="5">
    <w:abstractNumId w:val="6"/>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A7D1C"/>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196043"/>
    <w:rsid w:val="025737A0"/>
    <w:rsid w:val="03A065B2"/>
    <w:rsid w:val="03F0214E"/>
    <w:rsid w:val="06325B44"/>
    <w:rsid w:val="07AE4CF8"/>
    <w:rsid w:val="09251169"/>
    <w:rsid w:val="0A2D7488"/>
    <w:rsid w:val="0AB77A2F"/>
    <w:rsid w:val="0B467EB2"/>
    <w:rsid w:val="135F6AFF"/>
    <w:rsid w:val="1A0B3DDD"/>
    <w:rsid w:val="23B52020"/>
    <w:rsid w:val="27D044C0"/>
    <w:rsid w:val="2A410B12"/>
    <w:rsid w:val="2D7B7E3A"/>
    <w:rsid w:val="30E906BC"/>
    <w:rsid w:val="38022CCA"/>
    <w:rsid w:val="39466C4F"/>
    <w:rsid w:val="3E743342"/>
    <w:rsid w:val="40970E29"/>
    <w:rsid w:val="43B04762"/>
    <w:rsid w:val="4482502B"/>
    <w:rsid w:val="44C56792"/>
    <w:rsid w:val="44E72320"/>
    <w:rsid w:val="4741155B"/>
    <w:rsid w:val="4B690723"/>
    <w:rsid w:val="4F35027E"/>
    <w:rsid w:val="4FA737AD"/>
    <w:rsid w:val="502A6087"/>
    <w:rsid w:val="50BA2A8B"/>
    <w:rsid w:val="56C549F7"/>
    <w:rsid w:val="61F07C76"/>
    <w:rsid w:val="653345CC"/>
    <w:rsid w:val="65DB0171"/>
    <w:rsid w:val="6EAC2D52"/>
    <w:rsid w:val="724A4A01"/>
    <w:rsid w:val="78727FA7"/>
    <w:rsid w:val="7B1E5394"/>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semiHidden="0" w:name="Hyperlink"/>
    <w:lsdException w:uiPriority="0" w:name="FollowedHyperlink"/>
    <w:lsdException w:qFormat="1" w:unhideWhenUsed="0" w:uiPriority="99"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semiHidden="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unhideWhenUsed/>
    <w:qFormat/>
    <w:uiPriority w:val="1"/>
  </w:style>
  <w:style w:type="table" w:default="1" w:styleId="15">
    <w:name w:val="Normal Table"/>
    <w:unhideWhenUsed/>
    <w:qFormat/>
    <w:uiPriority w:val="99"/>
    <w:tblPr>
      <w:tblLayout w:type="fixed"/>
      <w:tblCellMar>
        <w:top w:w="0" w:type="dxa"/>
        <w:left w:w="108" w:type="dxa"/>
        <w:bottom w:w="0" w:type="dxa"/>
        <w:right w:w="108" w:type="dxa"/>
      </w:tblCellMar>
    </w:tblPr>
  </w:style>
  <w:style w:type="paragraph" w:customStyle="1" w:styleId="2">
    <w:name w:val="图表目录1"/>
    <w:basedOn w:val="3"/>
    <w:next w:val="3"/>
    <w:qFormat/>
    <w:uiPriority w:val="0"/>
    <w:pPr>
      <w:ind w:left="200" w:leftChars="200" w:hanging="200" w:hangingChars="200"/>
    </w:pPr>
  </w:style>
  <w:style w:type="paragraph" w:customStyle="1" w:styleId="3">
    <w:name w:val="正文 New New New New New New New New New New New New New New New New New New New New New New New New New New New New New New New New New New New New New New New New New New New New New New New New New New New New New New New New New New New New New New Ne"/>
    <w:next w:val="2"/>
    <w:qFormat/>
    <w:uiPriority w:val="0"/>
    <w:pPr>
      <w:widowControl w:val="0"/>
      <w:jc w:val="both"/>
    </w:pPr>
    <w:rPr>
      <w:rFonts w:ascii="Times New Roman" w:hAnsi="Times New Roman" w:eastAsia="宋体" w:cs="黑体"/>
      <w:kern w:val="2"/>
      <w:sz w:val="21"/>
      <w:szCs w:val="24"/>
      <w:lang w:val="en-US" w:eastAsia="zh-CN" w:bidi="ar-SA"/>
    </w:rPr>
  </w:style>
  <w:style w:type="paragraph" w:styleId="4">
    <w:name w:val="annotation subject"/>
    <w:basedOn w:val="5"/>
    <w:next w:val="5"/>
    <w:semiHidden/>
    <w:qFormat/>
    <w:uiPriority w:val="0"/>
    <w:rPr>
      <w:b/>
      <w:bCs/>
    </w:rPr>
  </w:style>
  <w:style w:type="paragraph" w:styleId="5">
    <w:name w:val="annotation text"/>
    <w:basedOn w:val="1"/>
    <w:semiHidden/>
    <w:qFormat/>
    <w:uiPriority w:val="0"/>
    <w:pPr>
      <w:jc w:val="left"/>
    </w:pPr>
  </w:style>
  <w:style w:type="paragraph" w:styleId="6">
    <w:name w:val="Balloon Text"/>
    <w:basedOn w:val="1"/>
    <w:semiHidden/>
    <w:qFormat/>
    <w:uiPriority w:val="0"/>
    <w:rPr>
      <w:sz w:val="18"/>
      <w:szCs w:val="18"/>
    </w:r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HTML Preformatted"/>
    <w:basedOn w:val="1"/>
    <w:unhideWhenUsed/>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0">
    <w:name w:val="Normal (Web)"/>
    <w:basedOn w:val="1"/>
    <w:qFormat/>
    <w:uiPriority w:val="99"/>
    <w:rPr>
      <w:rFonts w:ascii="Calibri" w:hAnsi="Calibri"/>
      <w:sz w:val="24"/>
    </w:rPr>
  </w:style>
  <w:style w:type="character" w:styleId="12">
    <w:name w:val="Strong"/>
    <w:basedOn w:val="11"/>
    <w:qFormat/>
    <w:uiPriority w:val="99"/>
    <w:rPr>
      <w:rFonts w:cs="Times New Roman"/>
      <w:b/>
    </w:rPr>
  </w:style>
  <w:style w:type="character" w:styleId="13">
    <w:name w:val="Hyperlink"/>
    <w:basedOn w:val="11"/>
    <w:unhideWhenUsed/>
    <w:uiPriority w:val="0"/>
    <w:rPr>
      <w:color w:val="0000FF"/>
      <w:u w:val="single"/>
    </w:rPr>
  </w:style>
  <w:style w:type="character" w:styleId="14">
    <w:name w:val="annotation reference"/>
    <w:semiHidden/>
    <w:qFormat/>
    <w:uiPriority w:val="0"/>
    <w:rPr>
      <w:sz w:val="21"/>
      <w:szCs w:val="21"/>
    </w:rPr>
  </w:style>
  <w:style w:type="paragraph" w:customStyle="1" w:styleId="16">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ScaleCrop>false</ScaleCrop>
  <LinksUpToDate>false</LinksUpToDate>
  <CharactersWithSpaces>1255</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Lenovo</cp:lastModifiedBy>
  <cp:lastPrinted>2018-01-31T03:32:00Z</cp:lastPrinted>
  <dcterms:modified xsi:type="dcterms:W3CDTF">2019-04-24T10:50:53Z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