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监督索引号53312300531400000</w:t>
      </w:r>
    </w:p>
    <w:p>
      <w:pPr>
        <w:rPr>
          <w:rFonts w:ascii="Arial" w:hAnsi="Arial" w:eastAsia="Arial" w:cs="Arial"/>
          <w:b/>
          <w:sz w:val="36"/>
        </w:rPr>
      </w:pPr>
      <w:r>
        <w:rPr>
          <w:rFonts w:ascii="Arial" w:hAnsi="Arial" w:eastAsia="Arial" w:cs="Arial"/>
          <w:b/>
          <w:sz w:val="36"/>
        </w:rPr>
        <w:t>监督索引号53312300531400000</w:t>
      </w:r>
    </w:p>
    <w:p>
      <w:pPr>
        <w:spacing w:line="5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盈江县民政局2019年部门预算公开</w:t>
      </w:r>
    </w:p>
    <w:p>
      <w:pPr>
        <w:spacing w:line="5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目录</w:t>
      </w:r>
    </w:p>
    <w:p>
      <w:pPr>
        <w:spacing w:line="580" w:lineRule="exact"/>
        <w:jc w:val="left"/>
        <w:rPr>
          <w:rFonts w:ascii="仿宋" w:hAnsi="仿宋" w:eastAsia="仿宋" w:cs="仿宋"/>
          <w:sz w:val="30"/>
          <w:szCs w:val="30"/>
        </w:rPr>
      </w:pPr>
    </w:p>
    <w:p>
      <w:pPr>
        <w:spacing w:line="580" w:lineRule="exact"/>
        <w:jc w:val="left"/>
        <w:rPr>
          <w:rFonts w:ascii="仿宋" w:hAnsi="仿宋" w:eastAsia="仿宋" w:cs="仿宋"/>
          <w:sz w:val="32"/>
          <w:szCs w:val="32"/>
        </w:rPr>
      </w:pPr>
      <w:r>
        <w:rPr>
          <w:rFonts w:hint="eastAsia" w:ascii="仿宋" w:hAnsi="仿宋" w:eastAsia="仿宋" w:cs="仿宋"/>
          <w:sz w:val="32"/>
          <w:szCs w:val="32"/>
        </w:rPr>
        <w:t>第一部分 盈江县民政局2019年部门预算编制说明</w:t>
      </w:r>
    </w:p>
    <w:p>
      <w:pPr>
        <w:spacing w:line="580" w:lineRule="exact"/>
        <w:jc w:val="left"/>
        <w:rPr>
          <w:rFonts w:ascii="仿宋" w:hAnsi="仿宋" w:eastAsia="仿宋" w:cs="仿宋"/>
          <w:sz w:val="32"/>
          <w:szCs w:val="32"/>
        </w:rPr>
      </w:pPr>
      <w:r>
        <w:rPr>
          <w:rFonts w:hint="eastAsia" w:ascii="仿宋" w:hAnsi="仿宋" w:eastAsia="仿宋" w:cs="仿宋"/>
          <w:sz w:val="32"/>
          <w:szCs w:val="32"/>
        </w:rPr>
        <w:t>第二部分 盈江县民政局2019年部门预算表</w:t>
      </w:r>
    </w:p>
    <w:p>
      <w:pPr>
        <w:spacing w:line="580" w:lineRule="exact"/>
        <w:jc w:val="left"/>
        <w:rPr>
          <w:rFonts w:ascii="仿宋" w:hAnsi="仿宋" w:eastAsia="仿宋" w:cs="仿宋"/>
          <w:sz w:val="32"/>
          <w:szCs w:val="32"/>
        </w:rPr>
      </w:pPr>
      <w:r>
        <w:rPr>
          <w:rFonts w:hint="eastAsia" w:ascii="仿宋" w:hAnsi="仿宋" w:eastAsia="仿宋" w:cs="仿宋"/>
          <w:sz w:val="32"/>
          <w:szCs w:val="32"/>
        </w:rPr>
        <w:t>一、部门财务收支总体情况表</w:t>
      </w:r>
    </w:p>
    <w:p>
      <w:pPr>
        <w:spacing w:line="580" w:lineRule="exact"/>
        <w:jc w:val="left"/>
        <w:rPr>
          <w:rFonts w:ascii="仿宋" w:hAnsi="仿宋" w:eastAsia="仿宋" w:cs="仿宋"/>
          <w:sz w:val="32"/>
          <w:szCs w:val="32"/>
        </w:rPr>
      </w:pPr>
      <w:r>
        <w:rPr>
          <w:rFonts w:hint="eastAsia" w:ascii="仿宋" w:hAnsi="仿宋" w:eastAsia="仿宋" w:cs="仿宋"/>
          <w:sz w:val="32"/>
          <w:szCs w:val="32"/>
        </w:rPr>
        <w:t>二、部门收入总体情况表</w:t>
      </w:r>
    </w:p>
    <w:p>
      <w:pPr>
        <w:spacing w:line="580" w:lineRule="exact"/>
        <w:jc w:val="left"/>
        <w:rPr>
          <w:rFonts w:ascii="仿宋" w:hAnsi="仿宋" w:eastAsia="仿宋" w:cs="仿宋"/>
          <w:sz w:val="32"/>
          <w:szCs w:val="32"/>
        </w:rPr>
      </w:pPr>
      <w:r>
        <w:rPr>
          <w:rFonts w:hint="eastAsia" w:ascii="仿宋" w:hAnsi="仿宋" w:eastAsia="仿宋" w:cs="仿宋"/>
          <w:sz w:val="32"/>
          <w:szCs w:val="32"/>
        </w:rPr>
        <w:t>三、部门支出总体情况表</w:t>
      </w:r>
    </w:p>
    <w:p>
      <w:pPr>
        <w:spacing w:line="580" w:lineRule="exact"/>
        <w:jc w:val="left"/>
        <w:rPr>
          <w:rFonts w:ascii="仿宋" w:hAnsi="仿宋" w:eastAsia="仿宋" w:cs="仿宋"/>
          <w:sz w:val="32"/>
          <w:szCs w:val="32"/>
        </w:rPr>
      </w:pPr>
      <w:r>
        <w:rPr>
          <w:rFonts w:hint="eastAsia" w:ascii="仿宋" w:hAnsi="仿宋" w:eastAsia="仿宋" w:cs="仿宋"/>
          <w:sz w:val="32"/>
          <w:szCs w:val="32"/>
        </w:rPr>
        <w:t>四、部门财政拨款收支总体情况表</w:t>
      </w:r>
    </w:p>
    <w:p>
      <w:pPr>
        <w:spacing w:line="580" w:lineRule="exact"/>
        <w:jc w:val="left"/>
        <w:rPr>
          <w:rFonts w:ascii="仿宋" w:hAnsi="仿宋" w:eastAsia="仿宋" w:cs="仿宋"/>
          <w:sz w:val="32"/>
          <w:szCs w:val="32"/>
        </w:rPr>
      </w:pPr>
      <w:r>
        <w:rPr>
          <w:rFonts w:hint="eastAsia" w:ascii="仿宋" w:hAnsi="仿宋" w:eastAsia="仿宋" w:cs="仿宋"/>
          <w:sz w:val="32"/>
          <w:szCs w:val="32"/>
        </w:rPr>
        <w:t>五、部门一般公共预算本级财力安排支出情况表</w:t>
      </w:r>
    </w:p>
    <w:p>
      <w:pPr>
        <w:spacing w:line="580" w:lineRule="exact"/>
        <w:jc w:val="left"/>
        <w:rPr>
          <w:rFonts w:ascii="仿宋" w:hAnsi="仿宋" w:eastAsia="仿宋" w:cs="仿宋"/>
          <w:sz w:val="32"/>
          <w:szCs w:val="32"/>
        </w:rPr>
      </w:pPr>
      <w:r>
        <w:rPr>
          <w:rFonts w:hint="eastAsia" w:ascii="仿宋" w:hAnsi="仿宋" w:eastAsia="仿宋" w:cs="仿宋"/>
          <w:sz w:val="32"/>
          <w:szCs w:val="32"/>
        </w:rPr>
        <w:t>六、部门基本支出情况表</w:t>
      </w:r>
    </w:p>
    <w:p>
      <w:pPr>
        <w:spacing w:line="580" w:lineRule="exact"/>
        <w:jc w:val="left"/>
        <w:rPr>
          <w:rFonts w:ascii="仿宋" w:hAnsi="仿宋" w:eastAsia="仿宋" w:cs="仿宋"/>
          <w:sz w:val="32"/>
          <w:szCs w:val="32"/>
        </w:rPr>
      </w:pPr>
      <w:r>
        <w:rPr>
          <w:rFonts w:hint="eastAsia" w:ascii="仿宋" w:hAnsi="仿宋" w:eastAsia="仿宋" w:cs="仿宋"/>
          <w:sz w:val="32"/>
          <w:szCs w:val="32"/>
        </w:rPr>
        <w:t>七、部门政府性基金预算支出情况表</w:t>
      </w:r>
    </w:p>
    <w:p>
      <w:pPr>
        <w:spacing w:line="580" w:lineRule="exact"/>
        <w:jc w:val="left"/>
        <w:rPr>
          <w:rFonts w:ascii="仿宋" w:hAnsi="仿宋" w:eastAsia="仿宋" w:cs="仿宋"/>
          <w:sz w:val="32"/>
          <w:szCs w:val="32"/>
        </w:rPr>
      </w:pPr>
      <w:r>
        <w:rPr>
          <w:rFonts w:hint="eastAsia" w:ascii="仿宋" w:hAnsi="仿宋" w:eastAsia="仿宋" w:cs="仿宋"/>
          <w:sz w:val="32"/>
          <w:szCs w:val="32"/>
        </w:rPr>
        <w:t>八、财政拨款支出明细表（按经济科目分类）</w:t>
      </w:r>
    </w:p>
    <w:p>
      <w:pPr>
        <w:spacing w:line="580" w:lineRule="exact"/>
        <w:jc w:val="left"/>
        <w:rPr>
          <w:rFonts w:ascii="仿宋" w:hAnsi="仿宋" w:eastAsia="仿宋" w:cs="仿宋"/>
          <w:sz w:val="32"/>
          <w:szCs w:val="32"/>
        </w:rPr>
      </w:pPr>
      <w:r>
        <w:rPr>
          <w:rFonts w:hint="eastAsia" w:ascii="仿宋" w:hAnsi="仿宋" w:eastAsia="仿宋" w:cs="仿宋"/>
          <w:sz w:val="32"/>
          <w:szCs w:val="32"/>
        </w:rPr>
        <w:t>九、部门一般公共预算“三公”经费支出情况表</w:t>
      </w:r>
    </w:p>
    <w:p>
      <w:pPr>
        <w:spacing w:line="580" w:lineRule="exact"/>
        <w:jc w:val="left"/>
        <w:rPr>
          <w:rFonts w:ascii="仿宋" w:hAnsi="仿宋" w:eastAsia="仿宋" w:cs="仿宋"/>
          <w:sz w:val="32"/>
          <w:szCs w:val="32"/>
        </w:rPr>
      </w:pPr>
      <w:r>
        <w:rPr>
          <w:rFonts w:hint="eastAsia" w:ascii="仿宋" w:hAnsi="仿宋" w:eastAsia="仿宋" w:cs="仿宋"/>
          <w:sz w:val="32"/>
          <w:szCs w:val="32"/>
        </w:rPr>
        <w:t>十、县本级项目支出绩效目标表（本次下达）</w:t>
      </w:r>
    </w:p>
    <w:p>
      <w:pPr>
        <w:spacing w:line="580" w:lineRule="exact"/>
        <w:jc w:val="left"/>
        <w:rPr>
          <w:rFonts w:ascii="仿宋" w:hAnsi="仿宋" w:eastAsia="仿宋" w:cs="仿宋"/>
          <w:sz w:val="32"/>
          <w:szCs w:val="32"/>
        </w:rPr>
      </w:pPr>
      <w:r>
        <w:rPr>
          <w:rFonts w:hint="eastAsia" w:ascii="仿宋" w:hAnsi="仿宋" w:eastAsia="仿宋" w:cs="仿宋"/>
          <w:sz w:val="32"/>
          <w:szCs w:val="32"/>
        </w:rPr>
        <w:t>十一、县本级项目支出绩效目标表（另文下达）</w:t>
      </w:r>
    </w:p>
    <w:p>
      <w:pPr>
        <w:spacing w:line="580" w:lineRule="exact"/>
        <w:jc w:val="left"/>
        <w:rPr>
          <w:rFonts w:ascii="仿宋" w:hAnsi="仿宋" w:eastAsia="仿宋" w:cs="仿宋"/>
          <w:sz w:val="32"/>
          <w:szCs w:val="32"/>
        </w:rPr>
      </w:pPr>
      <w:r>
        <w:rPr>
          <w:rFonts w:hint="eastAsia" w:ascii="仿宋" w:hAnsi="仿宋" w:eastAsia="仿宋" w:cs="仿宋"/>
          <w:sz w:val="32"/>
          <w:szCs w:val="32"/>
        </w:rPr>
        <w:t>十二、县对下转移支付绩效目标表</w:t>
      </w:r>
    </w:p>
    <w:p>
      <w:pPr>
        <w:spacing w:line="580" w:lineRule="exact"/>
        <w:jc w:val="left"/>
        <w:rPr>
          <w:rFonts w:ascii="仿宋" w:hAnsi="仿宋" w:eastAsia="仿宋" w:cs="仿宋"/>
          <w:sz w:val="32"/>
          <w:szCs w:val="32"/>
        </w:rPr>
      </w:pPr>
      <w:r>
        <w:rPr>
          <w:rFonts w:hint="eastAsia" w:ascii="仿宋" w:hAnsi="仿宋" w:eastAsia="仿宋" w:cs="仿宋"/>
          <w:sz w:val="32"/>
          <w:szCs w:val="32"/>
        </w:rPr>
        <w:t>十三、部门政府采购情况表</w:t>
      </w:r>
    </w:p>
    <w:p>
      <w:pPr>
        <w:spacing w:line="580" w:lineRule="exact"/>
        <w:jc w:val="left"/>
        <w:rPr>
          <w:rFonts w:ascii="仿宋" w:hAnsi="仿宋" w:eastAsia="仿宋" w:cs="仿宋"/>
          <w:sz w:val="30"/>
          <w:szCs w:val="30"/>
        </w:rPr>
      </w:pPr>
    </w:p>
    <w:p>
      <w:pPr>
        <w:widowControl/>
        <w:spacing w:line="580" w:lineRule="exact"/>
        <w:rPr>
          <w:rFonts w:ascii="仿宋" w:hAnsi="仿宋" w:eastAsia="仿宋" w:cs="仿宋"/>
          <w:kern w:val="0"/>
          <w:sz w:val="36"/>
          <w:szCs w:val="36"/>
        </w:rPr>
      </w:pPr>
    </w:p>
    <w:p>
      <w:pPr>
        <w:widowControl/>
        <w:spacing w:line="580" w:lineRule="exact"/>
        <w:rPr>
          <w:rFonts w:ascii="仿宋" w:hAnsi="仿宋" w:eastAsia="仿宋" w:cs="仿宋"/>
          <w:kern w:val="0"/>
          <w:sz w:val="36"/>
          <w:szCs w:val="36"/>
        </w:rPr>
      </w:pPr>
    </w:p>
    <w:p>
      <w:pPr>
        <w:widowControl/>
        <w:spacing w:line="580" w:lineRule="exact"/>
        <w:rPr>
          <w:rFonts w:ascii="仿宋" w:hAnsi="仿宋" w:eastAsia="仿宋" w:cs="仿宋"/>
          <w:kern w:val="0"/>
          <w:sz w:val="36"/>
          <w:szCs w:val="36"/>
        </w:rPr>
      </w:pPr>
    </w:p>
    <w:p>
      <w:pPr>
        <w:widowControl/>
        <w:spacing w:line="580" w:lineRule="exact"/>
        <w:rPr>
          <w:rFonts w:ascii="仿宋" w:hAnsi="仿宋" w:eastAsia="仿宋" w:cs="仿宋"/>
          <w:kern w:val="0"/>
          <w:sz w:val="36"/>
          <w:szCs w:val="36"/>
        </w:rPr>
      </w:pPr>
    </w:p>
    <w:p>
      <w:pPr>
        <w:widowControl/>
        <w:spacing w:line="58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盈江县民政局2019年部门预算编制说明</w:t>
      </w:r>
    </w:p>
    <w:p>
      <w:pPr>
        <w:widowControl/>
        <w:spacing w:line="580" w:lineRule="exact"/>
        <w:jc w:val="left"/>
        <w:rPr>
          <w:rFonts w:ascii="仿宋" w:hAnsi="仿宋" w:eastAsia="仿宋" w:cs="仿宋"/>
          <w:kern w:val="0"/>
          <w:sz w:val="30"/>
          <w:szCs w:val="30"/>
        </w:rPr>
      </w:pP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一、基本职能及主要工作</w:t>
      </w:r>
    </w:p>
    <w:p>
      <w:pPr>
        <w:widowControl/>
        <w:spacing w:line="580" w:lineRule="exact"/>
        <w:ind w:firstLine="640" w:firstLineChars="200"/>
        <w:jc w:val="left"/>
        <w:rPr>
          <w:rFonts w:ascii="仿宋" w:hAnsi="仿宋" w:eastAsia="仿宋" w:cs="仿宋"/>
          <w:b/>
          <w:kern w:val="0"/>
          <w:sz w:val="32"/>
          <w:szCs w:val="32"/>
        </w:rPr>
      </w:pPr>
      <w:r>
        <w:rPr>
          <w:rFonts w:hint="eastAsia" w:ascii="仿宋" w:hAnsi="仿宋" w:eastAsia="仿宋" w:cs="仿宋"/>
          <w:kern w:val="0"/>
          <w:sz w:val="32"/>
          <w:szCs w:val="32"/>
        </w:rPr>
        <w:t>（一）部门主要职责</w:t>
      </w:r>
    </w:p>
    <w:p>
      <w:pPr>
        <w:widowControl/>
        <w:shd w:val="clear" w:color="auto" w:fill="FFFFFF"/>
        <w:spacing w:line="580" w:lineRule="exact"/>
        <w:ind w:firstLine="624" w:firstLineChars="200"/>
        <w:jc w:val="left"/>
        <w:rPr>
          <w:rFonts w:ascii="仿宋" w:hAnsi="仿宋" w:eastAsia="仿宋" w:cs="仿宋"/>
          <w:spacing w:val="-4"/>
          <w:kern w:val="0"/>
          <w:sz w:val="32"/>
          <w:szCs w:val="32"/>
        </w:rPr>
      </w:pPr>
      <w:r>
        <w:rPr>
          <w:rFonts w:hint="eastAsia" w:ascii="仿宋" w:hAnsi="仿宋" w:eastAsia="仿宋" w:cs="仿宋"/>
          <w:spacing w:val="-4"/>
          <w:kern w:val="0"/>
          <w:sz w:val="32"/>
          <w:szCs w:val="32"/>
        </w:rPr>
        <w:t>贯彻执行党和国家关于民政工作的方针、政策和法律、法规，根据国民经济和社会发展规划，拟订全县民政事业发展规划和政策，并组织实施和监督检查。</w:t>
      </w:r>
    </w:p>
    <w:p>
      <w:pPr>
        <w:widowControl/>
        <w:shd w:val="clear" w:color="auto" w:fill="FFFFFF"/>
        <w:spacing w:line="580" w:lineRule="exact"/>
        <w:ind w:firstLine="624" w:firstLineChars="200"/>
        <w:jc w:val="left"/>
        <w:rPr>
          <w:rFonts w:ascii="仿宋" w:hAnsi="仿宋" w:eastAsia="仿宋" w:cs="仿宋"/>
          <w:spacing w:val="-4"/>
          <w:kern w:val="0"/>
          <w:sz w:val="32"/>
          <w:szCs w:val="32"/>
        </w:rPr>
      </w:pPr>
      <w:r>
        <w:rPr>
          <w:rFonts w:hint="eastAsia" w:ascii="仿宋" w:hAnsi="仿宋" w:eastAsia="仿宋" w:cs="仿宋"/>
          <w:spacing w:val="-4"/>
          <w:kern w:val="0"/>
          <w:sz w:val="32"/>
          <w:szCs w:val="32"/>
        </w:rPr>
        <w:t>贯彻国家、省、州优抚法规政策，制定具体实施办法并监督执行，负责拥军优属、优待抚恤和烈士褒扬工作；指导全县优抚工作；承担盈江县拥军优属拥政爱民工作领导小组的有关具体工作。负责退役士兵、转业士官、复员干部和军队离退休干部（含退休士官）、军队无军籍退休退职职工的接收、安置工作；负责军地两用人才开发使用工作。</w:t>
      </w:r>
    </w:p>
    <w:p>
      <w:pPr>
        <w:widowControl/>
        <w:shd w:val="clear" w:color="auto" w:fill="FFFFFF"/>
        <w:spacing w:line="580" w:lineRule="exact"/>
        <w:ind w:firstLine="624" w:firstLineChars="200"/>
        <w:jc w:val="left"/>
        <w:rPr>
          <w:rFonts w:ascii="仿宋" w:hAnsi="仿宋" w:eastAsia="仿宋" w:cs="仿宋"/>
          <w:spacing w:val="-4"/>
          <w:kern w:val="0"/>
          <w:sz w:val="32"/>
          <w:szCs w:val="32"/>
        </w:rPr>
      </w:pPr>
      <w:r>
        <w:rPr>
          <w:rFonts w:hint="eastAsia" w:ascii="仿宋" w:hAnsi="仿宋" w:eastAsia="仿宋" w:cs="仿宋"/>
          <w:spacing w:val="-4"/>
          <w:kern w:val="0"/>
          <w:sz w:val="32"/>
          <w:szCs w:val="32"/>
        </w:rPr>
        <w:t>组织、协调全县救灾工作，组织自然灾害救助应急体系建设；组织核查、评估并统一发布灾情，申报、管理、分配救灾款物并监督使用；组织、指导救灾捐赠工作；承担盈江县减灾委员会有关具体工作。</w:t>
      </w:r>
    </w:p>
    <w:p>
      <w:pPr>
        <w:widowControl/>
        <w:shd w:val="clear" w:color="auto" w:fill="FFFFFF"/>
        <w:spacing w:line="580" w:lineRule="exact"/>
        <w:ind w:firstLine="624" w:firstLineChars="200"/>
        <w:jc w:val="left"/>
        <w:rPr>
          <w:rFonts w:ascii="仿宋" w:hAnsi="仿宋" w:eastAsia="仿宋" w:cs="仿宋"/>
          <w:spacing w:val="-4"/>
          <w:kern w:val="0"/>
          <w:sz w:val="32"/>
          <w:szCs w:val="32"/>
        </w:rPr>
      </w:pPr>
      <w:r>
        <w:rPr>
          <w:rFonts w:hint="eastAsia" w:ascii="仿宋" w:hAnsi="仿宋" w:eastAsia="仿宋" w:cs="仿宋"/>
          <w:spacing w:val="-4"/>
          <w:kern w:val="0"/>
          <w:sz w:val="32"/>
          <w:szCs w:val="32"/>
        </w:rPr>
        <w:t>牵头拟订社会救助规划、政策和标准并监督实施，健全城乡社会救助体系，负责城乡居民最低生活保障、医疗救助、临时救助和生活无着落人员救助工作。</w:t>
      </w:r>
    </w:p>
    <w:p>
      <w:pPr>
        <w:widowControl/>
        <w:shd w:val="clear" w:color="auto" w:fill="FFFFFF"/>
        <w:spacing w:line="580" w:lineRule="exact"/>
        <w:ind w:firstLine="624" w:firstLineChars="200"/>
        <w:jc w:val="left"/>
        <w:rPr>
          <w:rFonts w:ascii="仿宋" w:hAnsi="仿宋" w:eastAsia="仿宋" w:cs="仿宋"/>
          <w:spacing w:val="-4"/>
          <w:kern w:val="0"/>
          <w:sz w:val="32"/>
          <w:szCs w:val="32"/>
        </w:rPr>
      </w:pPr>
      <w:r>
        <w:rPr>
          <w:rFonts w:hint="eastAsia" w:ascii="仿宋" w:hAnsi="仿宋" w:eastAsia="仿宋" w:cs="仿宋"/>
          <w:spacing w:val="-4"/>
          <w:kern w:val="0"/>
          <w:sz w:val="32"/>
          <w:szCs w:val="32"/>
        </w:rPr>
        <w:t>拟订城乡基层群众自治建设和社区建设政策，指导社区服务体系建设，提出加强和改进城乡基层政权建设的建议，推动基层民主政治建设。</w:t>
      </w:r>
    </w:p>
    <w:p>
      <w:pPr>
        <w:widowControl/>
        <w:shd w:val="clear" w:color="auto" w:fill="FFFFFF"/>
        <w:spacing w:line="580" w:lineRule="exact"/>
        <w:ind w:firstLine="624" w:firstLineChars="200"/>
        <w:jc w:val="left"/>
        <w:rPr>
          <w:rFonts w:ascii="仿宋" w:hAnsi="仿宋" w:eastAsia="仿宋" w:cs="仿宋"/>
          <w:spacing w:val="-4"/>
          <w:kern w:val="0"/>
          <w:sz w:val="32"/>
          <w:szCs w:val="32"/>
        </w:rPr>
      </w:pPr>
      <w:r>
        <w:rPr>
          <w:rFonts w:hint="eastAsia" w:ascii="仿宋" w:hAnsi="仿宋" w:eastAsia="仿宋" w:cs="仿宋"/>
          <w:spacing w:val="-4"/>
          <w:kern w:val="0"/>
          <w:sz w:val="32"/>
          <w:szCs w:val="32"/>
        </w:rPr>
        <w:t>拟订行政区划发展规划，负责乡镇行政区域的设立、撤销、命名、变更和政府驻地的迁移审核工作，组织、指导行政区域界线的勘定和管理工作，负责有关地名命名、更名的审核。</w:t>
      </w:r>
    </w:p>
    <w:p>
      <w:pPr>
        <w:widowControl/>
        <w:shd w:val="clear" w:color="auto" w:fill="FFFFFF"/>
        <w:spacing w:line="580" w:lineRule="exact"/>
        <w:ind w:firstLine="624" w:firstLineChars="200"/>
        <w:jc w:val="left"/>
        <w:rPr>
          <w:rFonts w:ascii="仿宋" w:hAnsi="仿宋" w:eastAsia="仿宋" w:cs="仿宋"/>
          <w:spacing w:val="-4"/>
          <w:kern w:val="0"/>
          <w:sz w:val="32"/>
          <w:szCs w:val="32"/>
        </w:rPr>
      </w:pPr>
      <w:r>
        <w:rPr>
          <w:rFonts w:hint="eastAsia" w:ascii="仿宋" w:hAnsi="仿宋" w:eastAsia="仿宋" w:cs="仿宋"/>
          <w:spacing w:val="-4"/>
          <w:kern w:val="0"/>
          <w:sz w:val="32"/>
          <w:szCs w:val="32"/>
        </w:rPr>
        <w:t>指导全县老年人、孤儿、和残疾人等特殊群众权益保障工作；落实婚姻管理、殡葬管理和儿童收养政策，负责推进婚俗和殡葬改革，指导婚姻、殡葬、收养、救助服务机构管理工作。</w:t>
      </w:r>
    </w:p>
    <w:p>
      <w:pPr>
        <w:widowControl/>
        <w:shd w:val="clear" w:color="auto" w:fill="FFFFFF"/>
        <w:spacing w:line="580" w:lineRule="exact"/>
        <w:ind w:firstLine="624" w:firstLineChars="200"/>
        <w:jc w:val="left"/>
        <w:rPr>
          <w:rFonts w:ascii="仿宋" w:hAnsi="仿宋" w:eastAsia="仿宋" w:cs="仿宋"/>
          <w:spacing w:val="-4"/>
          <w:kern w:val="0"/>
          <w:sz w:val="32"/>
          <w:szCs w:val="32"/>
        </w:rPr>
      </w:pPr>
      <w:r>
        <w:rPr>
          <w:rFonts w:hint="eastAsia" w:ascii="仿宋" w:hAnsi="仿宋" w:eastAsia="仿宋" w:cs="仿宋"/>
          <w:spacing w:val="-4"/>
          <w:kern w:val="0"/>
          <w:sz w:val="32"/>
          <w:szCs w:val="32"/>
        </w:rPr>
        <w:t>承担依法对社会团体、基金会、民办非企业单位进行登记管理和监察的责任，指导和监督全县社会团体、民办非企业单位的登记管理工作。</w:t>
      </w:r>
    </w:p>
    <w:p>
      <w:pPr>
        <w:widowControl/>
        <w:shd w:val="clear" w:color="auto" w:fill="FFFFFF"/>
        <w:spacing w:line="580" w:lineRule="exact"/>
        <w:ind w:firstLine="624" w:firstLineChars="200"/>
        <w:jc w:val="left"/>
        <w:rPr>
          <w:rFonts w:ascii="仿宋" w:hAnsi="仿宋" w:eastAsia="仿宋" w:cs="仿宋"/>
          <w:spacing w:val="-4"/>
          <w:kern w:val="0"/>
          <w:sz w:val="32"/>
          <w:szCs w:val="32"/>
        </w:rPr>
      </w:pPr>
      <w:r>
        <w:rPr>
          <w:rFonts w:hint="eastAsia" w:ascii="仿宋" w:hAnsi="仿宋" w:eastAsia="仿宋" w:cs="仿宋"/>
          <w:spacing w:val="-4"/>
          <w:kern w:val="0"/>
          <w:sz w:val="32"/>
          <w:szCs w:val="32"/>
        </w:rPr>
        <w:t>会同有关部门拟订社会工作发展规划、政策和职业规范，推进社会工作人才队伍建设和有关志愿者队伍建设。</w:t>
      </w:r>
    </w:p>
    <w:p>
      <w:pPr>
        <w:widowControl/>
        <w:shd w:val="clear" w:color="auto" w:fill="FFFFFF"/>
        <w:spacing w:line="580" w:lineRule="exact"/>
        <w:ind w:firstLine="624" w:firstLineChars="200"/>
        <w:jc w:val="left"/>
        <w:rPr>
          <w:rFonts w:ascii="仿宋" w:hAnsi="仿宋" w:eastAsia="仿宋" w:cs="仿宋"/>
          <w:spacing w:val="-4"/>
          <w:kern w:val="0"/>
          <w:sz w:val="32"/>
          <w:szCs w:val="32"/>
        </w:rPr>
      </w:pPr>
      <w:r>
        <w:rPr>
          <w:rFonts w:hint="eastAsia" w:ascii="仿宋" w:hAnsi="仿宋" w:eastAsia="仿宋" w:cs="仿宋"/>
          <w:spacing w:val="-4"/>
          <w:kern w:val="0"/>
          <w:sz w:val="32"/>
          <w:szCs w:val="32"/>
        </w:rPr>
        <w:t>指导、监督、审计民政事业经费的使用和管理，承办盈江县人民政府交办的其他事项。</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（二）机构设置情况</w:t>
      </w:r>
    </w:p>
    <w:p>
      <w:pPr>
        <w:widowControl/>
        <w:shd w:val="clear" w:color="auto" w:fill="FFFFFF"/>
        <w:spacing w:line="580" w:lineRule="exact"/>
        <w:ind w:firstLine="624" w:firstLineChars="200"/>
        <w:jc w:val="left"/>
        <w:rPr>
          <w:rFonts w:ascii="仿宋" w:hAnsi="仿宋" w:eastAsia="仿宋" w:cs="仿宋"/>
          <w:spacing w:val="-4"/>
          <w:kern w:val="0"/>
          <w:sz w:val="32"/>
          <w:szCs w:val="32"/>
        </w:rPr>
      </w:pPr>
      <w:r>
        <w:rPr>
          <w:rFonts w:hint="eastAsia" w:ascii="仿宋" w:hAnsi="仿宋" w:eastAsia="仿宋" w:cs="仿宋"/>
          <w:spacing w:val="-4"/>
          <w:kern w:val="0"/>
          <w:sz w:val="32"/>
          <w:szCs w:val="32"/>
        </w:rPr>
        <w:t>盈江县民政局内设综合办公室、基层政权和区划地名股、优抚安置股、救灾救济股、社会福利和社会事务股、民间组织管理股、社会救助股等7个职能股室和1个党总支，下设盈江县殡仪馆、盈江县中心敬老院（含弄璋敬老院、盈江县光荣院、盈江县儿童福利院），盏西敬老院、太平敬老院、盈江县居民家庭经济状况核对中心、盈江县军休服务管理点、盈江县儿童福利救助安置指导中心等7个直属单位。有1个副科级事业单位（盈江县老龄工作委员会办公室）。</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（三）重点工作概述</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1.狠抓担当有为，提高政治品格。</w:t>
      </w:r>
      <w:r>
        <w:rPr>
          <w:rFonts w:hint="eastAsia" w:ascii="仿宋" w:hAnsi="仿宋" w:eastAsia="仿宋" w:cs="仿宋"/>
          <w:b/>
          <w:bCs/>
          <w:sz w:val="32"/>
          <w:szCs w:val="32"/>
        </w:rPr>
        <w:t>一是</w:t>
      </w:r>
      <w:r>
        <w:rPr>
          <w:rFonts w:hint="eastAsia" w:ascii="仿宋" w:hAnsi="仿宋" w:eastAsia="仿宋" w:cs="仿宋"/>
          <w:sz w:val="32"/>
          <w:szCs w:val="32"/>
        </w:rPr>
        <w:t>强化组织领导。认真履行主体责任，严格落实“一岗双责”。坚持把学习贯彻习近平新时代中国特色社会主义思想和党的十九大精神作为首要政治任务，牢固树立“四个意识”、坚定“四个自信”、坚决做到“两个维护”，在政治立场、政治方向、政治原则、政治道路上同以习近平同志为核心的党中央保持高度一致。</w:t>
      </w:r>
      <w:r>
        <w:rPr>
          <w:rFonts w:hint="eastAsia" w:ascii="仿宋" w:hAnsi="仿宋" w:eastAsia="仿宋" w:cs="仿宋"/>
          <w:b/>
          <w:bCs/>
          <w:sz w:val="32"/>
          <w:szCs w:val="32"/>
        </w:rPr>
        <w:t>二是</w:t>
      </w:r>
      <w:r>
        <w:rPr>
          <w:rFonts w:hint="eastAsia" w:ascii="仿宋" w:hAnsi="仿宋" w:eastAsia="仿宋" w:cs="仿宋"/>
          <w:sz w:val="32"/>
          <w:szCs w:val="32"/>
        </w:rPr>
        <w:t>紧扣中心大局。按照省、州、县统一部署，坚持以改革聚动力，把准改革方向，认真完成改革任务，民政主业更加凸显。</w:t>
      </w:r>
      <w:r>
        <w:rPr>
          <w:rFonts w:hint="eastAsia" w:ascii="仿宋" w:hAnsi="仿宋" w:eastAsia="仿宋" w:cs="仿宋"/>
          <w:b/>
          <w:bCs/>
          <w:sz w:val="32"/>
          <w:szCs w:val="32"/>
        </w:rPr>
        <w:t>三是</w:t>
      </w:r>
      <w:r>
        <w:rPr>
          <w:rFonts w:hint="eastAsia" w:ascii="仿宋" w:hAnsi="仿宋" w:eastAsia="仿宋" w:cs="仿宋"/>
          <w:sz w:val="32"/>
          <w:szCs w:val="32"/>
        </w:rPr>
        <w:t>落实巡视整改。针对中央第十二巡视组、省委第二巡视组巡视盈江反馈意见，通过制定整改方案、领导带头、落实责任、建立台账、确保长效，认真进行整改并长期坚持。</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2.狠抓责任落实，强化民生保障。</w:t>
      </w:r>
      <w:r>
        <w:rPr>
          <w:rFonts w:hint="eastAsia" w:ascii="仿宋" w:hAnsi="仿宋" w:eastAsia="仿宋" w:cs="仿宋"/>
          <w:b/>
          <w:bCs/>
          <w:sz w:val="32"/>
          <w:szCs w:val="32"/>
        </w:rPr>
        <w:t>一是</w:t>
      </w:r>
      <w:r>
        <w:rPr>
          <w:rFonts w:hint="eastAsia" w:ascii="仿宋" w:hAnsi="仿宋" w:eastAsia="仿宋" w:cs="仿宋"/>
          <w:sz w:val="32"/>
          <w:szCs w:val="32"/>
        </w:rPr>
        <w:t>紧扣“两不愁、三保障”，全面落实社会保障兜底任务，截止2018年12月，全县城乡低保对象7306户19911人。</w:t>
      </w:r>
      <w:r>
        <w:rPr>
          <w:rFonts w:hint="eastAsia" w:ascii="仿宋" w:hAnsi="仿宋" w:eastAsia="仿宋" w:cs="仿宋"/>
          <w:b/>
          <w:bCs/>
          <w:sz w:val="32"/>
          <w:szCs w:val="32"/>
        </w:rPr>
        <w:t>二是</w:t>
      </w:r>
      <w:r>
        <w:rPr>
          <w:rFonts w:hint="eastAsia" w:ascii="仿宋" w:hAnsi="仿宋" w:eastAsia="仿宋" w:cs="仿宋"/>
          <w:sz w:val="32"/>
          <w:szCs w:val="32"/>
        </w:rPr>
        <w:t>提升防灾减灾救灾能力，积极应对年内自然灾害。</w:t>
      </w:r>
      <w:r>
        <w:rPr>
          <w:rFonts w:hint="eastAsia" w:ascii="仿宋" w:hAnsi="仿宋" w:eastAsia="仿宋" w:cs="仿宋"/>
          <w:b/>
          <w:bCs/>
          <w:sz w:val="32"/>
          <w:szCs w:val="32"/>
        </w:rPr>
        <w:t>三是</w:t>
      </w:r>
      <w:r>
        <w:rPr>
          <w:rFonts w:hint="eastAsia" w:ascii="仿宋" w:hAnsi="仿宋" w:eastAsia="仿宋" w:cs="仿宋"/>
          <w:sz w:val="32"/>
          <w:szCs w:val="32"/>
        </w:rPr>
        <w:t>推进专项社会事务管理。</w:t>
      </w:r>
      <w:r>
        <w:rPr>
          <w:rFonts w:hint="eastAsia" w:ascii="仿宋" w:hAnsi="仿宋" w:eastAsia="仿宋" w:cs="仿宋"/>
          <w:b/>
          <w:bCs/>
          <w:sz w:val="32"/>
          <w:szCs w:val="32"/>
        </w:rPr>
        <w:t>四是</w:t>
      </w:r>
      <w:r>
        <w:rPr>
          <w:rFonts w:hint="eastAsia" w:ascii="仿宋" w:hAnsi="仿宋" w:eastAsia="仿宋" w:cs="仿宋"/>
          <w:sz w:val="32"/>
          <w:szCs w:val="32"/>
        </w:rPr>
        <w:t>依法保障优抚对象权益，成功创建云南省第十届双拥模范城（县）。</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3.狠抓基础建设，优化服务功能。</w:t>
      </w:r>
      <w:r>
        <w:rPr>
          <w:rFonts w:hint="eastAsia" w:ascii="仿宋" w:hAnsi="仿宋" w:eastAsia="仿宋" w:cs="仿宋"/>
          <w:b/>
          <w:bCs/>
          <w:sz w:val="32"/>
          <w:szCs w:val="32"/>
        </w:rPr>
        <w:t>一是</w:t>
      </w:r>
      <w:r>
        <w:rPr>
          <w:rFonts w:hint="eastAsia" w:ascii="仿宋" w:hAnsi="仿宋" w:eastAsia="仿宋" w:cs="仿宋"/>
          <w:sz w:val="32"/>
          <w:szCs w:val="32"/>
        </w:rPr>
        <w:t>强化基础设施建设。</w:t>
      </w:r>
      <w:r>
        <w:rPr>
          <w:rFonts w:hint="eastAsia" w:ascii="仿宋" w:hAnsi="仿宋" w:eastAsia="仿宋" w:cs="仿宋"/>
          <w:b/>
          <w:bCs/>
          <w:sz w:val="32"/>
          <w:szCs w:val="32"/>
        </w:rPr>
        <w:t>二是</w:t>
      </w:r>
      <w:r>
        <w:rPr>
          <w:rFonts w:hint="eastAsia" w:ascii="仿宋" w:hAnsi="仿宋" w:eastAsia="仿宋" w:cs="仿宋"/>
          <w:sz w:val="32"/>
          <w:szCs w:val="32"/>
        </w:rPr>
        <w:t>加快养老服务体系建设。</w:t>
      </w:r>
      <w:r>
        <w:rPr>
          <w:rFonts w:hint="eastAsia" w:ascii="仿宋" w:hAnsi="仿宋" w:eastAsia="仿宋" w:cs="仿宋"/>
          <w:b/>
          <w:bCs/>
          <w:sz w:val="32"/>
          <w:szCs w:val="32"/>
        </w:rPr>
        <w:t>三是</w:t>
      </w:r>
      <w:r>
        <w:rPr>
          <w:rFonts w:hint="eastAsia" w:ascii="仿宋" w:hAnsi="仿宋" w:eastAsia="仿宋" w:cs="仿宋"/>
          <w:sz w:val="32"/>
          <w:szCs w:val="32"/>
        </w:rPr>
        <w:t>夯实社会管理基础。</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二、预算单位基本情况</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在职人员编制39人，其中：行政编制10人，事业编制29人。在职实有51人，其中： 财政全供养51人，财政部分供养0人，非财政供养0人。</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离退休人员24人，其中： 离休 0人，退休 24人（军队移交政府安置的退休人员8人、局退休16人）。</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车辆编制4辆，实有车辆3辆。</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三、预算单位收入情况</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（一）部门财务收入情况</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2019年部门财务总收入 2164.73万元，其中：一般公共预算财政拨款2164.73万元，政府性基金预算财政拨款0万元，国有资本经营预算财政拨款0万元，事业收入0万元，事业单位经营收入0万元，其他收入0万元，上年结转0万元。</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（二）财政拨款收入情况</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2019年部门财政拨款收入 2164.73万元，其中:本年收入2164.73万元，上年结转0万元。本年收入中，一般公共预算财政拨款2164.73万元（本级财力2164.73万元，专项收入0万元，执法办案补助0万元，收费成本补偿0万元，财政专户管理的收入0万元，国有资源（资产）有偿使用成本补偿0万元），政府性基金预算财政拨款0万元，国有资本经营预算财政拨款0万元。</w:t>
      </w:r>
    </w:p>
    <w:p>
      <w:pPr>
        <w:widowControl/>
        <w:numPr>
          <w:ilvl w:val="0"/>
          <w:numId w:val="1"/>
        </w:numPr>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预算单位支出情况</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2019年部门预算总支出 2164.73万元。财政拨款安排支出 2164.73万元，其中，基本支出1619.78万元，项目支出544.95万元。</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（一）财政拨款安排支出按功能科目分类情况</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功能科目分组</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2080201项行政运行623.1万元，主要用于盈江县民政局50名在职人员、盈江县中心敬院15名聘用人员、太平敬老院10名聘用人员、盏西敬老院10名聘用人员工资576.02万元、</w:t>
      </w:r>
      <w:r>
        <w:rPr>
          <w:rFonts w:hint="eastAsia" w:ascii="仿宋" w:hAnsi="仿宋" w:eastAsia="仿宋" w:cs="仿宋"/>
          <w:kern w:val="0"/>
          <w:sz w:val="32"/>
          <w:szCs w:val="32"/>
        </w:rPr>
        <w:t>保运转公用经费</w:t>
      </w:r>
      <w:r>
        <w:rPr>
          <w:rFonts w:hint="eastAsia" w:ascii="仿宋" w:hAnsi="仿宋" w:eastAsia="仿宋" w:cs="仿宋"/>
          <w:sz w:val="32"/>
          <w:szCs w:val="32"/>
        </w:rPr>
        <w:t>45.64万元、对个人和家庭的补助支出1.44万元（遗属补助）。</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2080208项基层政权和社区建设123.5万元，主要用于盈江县第七届村“两委”和第六届社区“两委”换届选举工作经费123.5万元。</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2080299项其他民政管理事务支出50万元，主要用于盈江县中心敬院、太平敬老院、盏西敬老院</w:t>
      </w:r>
      <w:r>
        <w:rPr>
          <w:rFonts w:hint="eastAsia" w:ascii="仿宋" w:hAnsi="仿宋" w:eastAsia="仿宋" w:cs="仿宋"/>
          <w:kern w:val="0"/>
          <w:sz w:val="32"/>
          <w:szCs w:val="32"/>
        </w:rPr>
        <w:t>保运转公用经费</w:t>
      </w:r>
      <w:r>
        <w:rPr>
          <w:rFonts w:hint="eastAsia" w:ascii="仿宋" w:hAnsi="仿宋" w:eastAsia="仿宋" w:cs="仿宋"/>
          <w:sz w:val="32"/>
          <w:szCs w:val="32"/>
        </w:rPr>
        <w:t>。</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2080501项归口管理的行政单位离退休0.9万元，主要用于盈江县民政局退休人员学习教育、组织活动、就近就便学习考察、订阅报刊、活动场所设施维护、走访慰问、困难帮扶以及基层党组织建设等必要的经费开支。</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2080502项事业单位离退休0.06万元，主要用于盈江县民政局退休人员学习教育、组织活动、就近就便学习考察、订阅报刊、活动场所设施维护、走访慰问、困难帮扶以及基层党组织建设等必要的经费开支。</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2080505项机关事业单位基本养老保险69.96万元，主要用于</w:t>
      </w:r>
      <w:r>
        <w:rPr>
          <w:rFonts w:hint="eastAsia" w:ascii="仿宋" w:hAnsi="仿宋" w:eastAsia="仿宋" w:cs="仿宋"/>
          <w:kern w:val="0"/>
          <w:sz w:val="32"/>
          <w:szCs w:val="32"/>
        </w:rPr>
        <w:t>盈江县民政局50名在职人员单位缴费基本养老保险。</w:t>
      </w:r>
    </w:p>
    <w:p>
      <w:pPr>
        <w:widowControl/>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2080801项死亡抚恤5.18万元，主要用于盈江县重点优抚对象“三属(烈士遗属、因公牺牲军人遗属和病故军人遗属)”抚恤补助自然增长机制。</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2080802项伤残抚恤5.96万元，主要用于盈江县重点优抚对象“伤残军人”抚恤补助自然增长机制。</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2080803项在乡复员退伍军人生活补助4.63万元，主要用于盈江县重点优抚对象“在乡老复员军人，带病回乡退伍军人”抚恤补助自然增长机制。</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2080805项义务兵优待155万元，主要用于盈江县2017年9月入伍80名义务兵、2018年9月入伍75名义务兵家庭发放优待金。</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2080899项其他优抚支出103.09万元，主要用于盈江县重点优抚对象“部分参战退役人员”“农村籍退役士兵老年生活补助”抚恤补助自然增长机制58.05万元、“1993年至1999年期间军队复员干部”医疗养老保险和生活救助12.31万元、盈江县城镇无工作单位且生活困难的重点优抚对象生活困难补助32.73万元。</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2080901项退役士兵安置61.32万元，主要用于盈江县自主就业退役士兵一次性经济补助（县级承担部分）。</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2080902项军队移交政府的离退休人员安置9.23万元，主要用于军队移交政府的离退休人员退休费。</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2081001项儿童福利79.62万元，主要用于盈江县孤儿、感染艾滋病病毒儿童和事实无人抚养儿童基本生活费49.62万元、盈江县儿童福利院</w:t>
      </w:r>
      <w:r>
        <w:rPr>
          <w:rFonts w:hint="eastAsia" w:ascii="仿宋" w:hAnsi="仿宋" w:eastAsia="仿宋" w:cs="仿宋"/>
          <w:kern w:val="0"/>
          <w:sz w:val="32"/>
          <w:szCs w:val="32"/>
        </w:rPr>
        <w:t>保运转公用经费30万元</w:t>
      </w:r>
      <w:r>
        <w:rPr>
          <w:rFonts w:hint="eastAsia" w:ascii="仿宋" w:hAnsi="仿宋" w:eastAsia="仿宋" w:cs="仿宋"/>
          <w:sz w:val="32"/>
          <w:szCs w:val="32"/>
        </w:rPr>
        <w:t>。</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2081004 殡葬50万元，主要用于盈江县农村和城乡特殊困难群体到殡仪馆进行火化的给予火化奖励金20万元、殡葬补助专项经费（“活人墓”专项清理奖补）30万元。</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2081107项残疾人生活和护理补贴250.78万元，主要用于盈江县困难残疾人生活补贴和重度残疾人护理补贴。</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2081901项城市最低生活保障金支出21.18万元，主要用于盈江县城市最低生活保障对象的生活保障金。</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2081902项农村最低生活保障金支出132.32万元，主要用于盈江县农村最低生活保障对象的保障金。</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2082002项流浪乞讨人员救助支出5万元，主要用于在盈江县生活无着的流浪乞讨人员主动求助、务工不着及投亲无着返乡救助、临时安置及未成年人社会保护等救助保护支出等救助。</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2082101项城市特困人员救助供养支出1.34万元，主要用于盈江县城市特困人员救助供养支出。</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2082102项农村特困人员救助供养支出26.97万元，主要用于盈江县农村特困人员救助供养支出。</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2082501项其他城市生活救助9.5万元，主要用于盈江县发放“揭批查”运动和“两案”刑满释放人员生活困难补助。</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2082502项其他农村生活救助39.11万元，主要用于盈江县六十年代精减职工、原大队离职半脱产干部定期生活补助支出。</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2101301项城乡医疗救助90万元，主要用于盈江县重特大疾病医疗救助资金(县级配套资金)70万元、对具有当地户口的农村五保供养对象、城乡最低生活保障对象及政府规定的其他符合条件的城乡特殊困难人员实施医疗救助县级配套资金20万元。</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2101601项老龄卫生健康事务144.65万元，主要用于盈江县2019年度80周岁至99周岁的高龄老年人保健补助及百岁以上老年人的长寿补助。</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2109901项其他卫生健康支出21.69万元，主要用于盈江县建档立卡贫困人口医疗救助县级补助资金。</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2200199 其他自然资源事务支出21.26万元，主要用于助缴盈江县62527户农村群众参加农房火灾商业保险，确保农村居民在住房发生火灾等自然灾害后，得到及时赔付。不致因灾无房住，因灾致贫，解出了农民群众后顾之忧，有效维护社会稳定。</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2210201项住房公积金55.55万元。主要用于盈江县在职人员住房公积金。</w:t>
      </w:r>
    </w:p>
    <w:p>
      <w:pPr>
        <w:widowControl/>
        <w:numPr>
          <w:ilvl w:val="0"/>
          <w:numId w:val="2"/>
        </w:numPr>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财政拨款安排支出按经济科目分类情况</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经济科目分类</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2080201项行政运行623.1万元，用于</w:t>
      </w:r>
      <w:r>
        <w:rPr>
          <w:rFonts w:hint="eastAsia" w:ascii="仿宋" w:hAnsi="仿宋" w:eastAsia="仿宋" w:cs="仿宋"/>
          <w:kern w:val="0"/>
          <w:sz w:val="32"/>
          <w:szCs w:val="32"/>
        </w:rPr>
        <w:t>301类工资福利支出576.02万元，302商品和服务支出45.64万元、303对个人和家庭的补助1.44万元。</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2080208项基层政权和社区建设123.5万元，用于</w:t>
      </w:r>
      <w:r>
        <w:rPr>
          <w:rFonts w:hint="eastAsia" w:ascii="仿宋" w:hAnsi="仿宋" w:eastAsia="仿宋" w:cs="仿宋"/>
          <w:kern w:val="0"/>
          <w:sz w:val="32"/>
          <w:szCs w:val="32"/>
        </w:rPr>
        <w:t>302类商品和服务支出120.5万元、310资本性支出3万元。</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2080299项其他民政管理事务支出50万元，用于</w:t>
      </w:r>
      <w:r>
        <w:rPr>
          <w:rFonts w:hint="eastAsia" w:ascii="仿宋" w:hAnsi="仿宋" w:eastAsia="仿宋" w:cs="仿宋"/>
          <w:kern w:val="0"/>
          <w:sz w:val="32"/>
          <w:szCs w:val="32"/>
        </w:rPr>
        <w:t>302类商品和服务支出50万元。</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2080501项归口管理的行政单位离退休0.9万元，用于</w:t>
      </w:r>
      <w:r>
        <w:rPr>
          <w:rFonts w:hint="eastAsia" w:ascii="仿宋" w:hAnsi="仿宋" w:eastAsia="仿宋" w:cs="仿宋"/>
          <w:kern w:val="0"/>
          <w:sz w:val="32"/>
          <w:szCs w:val="32"/>
        </w:rPr>
        <w:t>302类商品和服务支出0.9万元。</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2080502项事业单位离退休0.06万元，用于</w:t>
      </w:r>
      <w:r>
        <w:rPr>
          <w:rFonts w:hint="eastAsia" w:ascii="仿宋" w:hAnsi="仿宋" w:eastAsia="仿宋" w:cs="仿宋"/>
          <w:kern w:val="0"/>
          <w:sz w:val="32"/>
          <w:szCs w:val="32"/>
        </w:rPr>
        <w:t>302类商品和服务支出0.06万元。</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2080505项机关事业单位基本养老保险69.96万元，用于</w:t>
      </w:r>
      <w:r>
        <w:rPr>
          <w:rFonts w:hint="eastAsia" w:ascii="仿宋" w:hAnsi="仿宋" w:eastAsia="仿宋" w:cs="仿宋"/>
          <w:kern w:val="0"/>
          <w:sz w:val="32"/>
          <w:szCs w:val="32"/>
        </w:rPr>
        <w:t>301类工资福利支出69.96万元。</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2080801项死亡抚恤5.18万元，用于</w:t>
      </w:r>
      <w:r>
        <w:rPr>
          <w:rFonts w:hint="eastAsia" w:ascii="仿宋" w:hAnsi="仿宋" w:eastAsia="仿宋" w:cs="仿宋"/>
          <w:kern w:val="0"/>
          <w:sz w:val="32"/>
          <w:szCs w:val="32"/>
        </w:rPr>
        <w:t>303类对个人和家庭的补助5.18万元。</w:t>
      </w:r>
    </w:p>
    <w:p>
      <w:pPr>
        <w:widowControl/>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2080802项伤残抚恤5.96万元，用于</w:t>
      </w:r>
      <w:r>
        <w:rPr>
          <w:rFonts w:hint="eastAsia" w:ascii="仿宋" w:hAnsi="仿宋" w:eastAsia="仿宋" w:cs="仿宋"/>
          <w:kern w:val="0"/>
          <w:sz w:val="32"/>
          <w:szCs w:val="32"/>
        </w:rPr>
        <w:t>303类对个人和家庭的补助5.96万元。</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2080803项在乡复员退伍军人生活补助4.63万元，用于</w:t>
      </w:r>
      <w:r>
        <w:rPr>
          <w:rFonts w:hint="eastAsia" w:ascii="仿宋" w:hAnsi="仿宋" w:eastAsia="仿宋" w:cs="仿宋"/>
          <w:kern w:val="0"/>
          <w:sz w:val="32"/>
          <w:szCs w:val="32"/>
        </w:rPr>
        <w:t>303类对个人和家庭的补助4.63万元。</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2080805项义务兵优待155万元，用于</w:t>
      </w:r>
      <w:r>
        <w:rPr>
          <w:rFonts w:hint="eastAsia" w:ascii="仿宋" w:hAnsi="仿宋" w:eastAsia="仿宋" w:cs="仿宋"/>
          <w:kern w:val="0"/>
          <w:sz w:val="32"/>
          <w:szCs w:val="32"/>
        </w:rPr>
        <w:t>303类对个人和家庭的补助155万元。</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2080899项其他优抚支出103.09万元，其中：</w:t>
      </w:r>
      <w:r>
        <w:rPr>
          <w:rFonts w:hint="eastAsia" w:ascii="仿宋" w:hAnsi="仿宋" w:eastAsia="仿宋" w:cs="仿宋"/>
          <w:kern w:val="0"/>
          <w:sz w:val="32"/>
          <w:szCs w:val="32"/>
        </w:rPr>
        <w:t>303对个人和家庭的补助103.09万元。</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2080901项退役士兵安置61.32万元，其中：</w:t>
      </w:r>
      <w:r>
        <w:rPr>
          <w:rFonts w:hint="eastAsia" w:ascii="仿宋" w:hAnsi="仿宋" w:eastAsia="仿宋" w:cs="仿宋"/>
          <w:kern w:val="0"/>
          <w:sz w:val="32"/>
          <w:szCs w:val="32"/>
        </w:rPr>
        <w:t>303对个人和家庭的补助61.32万元。</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2080902项军队移交政府的离退休人员安置9.23万元，用于</w:t>
      </w:r>
      <w:r>
        <w:rPr>
          <w:rFonts w:hint="eastAsia" w:ascii="仿宋" w:hAnsi="仿宋" w:eastAsia="仿宋" w:cs="仿宋"/>
          <w:kern w:val="0"/>
          <w:sz w:val="32"/>
          <w:szCs w:val="32"/>
        </w:rPr>
        <w:t>303类对个人和家庭的补助9.23万元。</w:t>
      </w:r>
    </w:p>
    <w:p>
      <w:pPr>
        <w:spacing w:line="58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2081001项儿童福利79.62万元，用于</w:t>
      </w:r>
      <w:r>
        <w:rPr>
          <w:rFonts w:hint="eastAsia" w:ascii="仿宋" w:hAnsi="仿宋" w:eastAsia="仿宋" w:cs="仿宋"/>
          <w:kern w:val="0"/>
          <w:sz w:val="32"/>
          <w:szCs w:val="32"/>
        </w:rPr>
        <w:t>302类商品和服务支出27万元。303对个人和家庭的补助52.62万元。</w:t>
      </w:r>
    </w:p>
    <w:p>
      <w:pPr>
        <w:spacing w:line="58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2081004 殡葬50万元，用于</w:t>
      </w:r>
      <w:r>
        <w:rPr>
          <w:rFonts w:hint="eastAsia" w:ascii="仿宋" w:hAnsi="仿宋" w:eastAsia="仿宋" w:cs="仿宋"/>
          <w:kern w:val="0"/>
          <w:sz w:val="32"/>
          <w:szCs w:val="32"/>
        </w:rPr>
        <w:t>303类对个人和家庭的补助50万元。</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2081107项残疾人生活和护理补贴250.78万元，用于</w:t>
      </w:r>
      <w:r>
        <w:rPr>
          <w:rFonts w:hint="eastAsia" w:ascii="仿宋" w:hAnsi="仿宋" w:eastAsia="仿宋" w:cs="仿宋"/>
          <w:kern w:val="0"/>
          <w:sz w:val="32"/>
          <w:szCs w:val="32"/>
        </w:rPr>
        <w:t>303类对个人和家庭的补助250.78万元。</w:t>
      </w:r>
    </w:p>
    <w:p>
      <w:pPr>
        <w:spacing w:line="58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2081901项城市最低生活保障金支出21.18万元，用于</w:t>
      </w:r>
      <w:r>
        <w:rPr>
          <w:rFonts w:hint="eastAsia" w:ascii="仿宋" w:hAnsi="仿宋" w:eastAsia="仿宋" w:cs="仿宋"/>
          <w:kern w:val="0"/>
          <w:sz w:val="32"/>
          <w:szCs w:val="32"/>
        </w:rPr>
        <w:t>303类对个人和家庭的补助21.18万元。</w:t>
      </w:r>
    </w:p>
    <w:p>
      <w:pPr>
        <w:spacing w:line="58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2081902项农村最低生活保障金支出132.32万元，用于</w:t>
      </w:r>
      <w:r>
        <w:rPr>
          <w:rFonts w:hint="eastAsia" w:ascii="仿宋" w:hAnsi="仿宋" w:eastAsia="仿宋" w:cs="仿宋"/>
          <w:kern w:val="0"/>
          <w:sz w:val="32"/>
          <w:szCs w:val="32"/>
        </w:rPr>
        <w:t>303类对个人和家庭的补助132.32万元。</w:t>
      </w:r>
    </w:p>
    <w:p>
      <w:pPr>
        <w:spacing w:line="58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2082002项流浪乞讨人员救助支出5万元，用于</w:t>
      </w:r>
      <w:r>
        <w:rPr>
          <w:rFonts w:hint="eastAsia" w:ascii="仿宋" w:hAnsi="仿宋" w:eastAsia="仿宋" w:cs="仿宋"/>
          <w:kern w:val="0"/>
          <w:sz w:val="32"/>
          <w:szCs w:val="32"/>
        </w:rPr>
        <w:t>303类对个人和家庭的补助5万元。</w:t>
      </w:r>
    </w:p>
    <w:p>
      <w:pPr>
        <w:spacing w:line="58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2082101项城市特困人员救助供养支出1.34万元，用于</w:t>
      </w:r>
      <w:r>
        <w:rPr>
          <w:rFonts w:hint="eastAsia" w:ascii="仿宋" w:hAnsi="仿宋" w:eastAsia="仿宋" w:cs="仿宋"/>
          <w:kern w:val="0"/>
          <w:sz w:val="32"/>
          <w:szCs w:val="32"/>
        </w:rPr>
        <w:t>303类对个人和家庭的补助1.34万元。</w:t>
      </w:r>
    </w:p>
    <w:p>
      <w:pPr>
        <w:spacing w:line="58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2082102项农村特困人员救助供养支出26.97万元，用于</w:t>
      </w:r>
      <w:r>
        <w:rPr>
          <w:rFonts w:hint="eastAsia" w:ascii="仿宋" w:hAnsi="仿宋" w:eastAsia="仿宋" w:cs="仿宋"/>
          <w:kern w:val="0"/>
          <w:sz w:val="32"/>
          <w:szCs w:val="32"/>
        </w:rPr>
        <w:t>303类对个人和家庭的补助26.97万元。</w:t>
      </w:r>
    </w:p>
    <w:p>
      <w:pPr>
        <w:spacing w:line="58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2082501项其他城市生活救助9.5万元，用于</w:t>
      </w:r>
      <w:r>
        <w:rPr>
          <w:rFonts w:hint="eastAsia" w:ascii="仿宋" w:hAnsi="仿宋" w:eastAsia="仿宋" w:cs="仿宋"/>
          <w:kern w:val="0"/>
          <w:sz w:val="32"/>
          <w:szCs w:val="32"/>
        </w:rPr>
        <w:t>303类对个人和家庭的补助9.5万元。</w:t>
      </w:r>
    </w:p>
    <w:p>
      <w:pPr>
        <w:spacing w:line="58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2082502项其他农村生活救助39.11万元，用于</w:t>
      </w:r>
      <w:r>
        <w:rPr>
          <w:rFonts w:hint="eastAsia" w:ascii="仿宋" w:hAnsi="仿宋" w:eastAsia="仿宋" w:cs="仿宋"/>
          <w:kern w:val="0"/>
          <w:sz w:val="32"/>
          <w:szCs w:val="32"/>
        </w:rPr>
        <w:t>303类对个人和家庭的补助39.11万元。</w:t>
      </w:r>
    </w:p>
    <w:p>
      <w:pPr>
        <w:spacing w:line="58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2101301项城乡医疗救助90万元，用于</w:t>
      </w:r>
      <w:r>
        <w:rPr>
          <w:rFonts w:hint="eastAsia" w:ascii="仿宋" w:hAnsi="仿宋" w:eastAsia="仿宋" w:cs="仿宋"/>
          <w:kern w:val="0"/>
          <w:sz w:val="32"/>
          <w:szCs w:val="32"/>
        </w:rPr>
        <w:t>303类对个人和家庭的补助90万元。</w:t>
      </w:r>
    </w:p>
    <w:p>
      <w:pPr>
        <w:spacing w:line="580" w:lineRule="exact"/>
        <w:ind w:firstLine="640" w:firstLineChars="200"/>
        <w:rPr>
          <w:rFonts w:ascii="仿宋" w:hAnsi="仿宋" w:eastAsia="仿宋" w:cs="仿宋"/>
          <w:kern w:val="0"/>
          <w:sz w:val="32"/>
          <w:szCs w:val="32"/>
        </w:rPr>
      </w:pPr>
      <w:r>
        <w:rPr>
          <w:rFonts w:hint="eastAsia" w:ascii="仿宋" w:hAnsi="仿宋" w:eastAsia="仿宋" w:cs="仿宋"/>
          <w:sz w:val="32"/>
          <w:szCs w:val="32"/>
        </w:rPr>
        <w:t>2101601项老龄卫生健康事务144.65万元，用于</w:t>
      </w:r>
      <w:r>
        <w:rPr>
          <w:rFonts w:hint="eastAsia" w:ascii="仿宋" w:hAnsi="仿宋" w:eastAsia="仿宋" w:cs="仿宋"/>
          <w:kern w:val="0"/>
          <w:sz w:val="32"/>
          <w:szCs w:val="32"/>
        </w:rPr>
        <w:t>303类对个人和家庭的补助144.65万元。</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2109901项其他卫生健康支出21.69万元，用于</w:t>
      </w:r>
      <w:r>
        <w:rPr>
          <w:rFonts w:hint="eastAsia" w:ascii="仿宋" w:hAnsi="仿宋" w:eastAsia="仿宋" w:cs="仿宋"/>
          <w:kern w:val="0"/>
          <w:sz w:val="32"/>
          <w:szCs w:val="32"/>
        </w:rPr>
        <w:t>303类对个人和家庭的补助21.69万元。</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2200199 其他自然资源事务支出21.26万元，用于</w:t>
      </w:r>
      <w:r>
        <w:rPr>
          <w:rFonts w:hint="eastAsia" w:ascii="仿宋" w:hAnsi="仿宋" w:eastAsia="仿宋" w:cs="仿宋"/>
          <w:kern w:val="0"/>
          <w:sz w:val="32"/>
          <w:szCs w:val="32"/>
        </w:rPr>
        <w:t>303类对个人和家庭的补助21.26万元。</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2210201项住房公积金55.55万元。用于</w:t>
      </w:r>
      <w:r>
        <w:rPr>
          <w:rFonts w:hint="eastAsia" w:ascii="仿宋" w:hAnsi="仿宋" w:eastAsia="仿宋" w:cs="仿宋"/>
          <w:kern w:val="0"/>
          <w:sz w:val="32"/>
          <w:szCs w:val="32"/>
        </w:rPr>
        <w:t>301类工资福利支出55.55万元。</w:t>
      </w:r>
    </w:p>
    <w:p>
      <w:pPr>
        <w:widowControl/>
        <w:numPr>
          <w:ilvl w:val="0"/>
          <w:numId w:val="3"/>
        </w:numPr>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县对下专项转移支付情况</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本单位2019年无县对下专项转移支付项目。</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六、政府采购预算情况</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无</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七、预算收支增减变化情况说明</w:t>
      </w:r>
    </w:p>
    <w:p>
      <w:pPr>
        <w:widowControl/>
        <w:numPr>
          <w:ilvl w:val="0"/>
          <w:numId w:val="4"/>
        </w:numPr>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部门“三公”经费增减变化情况及原因说明</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2019年一般公共预算三公经费支出预算数17万元与上年持平，公务接待费预算5万元与上年持平，公务用车运行维护费12万元与上年持平，</w:t>
      </w:r>
    </w:p>
    <w:p>
      <w:pPr>
        <w:widowControl/>
        <w:numPr>
          <w:ilvl w:val="0"/>
          <w:numId w:val="4"/>
        </w:num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部门预算财政拨款收入增减变化情况及原因说明</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2019年部门预算财政拨款收入2164.73万元，较2018年2227.95万元减少63.22万元，下降2.84%，减少的主要原因是城乡低保对象精准识别后，残疾人生活补贴对象为低保家庭中的残疾人，城乡低保对象减少，</w:t>
      </w:r>
      <w:r>
        <w:rPr>
          <w:rFonts w:hint="eastAsia" w:ascii="仿宋" w:hAnsi="仿宋" w:eastAsia="仿宋" w:cs="仿宋"/>
          <w:kern w:val="0"/>
          <w:sz w:val="32"/>
          <w:szCs w:val="32"/>
        </w:rPr>
        <w:t>残疾人生活补贴随着减少。</w:t>
      </w:r>
    </w:p>
    <w:p>
      <w:pPr>
        <w:widowControl/>
        <w:spacing w:line="580" w:lineRule="exact"/>
        <w:ind w:firstLine="640" w:firstLineChars="200"/>
        <w:jc w:val="left"/>
        <w:rPr>
          <w:rFonts w:ascii="仿宋" w:hAnsi="仿宋" w:eastAsia="仿宋" w:cs="仿宋"/>
          <w:sz w:val="32"/>
          <w:szCs w:val="32"/>
        </w:rPr>
      </w:pPr>
      <w:r>
        <w:rPr>
          <w:rFonts w:hint="eastAsia" w:ascii="仿宋" w:hAnsi="仿宋" w:eastAsia="仿宋" w:cs="仿宋"/>
          <w:kern w:val="0"/>
          <w:sz w:val="32"/>
          <w:szCs w:val="32"/>
        </w:rPr>
        <w:t>（三）部门基本支出</w:t>
      </w:r>
      <w:r>
        <w:rPr>
          <w:rFonts w:hint="eastAsia" w:ascii="仿宋" w:hAnsi="仿宋" w:eastAsia="仿宋" w:cs="仿宋"/>
          <w:sz w:val="32"/>
          <w:szCs w:val="32"/>
        </w:rPr>
        <w:t>增减变化情况及原因说明</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2019 年部门基本支出1619.78万元，比上年1849.16万元减少229.38万元，下降12.4%，</w:t>
      </w:r>
      <w:r>
        <w:rPr>
          <w:rFonts w:hint="eastAsia" w:ascii="仿宋" w:hAnsi="仿宋" w:eastAsia="仿宋" w:cs="仿宋"/>
          <w:sz w:val="32"/>
          <w:szCs w:val="32"/>
        </w:rPr>
        <w:t>减少的主要原因是城乡低保对象精准识别后，残疾人生活补贴对象为低保家庭中的残疾人，城乡低保对象减少，</w:t>
      </w:r>
      <w:r>
        <w:rPr>
          <w:rFonts w:hint="eastAsia" w:ascii="仿宋" w:hAnsi="仿宋" w:eastAsia="仿宋" w:cs="仿宋"/>
          <w:kern w:val="0"/>
          <w:sz w:val="32"/>
          <w:szCs w:val="32"/>
        </w:rPr>
        <w:t>残疾人生活补贴随着减少。</w:t>
      </w:r>
    </w:p>
    <w:p>
      <w:pPr>
        <w:widowControl/>
        <w:spacing w:line="580" w:lineRule="exact"/>
        <w:ind w:firstLine="640" w:firstLineChars="200"/>
        <w:jc w:val="left"/>
        <w:rPr>
          <w:rFonts w:ascii="仿宋" w:hAnsi="仿宋" w:eastAsia="仿宋" w:cs="仿宋"/>
          <w:sz w:val="32"/>
          <w:szCs w:val="32"/>
        </w:rPr>
      </w:pPr>
      <w:r>
        <w:rPr>
          <w:rFonts w:hint="eastAsia" w:ascii="仿宋" w:hAnsi="仿宋" w:eastAsia="仿宋" w:cs="仿宋"/>
          <w:kern w:val="0"/>
          <w:sz w:val="32"/>
          <w:szCs w:val="32"/>
        </w:rPr>
        <w:t>（四）部门项目支出</w:t>
      </w:r>
      <w:r>
        <w:rPr>
          <w:rFonts w:hint="eastAsia" w:ascii="仿宋" w:hAnsi="仿宋" w:eastAsia="仿宋" w:cs="仿宋"/>
          <w:sz w:val="32"/>
          <w:szCs w:val="32"/>
        </w:rPr>
        <w:t>增减变化情况及原因说明</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2019 年部门项目支出544.95万元，比上年378.79万元增加166.16万元，增加43.86%，增加的主要原因是：盈江县第七届村“两委”和第六届社区“两委”换届选举工作经费、</w:t>
      </w:r>
      <w:r>
        <w:rPr>
          <w:rFonts w:hint="eastAsia" w:ascii="仿宋" w:hAnsi="仿宋" w:eastAsia="仿宋" w:cs="仿宋"/>
          <w:sz w:val="32"/>
          <w:szCs w:val="32"/>
        </w:rPr>
        <w:t>特殊困难群体到殡仪馆进行火化补助、</w:t>
      </w:r>
      <w:r>
        <w:rPr>
          <w:rFonts w:hint="eastAsia" w:ascii="仿宋" w:hAnsi="仿宋" w:eastAsia="仿宋" w:cs="仿宋"/>
          <w:kern w:val="0"/>
          <w:sz w:val="32"/>
          <w:szCs w:val="32"/>
        </w:rPr>
        <w:t>盈江县“活人墓”专项清理整治奖补资金增加。</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八、其他公开信息</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（一）专业名词解释</w:t>
      </w:r>
    </w:p>
    <w:p>
      <w:pPr>
        <w:pStyle w:val="8"/>
        <w:widowControl/>
        <w:numPr>
          <w:ilvl w:val="0"/>
          <w:numId w:val="5"/>
        </w:numPr>
        <w:spacing w:line="580" w:lineRule="exact"/>
        <w:ind w:firstLine="640" w:firstLineChars="200"/>
        <w:rPr>
          <w:rFonts w:ascii="仿宋" w:hAnsi="仿宋" w:eastAsia="仿宋" w:cs="仿宋"/>
          <w:sz w:val="32"/>
          <w:szCs w:val="32"/>
        </w:rPr>
      </w:pPr>
      <w:r>
        <w:rPr>
          <w:rStyle w:val="12"/>
          <w:rFonts w:hint="eastAsia" w:ascii="仿宋" w:hAnsi="仿宋" w:eastAsia="仿宋" w:cs="仿宋"/>
          <w:b w:val="0"/>
          <w:sz w:val="32"/>
          <w:szCs w:val="32"/>
        </w:rPr>
        <w:t>财政拨款（补助）收入</w:t>
      </w:r>
      <w:r>
        <w:rPr>
          <w:rFonts w:hint="eastAsia" w:ascii="仿宋" w:hAnsi="仿宋" w:eastAsia="仿宋" w:cs="仿宋"/>
          <w:sz w:val="32"/>
          <w:szCs w:val="32"/>
        </w:rPr>
        <w:t xml:space="preserve">指财政部门当年拨付的资金。 </w:t>
      </w:r>
    </w:p>
    <w:p>
      <w:pPr>
        <w:pStyle w:val="8"/>
        <w:widowControl/>
        <w:numPr>
          <w:ilvl w:val="0"/>
          <w:numId w:val="5"/>
        </w:numPr>
        <w:spacing w:line="580" w:lineRule="exact"/>
        <w:ind w:firstLine="640" w:firstLineChars="200"/>
        <w:rPr>
          <w:rFonts w:ascii="仿宋" w:hAnsi="仿宋" w:eastAsia="仿宋" w:cs="仿宋"/>
          <w:sz w:val="32"/>
          <w:szCs w:val="32"/>
        </w:rPr>
      </w:pPr>
      <w:r>
        <w:rPr>
          <w:rStyle w:val="12"/>
          <w:rFonts w:hint="eastAsia" w:ascii="仿宋" w:hAnsi="仿宋" w:eastAsia="仿宋" w:cs="仿宋"/>
          <w:b w:val="0"/>
          <w:bCs/>
          <w:sz w:val="32"/>
          <w:szCs w:val="32"/>
        </w:rPr>
        <w:t>事业收入</w:t>
      </w:r>
      <w:r>
        <w:rPr>
          <w:rFonts w:hint="eastAsia" w:ascii="仿宋" w:hAnsi="仿宋" w:eastAsia="仿宋" w:cs="仿宋"/>
          <w:sz w:val="32"/>
          <w:szCs w:val="32"/>
        </w:rPr>
        <w:t>指事业单位开展业务活动取得的收入。</w:t>
      </w:r>
    </w:p>
    <w:p>
      <w:pPr>
        <w:pStyle w:val="8"/>
        <w:widowControl/>
        <w:numPr>
          <w:ilvl w:val="0"/>
          <w:numId w:val="5"/>
        </w:numPr>
        <w:spacing w:line="580" w:lineRule="exact"/>
        <w:ind w:firstLine="640" w:firstLineChars="200"/>
        <w:rPr>
          <w:rFonts w:ascii="仿宋" w:hAnsi="仿宋" w:eastAsia="仿宋" w:cs="仿宋"/>
          <w:sz w:val="32"/>
          <w:szCs w:val="32"/>
        </w:rPr>
      </w:pPr>
      <w:r>
        <w:rPr>
          <w:rStyle w:val="12"/>
          <w:rFonts w:hint="eastAsia" w:ascii="仿宋" w:hAnsi="仿宋" w:eastAsia="仿宋" w:cs="仿宋"/>
          <w:b w:val="0"/>
          <w:bCs/>
          <w:sz w:val="32"/>
          <w:szCs w:val="32"/>
        </w:rPr>
        <w:t>事业单位经营收入</w:t>
      </w:r>
      <w:r>
        <w:rPr>
          <w:rFonts w:hint="eastAsia" w:ascii="仿宋" w:hAnsi="仿宋" w:eastAsia="仿宋" w:cs="仿宋"/>
          <w:sz w:val="32"/>
          <w:szCs w:val="32"/>
        </w:rPr>
        <w:t xml:space="preserve">指事业单位在业务活动之外开展非独立核算经营活动取得的收入。 </w:t>
      </w:r>
    </w:p>
    <w:p>
      <w:pPr>
        <w:pStyle w:val="8"/>
        <w:widowControl/>
        <w:numPr>
          <w:ilvl w:val="0"/>
          <w:numId w:val="5"/>
        </w:numPr>
        <w:spacing w:line="580" w:lineRule="exact"/>
        <w:ind w:firstLine="640" w:firstLineChars="200"/>
        <w:rPr>
          <w:rFonts w:ascii="仿宋" w:hAnsi="仿宋" w:eastAsia="仿宋" w:cs="仿宋"/>
          <w:sz w:val="32"/>
          <w:szCs w:val="32"/>
        </w:rPr>
      </w:pPr>
      <w:r>
        <w:rPr>
          <w:rStyle w:val="12"/>
          <w:rFonts w:hint="eastAsia" w:ascii="仿宋" w:hAnsi="仿宋" w:eastAsia="仿宋" w:cs="仿宋"/>
          <w:b w:val="0"/>
          <w:bCs/>
          <w:sz w:val="32"/>
          <w:szCs w:val="32"/>
        </w:rPr>
        <w:t>其他收入</w:t>
      </w:r>
      <w:r>
        <w:rPr>
          <w:rFonts w:hint="eastAsia" w:ascii="仿宋" w:hAnsi="仿宋" w:eastAsia="仿宋" w:cs="仿宋"/>
          <w:sz w:val="32"/>
          <w:szCs w:val="32"/>
        </w:rPr>
        <w:t xml:space="preserve">指预算单位在“财政拨款收入”、“事业收入”、“经营收入”之外取得的收入。 </w:t>
      </w:r>
    </w:p>
    <w:p>
      <w:pPr>
        <w:pStyle w:val="8"/>
        <w:widowControl/>
        <w:numPr>
          <w:ilvl w:val="0"/>
          <w:numId w:val="5"/>
        </w:numPr>
        <w:spacing w:line="580" w:lineRule="exact"/>
        <w:ind w:firstLine="640" w:firstLineChars="200"/>
        <w:rPr>
          <w:rFonts w:ascii="仿宋" w:hAnsi="仿宋" w:eastAsia="仿宋" w:cs="仿宋"/>
          <w:sz w:val="32"/>
          <w:szCs w:val="32"/>
        </w:rPr>
      </w:pPr>
      <w:r>
        <w:rPr>
          <w:rStyle w:val="12"/>
          <w:rFonts w:hint="eastAsia" w:ascii="仿宋" w:hAnsi="仿宋" w:eastAsia="仿宋" w:cs="仿宋"/>
          <w:b w:val="0"/>
          <w:bCs/>
          <w:sz w:val="32"/>
          <w:szCs w:val="32"/>
        </w:rPr>
        <w:t>基本支出</w:t>
      </w:r>
      <w:r>
        <w:rPr>
          <w:rFonts w:hint="eastAsia" w:ascii="仿宋" w:hAnsi="仿宋" w:eastAsia="仿宋" w:cs="仿宋"/>
          <w:sz w:val="32"/>
          <w:szCs w:val="32"/>
        </w:rPr>
        <w:t>指为保障机构正常运转、完成日常工作任务而发生的人员支出和公用支出。</w:t>
      </w:r>
    </w:p>
    <w:p>
      <w:pPr>
        <w:pStyle w:val="8"/>
        <w:widowControl/>
        <w:numPr>
          <w:ilvl w:val="0"/>
          <w:numId w:val="5"/>
        </w:numPr>
        <w:spacing w:line="580" w:lineRule="exact"/>
        <w:ind w:firstLine="640" w:firstLineChars="200"/>
        <w:rPr>
          <w:rFonts w:ascii="仿宋" w:hAnsi="仿宋" w:eastAsia="仿宋" w:cs="仿宋"/>
          <w:sz w:val="32"/>
          <w:szCs w:val="32"/>
        </w:rPr>
      </w:pPr>
      <w:r>
        <w:rPr>
          <w:rStyle w:val="12"/>
          <w:rFonts w:hint="eastAsia" w:ascii="仿宋" w:hAnsi="仿宋" w:eastAsia="仿宋" w:cs="仿宋"/>
          <w:b w:val="0"/>
          <w:bCs/>
          <w:sz w:val="32"/>
          <w:szCs w:val="32"/>
        </w:rPr>
        <w:t>项目支出</w:t>
      </w:r>
      <w:r>
        <w:rPr>
          <w:rFonts w:hint="eastAsia" w:ascii="仿宋" w:hAnsi="仿宋" w:eastAsia="仿宋" w:cs="仿宋"/>
          <w:sz w:val="32"/>
          <w:szCs w:val="32"/>
        </w:rPr>
        <w:t xml:space="preserve">指在基本支出之外为完成相关行政任务和事业发展目标所发生的支出。 </w:t>
      </w:r>
    </w:p>
    <w:p>
      <w:pPr>
        <w:widowControl/>
        <w:numPr>
          <w:ilvl w:val="0"/>
          <w:numId w:val="5"/>
        </w:numPr>
        <w:snapToGrid w:val="0"/>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widowControl/>
        <w:numPr>
          <w:ilvl w:val="0"/>
          <w:numId w:val="5"/>
        </w:numPr>
        <w:snapToGrid w:val="0"/>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numPr>
          <w:ilvl w:val="0"/>
          <w:numId w:val="5"/>
        </w:numPr>
        <w:snapToGrid w:val="0"/>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一般公共预算是对以税收为主体的财政收入，安排用于保障和改善民生、推动经济社会发展、维护国家安全、维护国家机构正常运转等方面的收支预算。</w:t>
      </w:r>
    </w:p>
    <w:p>
      <w:pPr>
        <w:widowControl/>
        <w:numPr>
          <w:ilvl w:val="0"/>
          <w:numId w:val="5"/>
        </w:numPr>
        <w:snapToGrid w:val="0"/>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非税收入是各级政府及其所属部门和单位依法利用行政权力、政府信誉、国家资源、国有资产或提供特定公共服务征收、收取、提取、募集的除税收和政府债务收入以外的财政收入。</w:t>
      </w:r>
    </w:p>
    <w:p>
      <w:pPr>
        <w:widowControl/>
        <w:numPr>
          <w:ilvl w:val="0"/>
          <w:numId w:val="5"/>
        </w:numPr>
        <w:snapToGrid w:val="0"/>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工资福利支出反映单位开支的在职职工和编制外长期聘用人员的各类劳动报酬，以及为上述人员缴纳的各项社会保险费等。</w:t>
      </w:r>
    </w:p>
    <w:p>
      <w:pPr>
        <w:widowControl/>
        <w:numPr>
          <w:ilvl w:val="0"/>
          <w:numId w:val="5"/>
        </w:numPr>
        <w:snapToGrid w:val="0"/>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商品和服务支出反映单位购买商品和服务的支出（不包括用于购置固定资产的支出、战略性和应急储备支出）。</w:t>
      </w:r>
    </w:p>
    <w:p>
      <w:pPr>
        <w:widowControl/>
        <w:numPr>
          <w:ilvl w:val="0"/>
          <w:numId w:val="5"/>
        </w:numPr>
        <w:snapToGrid w:val="0"/>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对个人和家庭的补助反映政府用于对个人和家庭的补助支出。</w:t>
      </w:r>
    </w:p>
    <w:p>
      <w:pPr>
        <w:widowControl/>
        <w:numPr>
          <w:ilvl w:val="0"/>
          <w:numId w:val="5"/>
        </w:numPr>
        <w:spacing w:line="580" w:lineRule="exact"/>
        <w:ind w:firstLine="640" w:firstLineChars="200"/>
        <w:jc w:val="left"/>
        <w:rPr>
          <w:rFonts w:ascii="仿宋" w:hAnsi="仿宋" w:eastAsia="仿宋" w:cs="仿宋"/>
          <w:kern w:val="0"/>
          <w:sz w:val="32"/>
          <w:szCs w:val="32"/>
        </w:rPr>
      </w:pPr>
      <w:r>
        <w:rPr>
          <w:rFonts w:hint="eastAsia" w:ascii="仿宋" w:hAnsi="仿宋" w:eastAsia="仿宋" w:cs="仿宋"/>
          <w:sz w:val="32"/>
          <w:szCs w:val="32"/>
        </w:rPr>
        <w:t>政府采购是指各级国家机关、事业单位和团体组织，使用财政性资金采购依法制定的集中采购目录以内的或者采购限额标准以上的货物、工程和服务的行为。</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（二）机关运行经费安排</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2019年部门预算机关运行经费支出共安排46.6万元，主要用于机关正常运转开支的办公费、水电费、邮电费、差旅费、公务交通补贴等。与上年部门预算机关运行经费支出48.83万元对比减少2.23万元，主要原因是：因工作需要调出1人。</w:t>
      </w:r>
    </w:p>
    <w:p>
      <w:pPr>
        <w:widowControl/>
        <w:numPr>
          <w:ilvl w:val="0"/>
          <w:numId w:val="6"/>
        </w:numPr>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国有资产占用情况</w:t>
      </w:r>
    </w:p>
    <w:p>
      <w:pPr>
        <w:widowControl/>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 xml:space="preserve"> 鉴于截至2019年12月31日的国有资产占有使用情况需在完成2019年决算编制后才能统计汇总相关数据，因此，将在公开2019年度部门决算时一并公开部门截至2019年12月31日的国有资产占有使用情况。</w:t>
      </w:r>
    </w:p>
    <w:p>
      <w:pPr>
        <w:widowControl/>
        <w:numPr>
          <w:ilvl w:val="0"/>
          <w:numId w:val="6"/>
        </w:numPr>
        <w:spacing w:line="5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本部门预算绩效情况说明</w:t>
      </w:r>
    </w:p>
    <w:p>
      <w:pPr>
        <w:spacing w:line="580" w:lineRule="exact"/>
        <w:ind w:firstLine="640" w:firstLineChars="200"/>
      </w:pPr>
      <w:r>
        <w:rPr>
          <w:rFonts w:hint="eastAsia" w:ascii="仿宋" w:hAnsi="仿宋" w:eastAsia="仿宋" w:cs="仿宋"/>
          <w:kern w:val="0"/>
          <w:sz w:val="32"/>
          <w:szCs w:val="32"/>
        </w:rPr>
        <w:t xml:space="preserve">  2019年单位支出预算为2164.73万元，其中：基本支出1619.78万元，主要用于发放职工工资、基本养老保险缴费、支付公用经费等，确保机构正常运转，保障</w:t>
      </w:r>
      <w:r>
        <w:rPr>
          <w:rFonts w:hint="eastAsia" w:ascii="仿宋" w:hAnsi="仿宋" w:eastAsia="仿宋" w:cs="仿宋"/>
          <w:sz w:val="32"/>
          <w:szCs w:val="32"/>
        </w:rPr>
        <w:t>重点优抚对象生活补助、孤儿基本生活费、残疾人生活和护理补贴、城乡特困人员救助供养支出、城乡低保生活补助等救助对象的各项补助</w:t>
      </w:r>
      <w:r>
        <w:rPr>
          <w:rFonts w:hint="eastAsia" w:ascii="仿宋" w:hAnsi="仿宋" w:eastAsia="仿宋" w:cs="仿宋"/>
          <w:kern w:val="0"/>
          <w:sz w:val="32"/>
          <w:szCs w:val="32"/>
        </w:rPr>
        <w:t>；项目支出544.95万元，主要用于盈江县第七届村“两委”和第六届社区“两委”换届选举工作经费、敬老院运转公用经费、盈江县儿童福利院运转经费</w:t>
      </w:r>
      <w:r>
        <w:rPr>
          <w:rFonts w:hint="eastAsia" w:ascii="仿宋" w:hAnsi="仿宋" w:eastAsia="仿宋" w:cs="仿宋"/>
          <w:sz w:val="32"/>
          <w:szCs w:val="32"/>
        </w:rPr>
        <w:t>、</w:t>
      </w:r>
      <w:r>
        <w:rPr>
          <w:rFonts w:hint="eastAsia" w:ascii="仿宋" w:hAnsi="仿宋" w:eastAsia="仿宋" w:cs="仿宋"/>
          <w:kern w:val="0"/>
          <w:sz w:val="32"/>
          <w:szCs w:val="32"/>
        </w:rPr>
        <w:t>盈江县“活人墓”专项清理整治奖补资金、最低生活保障金、</w:t>
      </w:r>
      <w:r>
        <w:rPr>
          <w:rFonts w:hint="eastAsia" w:ascii="仿宋" w:hAnsi="仿宋" w:eastAsia="仿宋" w:cs="仿宋"/>
          <w:sz w:val="32"/>
          <w:szCs w:val="32"/>
        </w:rPr>
        <w:t>农房火灾商业保险</w:t>
      </w:r>
      <w:r>
        <w:rPr>
          <w:rFonts w:hint="eastAsia" w:ascii="仿宋" w:hAnsi="仿宋" w:eastAsia="仿宋" w:cs="仿宋"/>
          <w:kern w:val="0"/>
          <w:sz w:val="32"/>
          <w:szCs w:val="32"/>
        </w:rPr>
        <w:t>等各项项目，确保全县民政工作顺利开展，确保各类救助对象的补助落实到位，为全县经济发展和社会稳定做出积极贡献</w:t>
      </w:r>
      <w:r>
        <w:rPr>
          <w:rFonts w:hint="eastAsia" w:ascii="仿宋" w:hAnsi="仿宋" w:eastAsia="仿宋" w:cs="仿宋"/>
          <w:sz w:val="32"/>
          <w:szCs w:val="32"/>
        </w:rPr>
        <w:t>。</w:t>
      </w:r>
    </w:p>
    <w:p>
      <w:pPr>
        <w:rPr>
          <w:rFonts w:ascii="Arial" w:hAnsi="Arial" w:eastAsia="Arial" w:cs="Arial"/>
          <w:b/>
          <w:sz w:val="36"/>
        </w:rPr>
      </w:pPr>
      <w:bookmarkStart w:id="0" w:name="_GoBack"/>
      <w:bookmarkEnd w:id="0"/>
      <w:r>
        <w:rPr>
          <w:rFonts w:ascii="Arial" w:hAnsi="Arial" w:eastAsia="Arial" w:cs="Arial"/>
          <w:b/>
          <w:sz w:val="36"/>
        </w:rPr>
        <w:t>监督索引号53312300531400111</w:t>
      </w:r>
    </w:p>
    <w:p>
      <w:pPr>
        <w:rPr>
          <w:rFonts w:ascii="Arial" w:hAnsi="Arial" w:eastAsia="Arial" w:cs="Arial"/>
          <w:b/>
          <w:sz w:val="36"/>
        </w:rPr>
      </w:pPr>
      <w:r>
        <w:rPr>
          <w:rFonts w:ascii="Arial" w:hAnsi="Arial" w:eastAsia="Arial" w:cs="Arial"/>
          <w:b/>
          <w:sz w:val="36"/>
        </w:rPr>
        <w:t>监督索引号53312300531400111</w:t>
      </w:r>
    </w:p>
    <w:sectPr>
      <w:headerReference r:id="rId3" w:type="default"/>
      <w:footerReference r:id="rId5" w:type="default"/>
      <w:headerReference r:id="rId4" w:type="even"/>
      <w:pgSz w:w="11906" w:h="16838"/>
      <w:pgMar w:top="1531"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644ED8"/>
    <w:multiLevelType w:val="singleLevel"/>
    <w:tmpl w:val="90644ED8"/>
    <w:lvl w:ilvl="0" w:tentative="0">
      <w:start w:val="1"/>
      <w:numFmt w:val="decimal"/>
      <w:suff w:val="nothing"/>
      <w:lvlText w:val="%1．"/>
      <w:lvlJc w:val="left"/>
      <w:pPr>
        <w:ind w:left="0" w:firstLine="400"/>
      </w:pPr>
      <w:rPr>
        <w:rFonts w:hint="default"/>
      </w:rPr>
    </w:lvl>
  </w:abstractNum>
  <w:abstractNum w:abstractNumId="1">
    <w:nsid w:val="DDEFFB36"/>
    <w:multiLevelType w:val="singleLevel"/>
    <w:tmpl w:val="DDEFFB36"/>
    <w:lvl w:ilvl="0" w:tentative="0">
      <w:start w:val="1"/>
      <w:numFmt w:val="chineseCounting"/>
      <w:suff w:val="nothing"/>
      <w:lvlText w:val="（%1）"/>
      <w:lvlJc w:val="left"/>
      <w:rPr>
        <w:rFonts w:hint="eastAsia"/>
      </w:rPr>
    </w:lvl>
  </w:abstractNum>
  <w:abstractNum w:abstractNumId="2">
    <w:nsid w:val="5C3DA9B9"/>
    <w:multiLevelType w:val="singleLevel"/>
    <w:tmpl w:val="5C3DA9B9"/>
    <w:lvl w:ilvl="0" w:tentative="0">
      <w:start w:val="3"/>
      <w:numFmt w:val="chineseCounting"/>
      <w:suff w:val="nothing"/>
      <w:lvlText w:val="（%1）"/>
      <w:lvlJc w:val="left"/>
    </w:lvl>
  </w:abstractNum>
  <w:abstractNum w:abstractNumId="3">
    <w:nsid w:val="5C47BA42"/>
    <w:multiLevelType w:val="singleLevel"/>
    <w:tmpl w:val="5C47BA42"/>
    <w:lvl w:ilvl="0" w:tentative="0">
      <w:start w:val="2"/>
      <w:numFmt w:val="chineseCounting"/>
      <w:suff w:val="nothing"/>
      <w:lvlText w:val="（%1）"/>
      <w:lvlJc w:val="left"/>
    </w:lvl>
  </w:abstractNum>
  <w:abstractNum w:abstractNumId="4">
    <w:nsid w:val="5C47DBBF"/>
    <w:multiLevelType w:val="singleLevel"/>
    <w:tmpl w:val="5C47DBBF"/>
    <w:lvl w:ilvl="0" w:tentative="0">
      <w:start w:val="4"/>
      <w:numFmt w:val="chineseCounting"/>
      <w:suff w:val="nothing"/>
      <w:lvlText w:val="%1、"/>
      <w:lvlJc w:val="left"/>
    </w:lvl>
  </w:abstractNum>
  <w:abstractNum w:abstractNumId="5">
    <w:nsid w:val="5C47DC0A"/>
    <w:multiLevelType w:val="singleLevel"/>
    <w:tmpl w:val="5C47DC0A"/>
    <w:lvl w:ilvl="0" w:tentative="0">
      <w:start w:val="5"/>
      <w:numFmt w:val="chineseCounting"/>
      <w:suff w:val="nothing"/>
      <w:lvlText w:val="%1、"/>
      <w:lvlJc w:val="left"/>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DB55EA"/>
    <w:rsid w:val="03F0214E"/>
    <w:rsid w:val="047953C9"/>
    <w:rsid w:val="06325B44"/>
    <w:rsid w:val="068B261B"/>
    <w:rsid w:val="068C2736"/>
    <w:rsid w:val="09AF0EE1"/>
    <w:rsid w:val="0A7353AB"/>
    <w:rsid w:val="0AB77A2F"/>
    <w:rsid w:val="0C0D654C"/>
    <w:rsid w:val="0C7B336C"/>
    <w:rsid w:val="10725B57"/>
    <w:rsid w:val="108C6B03"/>
    <w:rsid w:val="10961D17"/>
    <w:rsid w:val="13296B1C"/>
    <w:rsid w:val="14B35AF3"/>
    <w:rsid w:val="152D4912"/>
    <w:rsid w:val="17DE5E5F"/>
    <w:rsid w:val="1A0B3DDD"/>
    <w:rsid w:val="1CB06F11"/>
    <w:rsid w:val="1D3C40B3"/>
    <w:rsid w:val="1D8526DE"/>
    <w:rsid w:val="1FE3013A"/>
    <w:rsid w:val="21E135FF"/>
    <w:rsid w:val="25FD2146"/>
    <w:rsid w:val="27073382"/>
    <w:rsid w:val="29F86360"/>
    <w:rsid w:val="2A281EED"/>
    <w:rsid w:val="2A4F2F87"/>
    <w:rsid w:val="2C834B1C"/>
    <w:rsid w:val="2C860DB8"/>
    <w:rsid w:val="2D7B7E3A"/>
    <w:rsid w:val="304E23C3"/>
    <w:rsid w:val="30BC4E2D"/>
    <w:rsid w:val="31B64097"/>
    <w:rsid w:val="32F62923"/>
    <w:rsid w:val="35617AD9"/>
    <w:rsid w:val="366B00B9"/>
    <w:rsid w:val="36967679"/>
    <w:rsid w:val="375144B9"/>
    <w:rsid w:val="39336825"/>
    <w:rsid w:val="39466C4F"/>
    <w:rsid w:val="3BA159B3"/>
    <w:rsid w:val="3D20108C"/>
    <w:rsid w:val="3D220206"/>
    <w:rsid w:val="3F6E6B13"/>
    <w:rsid w:val="3FF15120"/>
    <w:rsid w:val="44434022"/>
    <w:rsid w:val="444C5E50"/>
    <w:rsid w:val="47144C31"/>
    <w:rsid w:val="480F0657"/>
    <w:rsid w:val="4AEE5775"/>
    <w:rsid w:val="4B7562A5"/>
    <w:rsid w:val="56B55DEA"/>
    <w:rsid w:val="56D74053"/>
    <w:rsid w:val="5DB31139"/>
    <w:rsid w:val="5DFC6594"/>
    <w:rsid w:val="623464B5"/>
    <w:rsid w:val="644063A8"/>
    <w:rsid w:val="67183C6E"/>
    <w:rsid w:val="690F0109"/>
    <w:rsid w:val="6976696F"/>
    <w:rsid w:val="6D8E533A"/>
    <w:rsid w:val="6E122494"/>
    <w:rsid w:val="723D1987"/>
    <w:rsid w:val="724A4A01"/>
    <w:rsid w:val="7696067D"/>
    <w:rsid w:val="76EF5253"/>
    <w:rsid w:val="78C8569E"/>
    <w:rsid w:val="7B1E5394"/>
    <w:rsid w:val="7B2B19B0"/>
    <w:rsid w:val="7B6D0DA8"/>
    <w:rsid w:val="7EE02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99"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2">
    <w:name w:val="图表目录1"/>
    <w:basedOn w:val="3"/>
    <w:next w:val="3"/>
    <w:qFormat/>
    <w:uiPriority w:val="0"/>
    <w:pPr>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spacing w:after="200" w:line="276" w:lineRule="auto"/>
      <w:jc w:val="both"/>
    </w:pPr>
    <w:rPr>
      <w:rFonts w:ascii="Times New Roman" w:hAnsi="Times New Roman" w:eastAsia="宋体" w:cs="黑体"/>
      <w:kern w:val="2"/>
      <w:sz w:val="21"/>
      <w:szCs w:val="24"/>
      <w:lang w:val="en-US" w:eastAsia="zh-CN" w:bidi="ar-SA"/>
    </w:rPr>
  </w:style>
  <w:style w:type="paragraph" w:styleId="4">
    <w:name w:val="annotation text"/>
    <w:basedOn w:val="1"/>
    <w:semiHidden/>
    <w:qFormat/>
    <w:uiPriority w:val="0"/>
    <w:pPr>
      <w:jc w:val="left"/>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rPr>
      <w:rFonts w:ascii="Calibri" w:hAnsi="Calibri"/>
      <w:sz w:val="24"/>
    </w:rPr>
  </w:style>
  <w:style w:type="paragraph" w:styleId="9">
    <w:name w:val="annotation subject"/>
    <w:basedOn w:val="4"/>
    <w:next w:val="4"/>
    <w:semiHidden/>
    <w:qFormat/>
    <w:uiPriority w:val="0"/>
    <w:rPr>
      <w:b/>
      <w:bCs/>
    </w:rPr>
  </w:style>
  <w:style w:type="character" w:styleId="12">
    <w:name w:val="Strong"/>
    <w:basedOn w:val="11"/>
    <w:qFormat/>
    <w:uiPriority w:val="99"/>
    <w:rPr>
      <w:rFonts w:cs="Times New Roman"/>
      <w:b/>
    </w:rPr>
  </w:style>
  <w:style w:type="character" w:styleId="13">
    <w:name w:val="annotation reference"/>
    <w:semiHidden/>
    <w:qFormat/>
    <w:uiPriority w:val="0"/>
    <w:rPr>
      <w:sz w:val="21"/>
      <w:szCs w:val="21"/>
    </w:rPr>
  </w:style>
  <w:style w:type="paragraph" w:customStyle="1" w:styleId="14">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2019-04-26T00:13:00Z</cp:lastPrinted>
  <dcterms:modified xsi:type="dcterms:W3CDTF">2019-12-26T06:41:52Z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