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监督索引号53312300441400000</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盈江县市场监督和城乡管理综合执法局</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2019年预算公开</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目录</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第一部分 盈江县市场监督和城乡管理综合执法局2019年部门预算编制说明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第二部分 盈江县市场监督和城乡管理综合执法局2019年部门预算表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一、部门财务收支总体情况表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六、部门基本支出情况表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八、财政拨款支出明细表（按经济科目分类）</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九、部门一般公共预算“三公”经费支出情况表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十、县本级项目支出绩效目标表（本次下达）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十一、县本级项目支出绩效目标表（另文下达）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十二、县对下转移支付绩效目标表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十三、部门政府采购情况表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盈江县市场监督和城乡管理综合执法局</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2019年部门预算编制说明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一、基本职能及主要工作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（一）部门主要职责</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根据盈政发〔2015〕221号 文件规定，主要职能是：</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贯彻执行国家、省、州有关工商行政管理、质量技术监督、食品、药品、化妆品、保健品、医疗器械、标准计量认证认可和特种设备安全监督管理和城乡规划区管理范围内的相对集中的综合行政执法等方面的法律、法规、方针政策和规划，依法开展市场监督管理、消费维权和行政执法等有关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负责承担辖区各类企业、农民专业合作社和从事经营活动的单位、个人等市场主体的登记注册（外商投资企业除外），确认市场主体资格；负责涉及工商行政管理、质量技术监督、食品药品监督管理、城乡管理综合执法方面的各类行政审批事项的行政受理、审批与送达、公告等工作；负责对许可登记事项及经营活动进行监督管理；依法查处取缔职权范围内的无照经营行为，负责组织开展市场主体信用体系建设，组织企业、个体工商户、商品交易市场信用分类管理，研究分析并依法发布市场主体登记注册基础信息，为政府决策和社会公众提供有关信息服务；依法开展企业信用信息公示工作，承担与政府其他机关企业监督管理信息和公示信息交换共享的协调联系工作，负责对公示信息实施监督管理。</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承担依法规范和维护各类市场经营秩序的责任，负责监管市场交易行为和网络商品交易及有关服务的行为，依法查处不正当竞争、商业贿赂、走私贩私等经济违法行为；依法监督管理直销企业和直销员及其直销活动；承担协调有关方面打击传销联合行动工作，牵头打击违法直销和传销行为；依法监督管理经纪人、经纪机构及经纪活动；依法实施合同监督管理，推广合同示范文本，依法查处利用合同进行违法活动的行为；负责动产抵押物登记和股权出质登记；依法监督管理拍卖行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负责承担消费者权益保护责任，依法开展辖区消费者权益保护工作，开展产（商）品质量监督，接受消费者咨询、申诉、举报，建立并完善消费维权体系，组织指导消费维权工作，保护经营者、消费者合法权益；组织查处侵害消费者权益案件。依法查处生产、流通领域制售假冒伪劣产（商）品的违法行为；组织开展产（商）品质量抽检、监督管理并发布抽检信息；组织实施有关问题产品的召回和处置；</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负责承担辖区商标和广告监督管理工作。依法保护商标专用权和查处商标侵权行为，监督管理商标的使用和印制；监管和指导商标代理机构；负责中国驰名商标、云南省著名商标和知名商标的组织申报；负责特殊标志、官方标志的的管理和保护；依法对企业名称、包装、装潢，商业秘密，商标等实施监督管理和综合保护。指导广告业发展；检测辖区各类媒介广告发布情况；实施广告经营和发布行为的行政许可；依法开展广告监督管理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负责贯彻落实国家、省、州关于食品安全监管的政策法规，分析全县食品安全形势，研究提出食品监管工作的实施意见；负责制订全县食品安全隐患排查治理机制和专项整治工作计划并组织实施；负责组织协调食品突发事件应急处置和重大事故查处；负责开展食品安全风险监测和评价工作，统一发布重大食品安全信息；负责食品安全宣传培训及考核督促工作，拟定并组织实施食品安全规划；负责食品生产经营的许可和食品生产经营的安全监督管理，依法查处食品生产经营的违法违规行为；负责申办、核发、变更食品从业人员健康证、培训合格证等相关证件；负责重大活动食品安全保障工作，负责承办县食安委会议并完成县政府和上级食品安全委员会交办的其他事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7、负责市场监管应急体系建设，组织和指导食品、药品安全事故、特种设备安全事故应急处置工作，参与重大食品药品、特种设备安全事故调查处理工作，监督事故查处落实情况；负责推动食品药品风险监测评价体系、检验检测体系、电子监管追溯体系和信息化建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8、负责药品、医疗器械、保健食品和化妆品行政许可和质量安全监督管理；监督实施国家药械标准以及药品、医疗器械研制、生产、流通、使用方面的质量管理规范；负责督促开展药品不良反应和医疗器械不良事件监测，建立健全药械安全应急体系；配合有关部门实施基本药物制度；负责组织实施民族药申报、管理；监督实施中药材种植管理规范，组织实施中药品种保护制度；负责保健食品、化妆品审查和备案有关工作；监督实施保健食品标准、技术规范与化妆品标准、技术规范；组织开展保健食品、化妆品不良反应监测和安全性评价；负责保健食品广告审查和监测；组织查处药品、医疗器械、保健食品、化妆品生产经营使用违法违规行为；负责开展药品、医疗器械、保健食品、化妆品从业人员培训，申办、核发、变更从业人员健康证、上岗证、培训合格证等相关证件。</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9、负责生产、流通领域产品质量综合管理工作，承担产品质量诚信体系建设责任；贯彻落实国家、省、州《质量发展纲要》，负责全县质量技术监督工作，组织实施质量兴县、标准化战略、名牌产品战略、商标战略及有关政策，落实全县质量考核、质量奖励、质量分析报告等制度，组织产品质量事故调查，实施缺陷产品召回制度，监督管理产品防伪工作；会同有关部门开展重要民生工程的重要原材料和重要工程设备监理制度的实施；负责产品质量安全监督，管理产品质量安全强制检验、风险防控、监督抽查工作，承担工业产品生产许可证目录产品生产加工的监督管理，组织开展产品质量安全专项整治工作，依法查处产品质量违法行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负责计量认证认可管理工作。对依法授权的检验、检测、认证机构进行监督管理；组织实施强制性产品的认证监督；负责全县统一管理计量工作，推行法定计量单位和国家计量制度，依法管理计量技术机构、计量器具，负责规范、监督商品量和市场计量行为，组织实施计量检定规程和计量技术规范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11、负责统一管理全县标准化工作，承担标准化发展战略的组织实施，推行采用国际标准和国外先进标准，对标准的实施进行监督检查，承担组织机构代码证管理工作，承担企业产品标准备案工作，指导企业标准化工作；负责组织地理标志产品的申报和保护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12、负责承担综合管理特种设备安全监察、监督工作，监督检查高耗能特种设备节能标准的执行情况，承担产品质量事故、特种设备事故查处和相关应急救援责任。</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13、依据《中华人民共和国行政许可法》、《中华人民共和国行政处罚法》、《中华人民共和国行政强制法》等法律，行使城乡管理综合行政执法领域有关法律、法规、规章规定的全部或部分行政执法权；履行法律、法规、规章赋予原盈江县工商行政管理局、原盈江县质量技术监督局、原盈江县食品药品监督管理局、原盈江县城市管理综合行政执法局的职责职能，依法开展市场监督管理、消费维权和行政执法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14、负责行使城乡市容环境卫生、建筑市场、城乡园林、绿化方面的行政处罚权。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15、负责对城市管理方面、损害城市道路和其他市政基础设施的违法违规行为行使行政处罚权。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16、行使户外广告设置的审批权和违反规定设置户外广告行为的行政处罚权。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17、规范执法行为，完善行政执法与刑事司法衔接机制；指导乡镇（社区）开展市场监督管理工作。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18、负责行使法律、法规、规章规定的其他行政职责。</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承办县政府交办的其他事项。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（二）机构设置情况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盈江县市场监督和城乡管理综合执法局内设 11  个内设机构， 1个下属机构（副科级）， 3个下属事业单位，8个派出机构（副科级）。</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（三）重点工作概述</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1、机构改革。配合县委、县政府完成县级市场监管机构改革工作，在机构改革期间做到队伍不散、人心不乱、工作不断，确保市场监管工作稳步推进、有效开展。</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商事制度改革工作。一是继续深化商事制度改革。持续推进“多证合一”，建立企业快速退出机制，实行简易注销程序；二是创新监管方式，完善事中事后监管机制。依托企业信用信息公示平台，加快部门之间市场主体信息互联共享，探索市场主体信用约束联合惩戒机制，实现“一处违法、处处受限”；三是充分发挥职能作用，扶持市场主体健康发展。</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食品药品安全监管。一是认真履行食品安全综合监管和组织协调职能职责，统筹安排部署全县食品安全各项工作并落到实处；二是要认真落实食品药品监管责任和企业主体责任，抓好日常监管和专项整治，严格开展隐患排查；三是完善“食品安全电子监管网”建设，推进食品安全责任保险工作；四是强化学校食堂、农村自办宴席、野生菌中毒等高风险环节防控，加大乡镇食品药品协管员和流动厨师培训力度，广泛宣传、舆论引导，有效杜绝群体性食物中毒事件发生。</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市场规范治理工作。一是抓实打击走私工作。结合本地反走私形势，进一步整合资源，健全情况通报和工作会商协调机制，深化情报交流共享和执法协作，推进专项打击和综合治理，针对新形势下走私贩私活动特点，进一步创新监管方式，实现各类涉私案件案值有较大突破，坚决遏制走私多发、高发势头；二是继续推进市场诚信体系建设，进一步加大诚信市场、平安市场、农村文明集市、消费者满意示范店的创建力度；三是加大消费维权力度，推进重点领域整治维权，对投诉较多的企业进行行政约谈，及时向新闻媒体曝光一批侵害消费者权益的典型案例。</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5、城市环境整治工作。一是着力推进盈江县城市综合管理专用高清摄像监控网络建设；二是小广告招商工作；三是探索有效的泊车位收费管理模式。</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6、盈江县食品检验所建设项目。充分利用2017年申报的盈江县食品检验所项目，整合盈江县现有食品检验检测资源，建设盈江县唯一的食品检验检测机构，为食品安全市场监管提供必要的技术支撑。</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二、预算单位基本情况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在职人员编制98人，其中：行政编制 87人（含行政工勤编制7人），事业编制11人。在职实有89人，其中： 财政全供养 89人，财政部分供养0人，非财政供养0人。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 44人，其中： 离休 1人，退休43人。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车辆编制12辆，实有车辆12辆。</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三、预算单位收入情况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财务总收入1502.13万元，其中：一般公共预算财政拨款1502.13万元，政府性基金预算财政拨款0万元，国有资本经营预算财政拨款0万元，事业收入0万元，事业单位经营收入0万元，其他收入0万元，上年结转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（二）财政拨款收入情况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财政拨款收入1502.13万元，其中:本年收入1502.13万元，上年结转0万元。本年收入中，一般公共预算财政拨款1502.13万元（本级财力1502.13万元，专项收入0万元，执法办案补助0万元，收费成本补偿0万元，财政专户管理的收入0万元，国有资源（资产）有偿使用成本补偿0万元），政府性基金预算财政拨款0万元，国有资本经营预算财政拨款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四、预算单位支出情况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2019年部门预算总支出 1502.13万元。财政拨款安排支出 1502.13万元，其中，基本支出1472.13万元，项目支出30万元。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（一）财政拨款安排支出按功能科目分类情况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2013801市场监督管理事务行政运行1219.41万元，主要用于在职人员工资1017.26万元；45名执法辅勤人员、10名食药协管员、157名食品安全信息监管员及5名遗属生活补助157.65万元；1名临时聘用清洁员、1名志愿者及4名脱贫攻坚驻村工作队员生活补助6.5万元；部门全年日常办公经费38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2080501归口管理单位行政单位离退休2.69万元，主要用于：离退休人员公用经费。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2080502事业单位离退休0.06万元，主要用于：离退休人员公用经费。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2080505机关事业单位基本养老保险缴费支出136.62万元，主要用于：缴纳在职人员基本养老保险。</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2080506机关事业单位职业年金缴费支出1.96万元，主要用于：2019年提前退休人员补缴2014年至2019年3月职业年金单位应缴纳部分。</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2210201住房公积金111.39万元，主要用于：缴纳在职人员住房公积金。</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2013804市场监督管理专项10万元，主要用于：产品质量检测，质量兴县、标准化战略、名牌产品战略、商标战略等工作。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2013805市场监管执法10万元，主要用于：食品安全专项整治，食品生产加工环节安全监管，餐饮服务食品安全监管，食品（含保健食品）抽样等工作。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2013812药品事务10万元，主要用于：药品安全质量监管，药品流通安全网格化监管，化妆品、特殊药品、医疗器械安全监管。</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（二）财政拨款安排支出按经济科目分类情况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2013801市场监督管理事务行政运行1219.41万元其中：基本支出1219.41万元，主要用于：301工资福利支出1017.26万元，302商品和服务支出38万元，303对个人和家庭补助164.15万元，项目支出0万元。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2080501归口管理单位行政单位离退休2.69万元，2080502事业单位离退休0.06万元其中：基本支出2.75万元，主要用于：302商品和服务支出2.75万元，项目支出0万元。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2080505机关事业单位基本养老保险缴费支出136.62万元其中：基本支出136.62万元，主要用于：301工资福利支出136.62万元，项目支出0万元。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2080506机关事业单位职业年金缴费支出1.96万元其中：基本支出1.96万元，主要用于：301工资福利支出1.96万元，项目支出0万元。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2210201住房公积金111.39万元其中：基本支出111.39万元，主要用于：301工资福利支出111.39万元，项目支出0万元。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2013804市场监督管理专项10万元其中：基本支出0万元，项目支出10万元，主要用于：302商品和服务支出10万元。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2013805市场监管执法10万元其中：基本支出0万元，项目支出10万元，主要用于：302商品和服务支出10万元。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2013812药品事务10万元其中：基本支出0万元，项目支出10万元，主要用于：302商品和服务支出10万元。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五、县对下专项转移支付情况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本单位2019年无县对下专项转移支付项目</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六、政府采购预算情况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中华人民共和国政府采购法》的有关规定，编制了政府采购预算，共涉及采购项目3个，采购预算资金9.9万元。政府采购预算主要用于：一是盈江县市场监督管理局日常办公设备计算机，支出8.4万元；二是为加强对市场主体的全方位监管，履行政府职能职责，加大宣传经费支出，大力宣传各类法律法规，支出金额1.5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七、预算收支增减变化情况说明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（一）部门“三公”经费增减变化情况及原因说明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2019年“三公”经费预算数为30万元，与上年预算数30万元持平。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1、因公出国（境）经费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拟安排出国（境）经费预算0万元，与上年持平。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2、公务接待费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拟安排公务接待费预算15万元，主要用于按规定开支的各类公务接待产生的费用，与上年预算15万元持平。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3、公务用车购置及运行维护费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公务用车购置及运行维护费15万元，其中：购置经费0万元、运行维护费15万元，主要用于保障政府部门、党群部门、其他部门公务工作开展，拟产生的公务用车燃料费、维修费、过路过桥费、保险费等支出，与上年预算15万元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（二）预算收入增减变化情况及原因说明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2019年部门预算总收入1502.13万元（其中：基本收入1472.13万元，项目收入30万元），与2018年预算总收入1243.24万元相比增加258.89万元，增长率21.34%。原因：调资增资。</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2019年部门预算基本收入1472.13万元，与2018年基本收入1213.24万元相比增加258.89万元，增长率21.34%，增加原因为：一是2018年调资增资后2019年工资福利收入增加210.86万元；二是在职人员增加，加之调资住房公积金收入增加37.99万元；三是在职人员增加，机关事业单位基本养老保险缴费收入增加7.96万元；四是离退休人员增加，离退休人员公用经费收入增加0.12万元；四是2019年提前退休1人，补缴2014年至2019年3月养老保险单位应缴纳部分，收入增加1.96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2、2019年部门预算项目收入30万元，与2018年相持平。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（三）预算支出增减变化情况及原因说明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2019年部门预算总支出1502.13万元（其中：基本支出1472.13万元，项目支出30万元），与2018年预算总支出1243.24万元相比增加258.89万元，增长率21.34%，原因：调资增资。</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2019年部门预算基本支出1472.13万元，与2018年基本支出1213.24万元相比增加258.89万元，增长率21.34%，增加原因为：一是2018年调资增资后2019年工资福利支出增加210.86万元；二是在职人员增加，加之调资住房公积金支出增加37.99万元；三是在职人员增加，机关事业单位基本养老保险缴费支出增加7.96万元；四是离退休人员增加，离退休人员公用经费支出增加0.12万元；四是2019年提前退休1人，补缴2014年至2019年3月养老保险单位应缴纳部分1.96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2、2019年部门预算项目支出30万元与2018年相持平。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八、其他公开信息</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（一）专业名词解释</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1、工资福利支出：反映单位开支的在职职工和编制外长期聘用人员的各类劳动报酬，以及为上述人员缴纳的各项社会保险费等。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2、商品和服务支出：反映单位购买商品和服务的支出，不包括用于购置固定资产、战略性和应急性物资储备等资本性支出。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3、对个人和家庭的补助：反映政府用于对个人和家庭的补助支出。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4、市场监督管理事务行政运行：反映市场监督管理事务方面的基本支出。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5、市场监督管理专项：反映从事市场监督管理专项业务方面的支出，单设科目的业务除外。</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6、市场监管执法：反映市场监督管理部门依法开展各类执法（含食品、药品、物价等）活动、查处各类经济违法案件的专项工作支出。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（二）机关运行经费安排</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市场监督和城乡管理综合执法局2019年部门预算机关运行经费支出40.75万元，与上年44万元对比下降3.25万元，主要原因为盈江县市场监督和城乡管理综合执法局2018年年末在职人数比2017年年末在职人数减少2人。本年机关运行经费主要用于：办公费5.75万元、印刷费2万元、水费0.8万元、电费2万元、邮电费9.2万元、差旅费3万元、维修（护）费0.5万元、培训费2万元、公务接待费4.8万元、工会经费10万元、公务用车运行维护费0.7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（三）国有资产占用情况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鉴于截至2019年12月31日的国有资产占有使用情况需在完成2019年决算编制后才能统计汇总相关数据，因此，将在公开2019年度部门决算时一并公开部门截至2019年12月31日的国有资产占有使用情况。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（四）本部门预算绩效情况说明</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2019年部门预算总支出 1502.13万元。财政拨款安排支出 1502.13万元，其中，基本支出1472.13万元，项目支出30万元。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1、基本支出预算绩效</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1.1  2013801市场监督管理事务行政运行1219.41万元。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绩效：一是保障在职人员工资1017.26万元；二是保障45名执法辅勤人员、10名食药协管员、157名食品安全信息监管员及5名遗属生活补助157.65万元；三是1名临时聘用清洁员、1名志愿者及4名脱贫攻坚驻村工作队员生活补助6.5万元；四是部门全年日常办公经费38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  2080501归口管理单位行政单位离退休2.69万元，2080502事业单位离退休0.06万元。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绩效：保障离退休人员学习教育、组织活动、就近学习考察、订阅报刊、活动场所设施维护、重大节日和住院看望、丧事吊唁、困难帮扶、体检及离退休干部党组织建设等必要的经费开支。</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1.3  2080505机关事业单位基本养老保险缴费支出136.62万元。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绩效：保障在职人员2019年养老保险缴费。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  2080506机关事业单位职业年金缴费支出1.96万元。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绩效：2019年盈江县市场监督和城乡管理综合执法局提前退休1人，用于补缴2014年至2019年3月职业年金单位缴纳部分1.96万元。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1.5  2210201住房公积金111.39万元。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绩效：保障在职人员2019年住房公积金缴费。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2、项目支出预算绩效</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2.1  2013804市场监督管理专项10万元。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项目绩效：组织实施质量兴县、标准化战略、名牌产品战略、商标战略及有关政策，强化重点工业产品质量监管和质量抽查，依法查处产品质量违法行为。以“进社区、实验室开放式、宣传咨询日、计量惠民生、集中开展质量整治”等形式组织开展质量月系列活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  2013805市场监管执法10万元。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项目绩效：加强食品生产加工环节安全监管，完成一次食品安全宣传周，按照省、州食品安全抽检要求，完成食品（含保健食品）抽样检验任务。深化开展食品安全专项整治，严厉打击食品违法犯罪，及时发布食品安全质量状况，引导消费，提高消费者安全感和信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2.3  2013812药品事务10万元。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项目绩效：用于药品安全监管，提升药品检测能力。以样品抽检为抓手，进一步提高流通使用环节药品化妆品医疗器械质量。强化日常检查、飞行检查、专项治理，督促企业严格组织实施GSP，进一步规范药品、化妆品、保健品、医疗器械的流通和使用秩序。</w:t>
      </w:r>
    </w:p>
    <w:p>
      <w:pPr>
        <w:rPr>
          <w:rFonts w:hint="eastAsia" w:ascii="Arial" w:hAnsi="Arial" w:eastAsia="Arial" w:cs="Arial"/>
          <w:b/>
          <w:sz w:val="36"/>
        </w:rPr>
      </w:pPr>
      <w:bookmarkStart w:id="0" w:name="_GoBack"/>
      <w:bookmarkEnd w:id="0"/>
      <w:r>
        <w:rPr>
          <w:rFonts w:ascii="Arial" w:hAnsi="Arial" w:eastAsia="Arial" w:cs="Arial"/>
          <w:b/>
          <w:sz w:val="36"/>
        </w:rPr>
        <w:t>监督索引号53312300441400111</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A761C"/>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0633D"/>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67F8"/>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87C98"/>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3A8B"/>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3C78"/>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157A0E"/>
    <w:rsid w:val="014C34D4"/>
    <w:rsid w:val="01BC0E8D"/>
    <w:rsid w:val="0210191D"/>
    <w:rsid w:val="025737A0"/>
    <w:rsid w:val="029A47AC"/>
    <w:rsid w:val="02C77A4C"/>
    <w:rsid w:val="032831A2"/>
    <w:rsid w:val="03F0214E"/>
    <w:rsid w:val="048119BA"/>
    <w:rsid w:val="058E05AB"/>
    <w:rsid w:val="06325B44"/>
    <w:rsid w:val="063F7397"/>
    <w:rsid w:val="08C25C2F"/>
    <w:rsid w:val="09274914"/>
    <w:rsid w:val="09AF40BB"/>
    <w:rsid w:val="09BC264C"/>
    <w:rsid w:val="0A21697A"/>
    <w:rsid w:val="0A804470"/>
    <w:rsid w:val="0AB77A2F"/>
    <w:rsid w:val="0AF21FAE"/>
    <w:rsid w:val="0CCA501F"/>
    <w:rsid w:val="0D2452A0"/>
    <w:rsid w:val="0D29604F"/>
    <w:rsid w:val="0EBB3315"/>
    <w:rsid w:val="10155845"/>
    <w:rsid w:val="10870EF6"/>
    <w:rsid w:val="10D07E9F"/>
    <w:rsid w:val="10DC57DF"/>
    <w:rsid w:val="117A0271"/>
    <w:rsid w:val="125B2369"/>
    <w:rsid w:val="13A22EAF"/>
    <w:rsid w:val="13DA37DB"/>
    <w:rsid w:val="151E520A"/>
    <w:rsid w:val="15C63625"/>
    <w:rsid w:val="16DA083D"/>
    <w:rsid w:val="180A5EDF"/>
    <w:rsid w:val="18230E51"/>
    <w:rsid w:val="18B37D5D"/>
    <w:rsid w:val="191B18BD"/>
    <w:rsid w:val="1A0B3DDD"/>
    <w:rsid w:val="1A532E37"/>
    <w:rsid w:val="1B382D8D"/>
    <w:rsid w:val="1B8F633C"/>
    <w:rsid w:val="1BD70F5A"/>
    <w:rsid w:val="1C5267E9"/>
    <w:rsid w:val="1C796F2B"/>
    <w:rsid w:val="1C9969C0"/>
    <w:rsid w:val="1CA45181"/>
    <w:rsid w:val="1D8265D4"/>
    <w:rsid w:val="1E160A99"/>
    <w:rsid w:val="1F0239D8"/>
    <w:rsid w:val="1F8C2FA0"/>
    <w:rsid w:val="2017558A"/>
    <w:rsid w:val="23506037"/>
    <w:rsid w:val="23C55C3A"/>
    <w:rsid w:val="23FF7ED9"/>
    <w:rsid w:val="24E1076C"/>
    <w:rsid w:val="256B5F48"/>
    <w:rsid w:val="2596695D"/>
    <w:rsid w:val="26653D55"/>
    <w:rsid w:val="272C2276"/>
    <w:rsid w:val="27DD622C"/>
    <w:rsid w:val="27F557F6"/>
    <w:rsid w:val="28721169"/>
    <w:rsid w:val="2C38054E"/>
    <w:rsid w:val="2C46553E"/>
    <w:rsid w:val="2C4F5846"/>
    <w:rsid w:val="2D073399"/>
    <w:rsid w:val="2D7B7E3A"/>
    <w:rsid w:val="2DD3118D"/>
    <w:rsid w:val="2E556D69"/>
    <w:rsid w:val="2F50398C"/>
    <w:rsid w:val="2F606853"/>
    <w:rsid w:val="31F46FE7"/>
    <w:rsid w:val="320726A1"/>
    <w:rsid w:val="32E7102C"/>
    <w:rsid w:val="33530D1A"/>
    <w:rsid w:val="33C51F77"/>
    <w:rsid w:val="33D64741"/>
    <w:rsid w:val="36352844"/>
    <w:rsid w:val="36DC2E18"/>
    <w:rsid w:val="36F47CE3"/>
    <w:rsid w:val="37AE3446"/>
    <w:rsid w:val="38F16837"/>
    <w:rsid w:val="39424519"/>
    <w:rsid w:val="39466C4F"/>
    <w:rsid w:val="3A543956"/>
    <w:rsid w:val="3AB90A41"/>
    <w:rsid w:val="3ACE6924"/>
    <w:rsid w:val="3B1B04AB"/>
    <w:rsid w:val="3B3E5530"/>
    <w:rsid w:val="3C2D03F9"/>
    <w:rsid w:val="3C6F58EE"/>
    <w:rsid w:val="3C704C73"/>
    <w:rsid w:val="3CCB5E2A"/>
    <w:rsid w:val="3DA5257F"/>
    <w:rsid w:val="3E030FC2"/>
    <w:rsid w:val="3F006CD5"/>
    <w:rsid w:val="405F4C41"/>
    <w:rsid w:val="416C30C0"/>
    <w:rsid w:val="42C34F2B"/>
    <w:rsid w:val="43875648"/>
    <w:rsid w:val="455B46C1"/>
    <w:rsid w:val="45F3219C"/>
    <w:rsid w:val="46487650"/>
    <w:rsid w:val="467F2663"/>
    <w:rsid w:val="46AB2E06"/>
    <w:rsid w:val="47D062AB"/>
    <w:rsid w:val="499A7AC4"/>
    <w:rsid w:val="4A25317B"/>
    <w:rsid w:val="4BAC1205"/>
    <w:rsid w:val="4BDA3EA5"/>
    <w:rsid w:val="4CC42093"/>
    <w:rsid w:val="4D1904E4"/>
    <w:rsid w:val="4D31472A"/>
    <w:rsid w:val="4E8E0852"/>
    <w:rsid w:val="4F4D275D"/>
    <w:rsid w:val="4F9A56D7"/>
    <w:rsid w:val="528039E3"/>
    <w:rsid w:val="53EE400C"/>
    <w:rsid w:val="54232456"/>
    <w:rsid w:val="55030F8B"/>
    <w:rsid w:val="556C6B12"/>
    <w:rsid w:val="55B16321"/>
    <w:rsid w:val="55E05FB2"/>
    <w:rsid w:val="55FC50E4"/>
    <w:rsid w:val="567316EE"/>
    <w:rsid w:val="56821E99"/>
    <w:rsid w:val="56AA75B0"/>
    <w:rsid w:val="577358F7"/>
    <w:rsid w:val="57744693"/>
    <w:rsid w:val="57ED6960"/>
    <w:rsid w:val="57F53FDB"/>
    <w:rsid w:val="58124F7C"/>
    <w:rsid w:val="58286931"/>
    <w:rsid w:val="5AD46CB9"/>
    <w:rsid w:val="5ADD096D"/>
    <w:rsid w:val="5BA60590"/>
    <w:rsid w:val="5D2B5C9A"/>
    <w:rsid w:val="5D2F4FFE"/>
    <w:rsid w:val="5EF839E0"/>
    <w:rsid w:val="5F1E0D82"/>
    <w:rsid w:val="60154ADE"/>
    <w:rsid w:val="613673EC"/>
    <w:rsid w:val="615E6879"/>
    <w:rsid w:val="61B139E9"/>
    <w:rsid w:val="62423785"/>
    <w:rsid w:val="627B69D8"/>
    <w:rsid w:val="628640B4"/>
    <w:rsid w:val="62E819B9"/>
    <w:rsid w:val="63023387"/>
    <w:rsid w:val="639936F5"/>
    <w:rsid w:val="64B56340"/>
    <w:rsid w:val="65245B5D"/>
    <w:rsid w:val="65375443"/>
    <w:rsid w:val="665C6F64"/>
    <w:rsid w:val="67397584"/>
    <w:rsid w:val="68636956"/>
    <w:rsid w:val="687833F2"/>
    <w:rsid w:val="6A17101F"/>
    <w:rsid w:val="6CEC268C"/>
    <w:rsid w:val="6DB95CD0"/>
    <w:rsid w:val="6F975DBF"/>
    <w:rsid w:val="7000713A"/>
    <w:rsid w:val="724A4A01"/>
    <w:rsid w:val="72E866DC"/>
    <w:rsid w:val="742C01E5"/>
    <w:rsid w:val="74A0351B"/>
    <w:rsid w:val="75E67ACC"/>
    <w:rsid w:val="774E1FEE"/>
    <w:rsid w:val="77E46E75"/>
    <w:rsid w:val="7845169E"/>
    <w:rsid w:val="790F0FB1"/>
    <w:rsid w:val="7B0C2C11"/>
    <w:rsid w:val="7B1E5394"/>
    <w:rsid w:val="7B2E3CC6"/>
    <w:rsid w:val="7D3A2B51"/>
    <w:rsid w:val="7ECF528E"/>
    <w:rsid w:val="7F4072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3"/>
    <w:semiHidden/>
    <w:qFormat/>
    <w:uiPriority w:val="99"/>
    <w:pPr>
      <w:jc w:val="left"/>
    </w:pPr>
  </w:style>
  <w:style w:type="paragraph" w:styleId="3">
    <w:name w:val="Balloon Text"/>
    <w:basedOn w:val="1"/>
    <w:link w:val="15"/>
    <w:semiHidden/>
    <w:qFormat/>
    <w:uiPriority w:val="99"/>
    <w:rPr>
      <w:sz w:val="18"/>
      <w:szCs w:val="18"/>
    </w:r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ind w:firstLine="420"/>
      <w:jc w:val="left"/>
    </w:pPr>
    <w:rPr>
      <w:kern w:val="0"/>
      <w:sz w:val="24"/>
    </w:rPr>
  </w:style>
  <w:style w:type="paragraph" w:styleId="7">
    <w:name w:val="annotation subject"/>
    <w:basedOn w:val="2"/>
    <w:next w:val="2"/>
    <w:link w:val="14"/>
    <w:semiHidden/>
    <w:qFormat/>
    <w:uiPriority w:val="99"/>
    <w:rPr>
      <w:b/>
      <w:bCs/>
    </w:rPr>
  </w:style>
  <w:style w:type="character" w:styleId="10">
    <w:name w:val="Strong"/>
    <w:basedOn w:val="9"/>
    <w:qFormat/>
    <w:uiPriority w:val="99"/>
    <w:rPr>
      <w:rFonts w:cs="Times New Roman"/>
      <w:b/>
    </w:rPr>
  </w:style>
  <w:style w:type="character" w:styleId="11">
    <w:name w:val="Hyperlink"/>
    <w:basedOn w:val="9"/>
    <w:unhideWhenUsed/>
    <w:qFormat/>
    <w:uiPriority w:val="99"/>
    <w:rPr>
      <w:color w:val="0000FF"/>
      <w:u w:val="single"/>
    </w:rPr>
  </w:style>
  <w:style w:type="character" w:styleId="12">
    <w:name w:val="annotation reference"/>
    <w:basedOn w:val="9"/>
    <w:semiHidden/>
    <w:qFormat/>
    <w:uiPriority w:val="99"/>
    <w:rPr>
      <w:rFonts w:cs="Times New Roman"/>
      <w:sz w:val="21"/>
    </w:rPr>
  </w:style>
  <w:style w:type="character" w:customStyle="1" w:styleId="13">
    <w:name w:val="Comment Text Char"/>
    <w:basedOn w:val="9"/>
    <w:link w:val="2"/>
    <w:semiHidden/>
    <w:qFormat/>
    <w:uiPriority w:val="99"/>
    <w:rPr>
      <w:szCs w:val="24"/>
    </w:rPr>
  </w:style>
  <w:style w:type="character" w:customStyle="1" w:styleId="14">
    <w:name w:val="Comment Subject Char"/>
    <w:basedOn w:val="13"/>
    <w:link w:val="7"/>
    <w:semiHidden/>
    <w:qFormat/>
    <w:uiPriority w:val="99"/>
    <w:rPr>
      <w:b/>
      <w:bCs/>
    </w:rPr>
  </w:style>
  <w:style w:type="character" w:customStyle="1" w:styleId="15">
    <w:name w:val="Balloon Text Char"/>
    <w:basedOn w:val="9"/>
    <w:link w:val="3"/>
    <w:semiHidden/>
    <w:qFormat/>
    <w:uiPriority w:val="99"/>
  </w:style>
  <w:style w:type="character" w:customStyle="1" w:styleId="16">
    <w:name w:val="Footer Char"/>
    <w:basedOn w:val="9"/>
    <w:link w:val="4"/>
    <w:semiHidden/>
    <w:qFormat/>
    <w:uiPriority w:val="99"/>
    <w:rPr>
      <w:sz w:val="18"/>
      <w:szCs w:val="18"/>
    </w:rPr>
  </w:style>
  <w:style w:type="character" w:customStyle="1" w:styleId="17">
    <w:name w:val="Header Char"/>
    <w:basedOn w:val="9"/>
    <w:link w:val="5"/>
    <w:semiHidden/>
    <w:qFormat/>
    <w:uiPriority w:val="99"/>
    <w:rPr>
      <w:sz w:val="18"/>
      <w:szCs w:val="18"/>
    </w:rPr>
  </w:style>
  <w:style w:type="paragraph" w:customStyle="1" w:styleId="1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szCs w:val="20"/>
    </w:rPr>
  </w:style>
  <w:style w:type="paragraph" w:customStyle="1" w:styleId="19">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17</Pages>
  <Words>1345</Words>
  <Characters>7672</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2019-12-26T02:39:07Z</dcterms:modified>
  <dc:title>年部门预算编制说明</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