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监督索引号53312300447500000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kern w:val="0"/>
          <w:sz w:val="21"/>
          <w:szCs w:val="21"/>
          <w:shd w:val="clear" w:fill="FBFBFB"/>
          <w:lang w:val="en-US" w:eastAsia="zh-CN" w:bidi="ar"/>
        </w:rPr>
        <w:t>盈江县供销合作社联合社</w:t>
      </w:r>
      <w:r>
        <w:rPr>
          <w:rFonts w:hint="default" w:ascii="微软雅黑" w:hAnsi="微软雅黑" w:eastAsia="微软雅黑" w:cs="微软雅黑"/>
          <w:i w:val="0"/>
          <w:caps w:val="0"/>
          <w:color w:val="333333"/>
          <w:spacing w:val="0"/>
          <w:kern w:val="0"/>
          <w:sz w:val="21"/>
          <w:szCs w:val="21"/>
          <w:shd w:val="clear" w:fill="FBFBFB"/>
          <w:lang w:val="en-US" w:eastAsia="zh-CN" w:bidi="ar"/>
        </w:rPr>
        <w:t>2019</w:t>
      </w:r>
      <w:r>
        <w:rPr>
          <w:rFonts w:hint="eastAsia" w:ascii="宋体" w:hAnsi="宋体" w:eastAsia="宋体" w:cs="宋体"/>
          <w:i w:val="0"/>
          <w:caps w:val="0"/>
          <w:color w:val="333333"/>
          <w:spacing w:val="0"/>
          <w:kern w:val="0"/>
          <w:sz w:val="21"/>
          <w:szCs w:val="21"/>
          <w:shd w:val="clear" w:fill="FBFBFB"/>
          <w:lang w:val="en-US" w:eastAsia="zh-CN" w:bidi="ar"/>
        </w:rPr>
        <w:t>年部门预算公开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kern w:val="0"/>
          <w:sz w:val="21"/>
          <w:szCs w:val="21"/>
          <w:shd w:val="clear" w:fill="FBFBFB"/>
          <w:lang w:val="en-US" w:eastAsia="zh-CN" w:bidi="ar"/>
        </w:rPr>
        <w:t>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第一部分 盈江县供销社2019年部门预算编制说明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第二部分 盈江县供销社2019年部门预算表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盈江县供销社2019年部门预算编制说明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宣传贯彻党中央、国务院、云南省委、省人民政府、德宏州委、州人民政府和盈江县委、县人民政府有关农村经济工作和社会发展的方针、政策，研究制订全县合作经济发展战略和发展规划，指导全县供销合作社的改革与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2、承担政府和有关部门委托的任务，按照政府授权对重要农业生产资科和农副产品的经营进行组织、协调和管理。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3、向县委、县政府和有关部门反映农民社员和供销合作社的意见与要求，维护其合法权益。指导供销合作社基层组织建设，改善经营管理，协调社员之间的关系，发挥群众联合优势。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4、负责县以下农村流通体系的组织、规划、协调、服务和建设工作。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5、指导全县供销合作社发展农民合作经济组织，推进农村综合服务体系建设，开拓城乡市场，参与和推动农业产业化经营。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6、组织开展对社员和职工的教育与培训，为全县合作经济组织提供信息服务。经营管理本级社有资产，对直属企业单位行使出资人的职能。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7、代表盈江县合作经济组织，参与国际合作社联盟活动与国内外经济组织、社会团体、院校等开展经济贸易、技术、人才交流，签订合资合作协议，接受捐赠、资助。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8、承办县委、县人民政府和州供销社以及上级机关交办的其他事项。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1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9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盈江县供销合作社联合社内设4个职能科室，分别是：综合办公室、财会统计股、合作经济指导股和教育培训股。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认真贯彻落实中央、省、州关于深化供销合作社综合改革的文件精神，紧紧围绕县委、县政府的中心工作任务，按照“改造自我、服务农民”的总要求，重点围绕创新供销社体制机制、基层组织建设、新型农业社会化服务体系建设、社有企业转型升级等方面，全面深化综合改革，把供销社打造成为与农民联结更紧密、为农服务功能更完备、市场化运行更高效的合作经济组织体系，成为服务农民生产生活的生力军和综合平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进一步深化供销综合改革工作。</w:t>
      </w:r>
      <w:r>
        <w:rPr>
          <w:rFonts w:ascii="宋体" w:hAnsi="宋体" w:eastAsia="宋体" w:cs="宋体"/>
          <w:i w:val="0"/>
          <w:caps w:val="0"/>
          <w:color w:val="000000"/>
          <w:spacing w:val="0"/>
          <w:kern w:val="0"/>
          <w:sz w:val="24"/>
          <w:szCs w:val="24"/>
          <w:shd w:val="clear" w:fill="FBFBFB"/>
          <w:lang w:val="en-US" w:eastAsia="zh-CN" w:bidi="ar"/>
        </w:rPr>
        <w:t>一是加快农村综合服务中心建设。在现有三农服务中心建设基础上，力争建成3-5家三农服务中心的示范点。二是积极领办创办农民专业合作社。重点在村级领办创办管理民主、制度健全、产权清晰、带动力强的农民专业合作社示范社，大力发展农民专业合作社联合社，提高农业生产的组织化程度和抗风险能力。三是继续实施村级综合服务社提质扩面工程。加快村级综合服务社信息化改造，提高村级综合服务水平，打造“农民办事不出村”的村级便民综合服务中心。四是积极引进人才，加快盈江县盈商电子商务有限责任公司建设，筹建乡镇电子商务平台。牢固树立发展农民合作社立社治社的理念，加快农民合作社的发展，创新发展农民合作社综合服务中心，加快电子商务为农户产品购销打开市场建设，使供销合作社改革取得新成效，农民合作社取得新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1个；非参公管理事业单位0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在职人员编制10人，其中：行政编制 10人，事业编制0人。在职实有12人，其中： 财政全供养 12人，财政部分供养7人，非财政供养0人。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离退休人员28人，其中： 离休0人，退休 28人。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车辆编制0辆，实有车辆0辆。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8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 243.57万元，其中：一般公共预算财政拨款243.57万元，政府性基金预算财政拨款0万元，国有资本经营预算财政拨款0万元，事业收入0万元，事业单位经营收入0万元，其他收入0万元，上年结转0万元。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8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 243.57万元，其中:本年收入243.57万元，上年结转0万元。本年收入中，一般公共预算财政拨款243.57万元（本级财力243.57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 243.57万元。财政拨款安排支出 243.57万元，其中，基本支出243.57万元，项目支出0万元。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功能科目分组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2080501项归口管理的行政单位离退休44.97万元，主要用于退休人员工资(财政补差)及退休人员活动经费；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2080505项机关事业单位基本养老保险缴费支出20.02万元，主要用于在职人员基本养老保险单位缴费；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2080506项机关事业单位职业年金缴费支出2.24万元，主要用于职业年金单位缴费；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2160201项行政运行159.78万元，主要用于在职职工工资福利支出及机构正常运转经费；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2210201项住房公积金16.56万元，主要用于在职人员住房公积金。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经济科目分组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2080501项归口管理的行政单位离退休基本支出44.97万元其中，基本支出44.97万元用于302类商品和服务支出1.68万元、303对个人和家庭的补助中43.29万元，项目支出0万元。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2080505项机关事业单位基本养老保险缴费支出20.02万元其中：基本支出20.02万元，用于301类工资福利支出20.02万元，项目支出0万元。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2080506项机关事业单位职业年金缴费支出2.24万元其中：基本支出2.24万元，用于301类工资福利支出2.24万元，项目支出0万元。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2160201项行政运行159.78万元其中：基本支出159.78万元，用于301类工资福利支出152.23万元、302类商品和服务支出6.39万元</w:t>
      </w:r>
      <w:r>
        <w:rPr>
          <w:rFonts w:ascii="宋体" w:hAnsi="宋体" w:eastAsia="宋体" w:cs="宋体"/>
          <w:b/>
          <w:i w:val="0"/>
          <w:caps w:val="0"/>
          <w:color w:val="000000"/>
          <w:spacing w:val="0"/>
          <w:kern w:val="0"/>
          <w:sz w:val="24"/>
          <w:szCs w:val="24"/>
          <w:shd w:val="clear" w:fill="FBFBFB"/>
          <w:lang w:val="en-US" w:eastAsia="zh-CN" w:bidi="ar"/>
        </w:rPr>
        <w:t>、</w:t>
      </w:r>
      <w:r>
        <w:rPr>
          <w:rFonts w:ascii="宋体" w:hAnsi="宋体" w:eastAsia="宋体" w:cs="宋体"/>
          <w:i w:val="0"/>
          <w:caps w:val="0"/>
          <w:color w:val="000000"/>
          <w:spacing w:val="0"/>
          <w:kern w:val="0"/>
          <w:sz w:val="24"/>
          <w:szCs w:val="24"/>
          <w:shd w:val="clear" w:fill="FBFBFB"/>
          <w:lang w:val="en-US" w:eastAsia="zh-CN" w:bidi="ar"/>
        </w:rPr>
        <w:t>303对个人和家庭的补助中1.16万元项目支出0万元。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2210201项住房公积金16.56万元其中：基本支出16.56万元，301类工资福利支出16.56万元，项目支出0万元。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本单位2019年无县对下转移支付项目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六</w:t>
      </w:r>
      <w:r>
        <w:rPr>
          <w:rFonts w:ascii="宋体" w:hAnsi="宋体" w:eastAsia="宋体" w:cs="宋体"/>
          <w:i w:val="0"/>
          <w:caps w:val="0"/>
          <w:color w:val="000000"/>
          <w:spacing w:val="0"/>
          <w:kern w:val="0"/>
          <w:sz w:val="24"/>
          <w:szCs w:val="24"/>
          <w:shd w:val="clear" w:fill="FBFBFB"/>
          <w:lang w:val="en-US" w:eastAsia="zh-CN" w:bidi="ar"/>
        </w:rPr>
        <w:t>、</w:t>
      </w:r>
      <w:r>
        <w:rPr>
          <w:rFonts w:ascii="宋体" w:hAnsi="宋体" w:eastAsia="宋体" w:cs="宋体"/>
          <w:b/>
          <w:i w:val="0"/>
          <w:caps w:val="0"/>
          <w:color w:val="000000"/>
          <w:spacing w:val="0"/>
          <w:kern w:val="0"/>
          <w:sz w:val="24"/>
          <w:szCs w:val="24"/>
          <w:shd w:val="clear" w:fill="FBFBFB"/>
          <w:lang w:val="en-US" w:eastAsia="zh-CN" w:bidi="ar"/>
        </w:rPr>
        <w:t>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2019年“三公”经费预算数为0.78万元，与上年预算数0.78万元相比持平。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拟安排出国（境）经费预算0万元，比上年持平。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拟安排公务接待费预算0.78万元，主要用于按规定开支的各类公务接待产生的费用，与上年预算数0.78万元持平。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0万元，其中：购置经费0万元、运行维护费0万元，主要用于保障政府部门、党群部门、其他部门公务工作开展，拟产生的公务用车燃料费、维修费、过路过桥费、保险费等支出，与上年预算数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（二）部门预算财政拨款收入增减变化情况及原因说明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2019年预算财政拨款收入243.57万元，比2018年197.79万元增加45.78万元，增长23.15%，增加原因是在职职工调增基本工资标准和津贴补贴。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（三）部门基本支出增减变化情况及原因说明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 年基本支出243.57万元，比2018年187.79万元增加55.78万元，增长29.7%，增加原因主要是在职职工调增基本工资标准和津贴补贴。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（四）部门项目支出预算变动的主要原因，对本年与上年同口径数据比对情况分析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 年项目支出0万元，比2018年10万元减少10万元，下降100%，减少原因是减少社综合改革专项经费。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96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1.财政拨款收入：</w:t>
      </w:r>
      <w:r>
        <w:rPr>
          <w:rFonts w:ascii="宋体" w:hAnsi="宋体" w:eastAsia="宋体" w:cs="宋体"/>
          <w:i w:val="0"/>
          <w:caps w:val="0"/>
          <w:color w:val="000000"/>
          <w:spacing w:val="0"/>
          <w:kern w:val="0"/>
          <w:sz w:val="24"/>
          <w:szCs w:val="24"/>
          <w:shd w:val="clear" w:fill="FBFBFB"/>
          <w:lang w:val="en-US" w:eastAsia="zh-CN" w:bidi="ar"/>
        </w:rPr>
        <w:t>是指</w:t>
      </w:r>
      <w:r>
        <w:rPr>
          <w:rFonts w:ascii="宋体" w:hAnsi="宋体" w:eastAsia="宋体" w:cs="宋体"/>
          <w:b/>
          <w:i w:val="0"/>
          <w:caps w:val="0"/>
          <w:color w:val="000000"/>
          <w:spacing w:val="0"/>
          <w:kern w:val="0"/>
          <w:sz w:val="24"/>
          <w:szCs w:val="24"/>
          <w:shd w:val="clear" w:fill="FBFBFB"/>
          <w:lang w:val="en-US" w:eastAsia="zh-CN" w:bidi="ar"/>
        </w:rPr>
        <w:t>行政单位</w:t>
      </w:r>
      <w:r>
        <w:rPr>
          <w:rFonts w:ascii="宋体" w:hAnsi="宋体" w:eastAsia="宋体" w:cs="宋体"/>
          <w:i w:val="0"/>
          <w:caps w:val="0"/>
          <w:color w:val="000000"/>
          <w:spacing w:val="0"/>
          <w:kern w:val="0"/>
          <w:sz w:val="24"/>
          <w:szCs w:val="24"/>
          <w:shd w:val="clear" w:fill="FBFBFB"/>
          <w:lang w:val="en-US" w:eastAsia="zh-CN" w:bidi="ar"/>
        </w:rPr>
        <w:t>从同级财政部门取得的财政预算资金。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2.财政补助收入</w:t>
      </w:r>
      <w:r>
        <w:rPr>
          <w:rFonts w:ascii="宋体" w:hAnsi="宋体" w:eastAsia="宋体" w:cs="宋体"/>
          <w:i w:val="0"/>
          <w:caps w:val="0"/>
          <w:color w:val="000000"/>
          <w:spacing w:val="0"/>
          <w:kern w:val="0"/>
          <w:sz w:val="24"/>
          <w:szCs w:val="24"/>
          <w:shd w:val="clear" w:fill="FBFBFB"/>
          <w:lang w:val="en-US" w:eastAsia="zh-CN" w:bidi="ar"/>
        </w:rPr>
        <w:t>：是指</w:t>
      </w:r>
      <w:r>
        <w:rPr>
          <w:rFonts w:ascii="宋体" w:hAnsi="宋体" w:eastAsia="宋体" w:cs="宋体"/>
          <w:b/>
          <w:i w:val="0"/>
          <w:caps w:val="0"/>
          <w:color w:val="000000"/>
          <w:spacing w:val="0"/>
          <w:kern w:val="0"/>
          <w:sz w:val="24"/>
          <w:szCs w:val="24"/>
          <w:shd w:val="clear" w:fill="FBFBFB"/>
          <w:lang w:val="en-US" w:eastAsia="zh-CN" w:bidi="ar"/>
        </w:rPr>
        <w:t>事业单位</w:t>
      </w:r>
      <w:r>
        <w:rPr>
          <w:rFonts w:ascii="宋体" w:hAnsi="宋体" w:eastAsia="宋体" w:cs="宋体"/>
          <w:i w:val="0"/>
          <w:caps w:val="0"/>
          <w:color w:val="000000"/>
          <w:spacing w:val="0"/>
          <w:kern w:val="0"/>
          <w:sz w:val="24"/>
          <w:szCs w:val="24"/>
          <w:shd w:val="clear" w:fill="FBFBFB"/>
          <w:lang w:val="en-US" w:eastAsia="zh-CN" w:bidi="ar"/>
        </w:rPr>
        <w:t>从同级财政部门取得的各类财政拨款，包括基本支出补助和项目支出补助。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3.事业收入</w:t>
      </w:r>
      <w:r>
        <w:rPr>
          <w:rFonts w:ascii="宋体" w:hAnsi="宋体" w:eastAsia="宋体" w:cs="宋体"/>
          <w:i w:val="0"/>
          <w:caps w:val="0"/>
          <w:color w:val="000000"/>
          <w:spacing w:val="0"/>
          <w:kern w:val="0"/>
          <w:sz w:val="24"/>
          <w:szCs w:val="24"/>
          <w:shd w:val="clear" w:fill="FBFBFB"/>
          <w:lang w:val="en-US" w:eastAsia="zh-CN" w:bidi="ar"/>
        </w:rPr>
        <w:t>：指</w:t>
      </w:r>
      <w:r>
        <w:rPr>
          <w:rFonts w:ascii="宋体" w:hAnsi="宋体" w:eastAsia="宋体" w:cs="宋体"/>
          <w:b/>
          <w:i w:val="0"/>
          <w:caps w:val="0"/>
          <w:color w:val="000000"/>
          <w:spacing w:val="0"/>
          <w:kern w:val="0"/>
          <w:sz w:val="24"/>
          <w:szCs w:val="24"/>
          <w:shd w:val="clear" w:fill="FBFBFB"/>
          <w:lang w:val="en-US" w:eastAsia="zh-CN" w:bidi="ar"/>
        </w:rPr>
        <w:t>事业单位</w:t>
      </w:r>
      <w:r>
        <w:rPr>
          <w:rFonts w:ascii="宋体" w:hAnsi="宋体" w:eastAsia="宋体" w:cs="宋体"/>
          <w:i w:val="0"/>
          <w:caps w:val="0"/>
          <w:color w:val="000000"/>
          <w:spacing w:val="0"/>
          <w:kern w:val="0"/>
          <w:sz w:val="24"/>
          <w:szCs w:val="24"/>
          <w:shd w:val="clear" w:fill="FBFBFB"/>
          <w:lang w:val="en-US" w:eastAsia="zh-CN" w:bidi="ar"/>
        </w:rPr>
        <w:t>开展专业业务活动及其辅助活动取得的收入。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4.基本支出：</w:t>
      </w:r>
      <w:r>
        <w:rPr>
          <w:rFonts w:ascii="宋体" w:hAnsi="宋体" w:eastAsia="宋体" w:cs="宋体"/>
          <w:i w:val="0"/>
          <w:caps w:val="0"/>
          <w:color w:val="000000"/>
          <w:spacing w:val="0"/>
          <w:kern w:val="0"/>
          <w:sz w:val="24"/>
          <w:szCs w:val="24"/>
          <w:shd w:val="clear" w:fill="FBFBFB"/>
          <w:lang w:val="en-US" w:eastAsia="zh-CN" w:bidi="ar"/>
        </w:rPr>
        <w:t>为保障机构正常运行，完成日常工作任务而发生的人员支出和公用支出。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项目支出：</w:t>
      </w:r>
      <w:r>
        <w:rPr>
          <w:rFonts w:ascii="宋体" w:hAnsi="宋体" w:eastAsia="宋体" w:cs="宋体"/>
          <w:i w:val="0"/>
          <w:caps w:val="0"/>
          <w:color w:val="000000"/>
          <w:spacing w:val="0"/>
          <w:kern w:val="0"/>
          <w:sz w:val="24"/>
          <w:szCs w:val="24"/>
          <w:shd w:val="clear" w:fill="FBFBFB"/>
          <w:lang w:val="en-US" w:eastAsia="zh-CN" w:bidi="ar"/>
        </w:rPr>
        <w:t>指在基本支出之外为完成特定行政任务和事业发展目标所发生的支出。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08"/>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17"/>
          <w:kern w:val="0"/>
          <w:sz w:val="24"/>
          <w:szCs w:val="24"/>
          <w:shd w:val="clear" w:fill="FFFFFF"/>
          <w:lang w:val="en-US" w:eastAsia="zh-CN" w:bidi="ar"/>
        </w:rPr>
        <w:t>5.“三公”经费：</w:t>
      </w:r>
      <w:r>
        <w:rPr>
          <w:rFonts w:ascii="宋体" w:hAnsi="宋体" w:eastAsia="宋体" w:cs="宋体"/>
          <w:i w:val="0"/>
          <w:caps w:val="0"/>
          <w:color w:val="000000"/>
          <w:spacing w:val="17"/>
          <w:kern w:val="0"/>
          <w:sz w:val="24"/>
          <w:szCs w:val="24"/>
          <w:shd w:val="clear" w:fill="FFFFFF"/>
          <w:lang w:val="en-US" w:eastAsia="zh-CN" w:bidi="ar"/>
        </w:rPr>
        <w:t>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08"/>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17"/>
          <w:kern w:val="0"/>
          <w:sz w:val="24"/>
          <w:szCs w:val="24"/>
          <w:shd w:val="clear" w:fill="FFFFFF"/>
          <w:lang w:val="en-US" w:eastAsia="zh-CN" w:bidi="ar"/>
        </w:rPr>
        <w:t>6.机关运行经费：</w:t>
      </w:r>
      <w:r>
        <w:rPr>
          <w:rFonts w:ascii="宋体" w:hAnsi="宋体" w:eastAsia="宋体" w:cs="宋体"/>
          <w:i w:val="0"/>
          <w:caps w:val="0"/>
          <w:color w:val="000000"/>
          <w:spacing w:val="17"/>
          <w:kern w:val="0"/>
          <w:sz w:val="24"/>
          <w:szCs w:val="24"/>
          <w:shd w:val="clear" w:fill="FFFFFF"/>
          <w:lang w:val="en-US" w:eastAsia="zh-CN" w:bidi="ar"/>
        </w:rPr>
        <w:t>部门决算中行政单位和参照公务员法管理的事业单位一般公共预算财政拨款基本支出中日常公用经费。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（二）机关运行经费安</w:t>
      </w:r>
      <w:r>
        <w:rPr>
          <w:rFonts w:ascii="宋体" w:hAnsi="宋体" w:eastAsia="宋体" w:cs="宋体"/>
          <w:i w:val="0"/>
          <w:caps w:val="0"/>
          <w:color w:val="000000"/>
          <w:spacing w:val="0"/>
          <w:kern w:val="0"/>
          <w:sz w:val="24"/>
          <w:szCs w:val="24"/>
          <w:shd w:val="clear" w:fill="FBFBFB"/>
          <w:lang w:val="en-US" w:eastAsia="zh-CN" w:bidi="ar"/>
        </w:rPr>
        <w:t>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2019年机关运行经费安排8.07万元，主要用于机关正常运转开支的办公费2.8万元、印刷费0.3万元、水费0.19万元、电费0.19万元、邮电费0.21万元、差旅费3.6万元、公务接待费0.78万元，与2018年持平。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w:t>
      </w:r>
      <w:r>
        <w:rPr>
          <w:rFonts w:ascii="宋体" w:hAnsi="宋体" w:eastAsia="宋体" w:cs="宋体"/>
          <w:b/>
          <w:i w:val="0"/>
          <w:caps w:val="0"/>
          <w:color w:val="000000"/>
          <w:spacing w:val="0"/>
          <w:kern w:val="0"/>
          <w:sz w:val="24"/>
          <w:szCs w:val="24"/>
          <w:shd w:val="clear" w:fill="FBFBFB"/>
          <w:lang w:val="en-US" w:eastAsia="zh-CN" w:bidi="ar"/>
        </w:rPr>
        <w:t>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2019年部门收入预算243.57万元。财政拨款安排支出 243.57万元，其中：基本支出243.57万元，主要用于发放职工工资、基本养老保险缴费、住房公积金及办公经费等，确保机构正常运转，确保全县供</w:t>
      </w:r>
      <w:r>
        <w:rPr>
          <w:rFonts w:ascii="宋体" w:hAnsi="宋体" w:eastAsia="宋体" w:cs="宋体"/>
          <w:i w:val="0"/>
          <w:caps w:val="0"/>
          <w:color w:val="000000"/>
          <w:spacing w:val="0"/>
          <w:kern w:val="0"/>
          <w:sz w:val="24"/>
          <w:szCs w:val="24"/>
          <w:shd w:val="clear" w:fill="FFFFFF"/>
          <w:lang w:val="en-US" w:eastAsia="zh-CN" w:bidi="ar"/>
        </w:rPr>
        <w:t>销社综合改革工作顺利开展。</w:t>
      </w:r>
    </w:p>
    <w:p/>
    <w:p>
      <w:pPr>
        <w:rPr>
          <w:rFonts w:ascii="Arial" w:hAnsi="Arial" w:eastAsia="Arial" w:cs="Arial"/>
          <w:b/>
          <w:sz w:val="36"/>
        </w:rPr>
      </w:pPr>
      <w:bookmarkStart w:id="0" w:name="_GoBack"/>
      <w:bookmarkEnd w:id="0"/>
      <w:r>
        <w:rPr>
          <w:rFonts w:ascii="Arial" w:hAnsi="Arial" w:eastAsia="Arial" w:cs="Arial"/>
          <w:b/>
          <w:sz w:val="36"/>
        </w:rPr>
        <w:t>监督索引号53312300447500111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Arial"/>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3684A"/>
    <w:rsid w:val="000370F7"/>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0D24"/>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5BD1"/>
    <w:rsid w:val="00176F17"/>
    <w:rsid w:val="001804E3"/>
    <w:rsid w:val="00180C9A"/>
    <w:rsid w:val="00182D13"/>
    <w:rsid w:val="00183B42"/>
    <w:rsid w:val="00186C54"/>
    <w:rsid w:val="00187180"/>
    <w:rsid w:val="00192C05"/>
    <w:rsid w:val="00197CAA"/>
    <w:rsid w:val="00197E5D"/>
    <w:rsid w:val="001A1B3A"/>
    <w:rsid w:val="001A3CEE"/>
    <w:rsid w:val="001A784A"/>
    <w:rsid w:val="001B045D"/>
    <w:rsid w:val="001B46AB"/>
    <w:rsid w:val="001C1C89"/>
    <w:rsid w:val="001C55D5"/>
    <w:rsid w:val="001D120C"/>
    <w:rsid w:val="001E03BD"/>
    <w:rsid w:val="001E2F0F"/>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6A9D"/>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6D59"/>
    <w:rsid w:val="00327119"/>
    <w:rsid w:val="003333E4"/>
    <w:rsid w:val="00336580"/>
    <w:rsid w:val="00340101"/>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5BCD"/>
    <w:rsid w:val="003D6601"/>
    <w:rsid w:val="003D6C9A"/>
    <w:rsid w:val="003E2D1F"/>
    <w:rsid w:val="003E2DE1"/>
    <w:rsid w:val="003E5399"/>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0D0E"/>
    <w:rsid w:val="004544A9"/>
    <w:rsid w:val="00454E0B"/>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3493"/>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243C"/>
    <w:rsid w:val="006240EB"/>
    <w:rsid w:val="006253D8"/>
    <w:rsid w:val="00626153"/>
    <w:rsid w:val="006374A1"/>
    <w:rsid w:val="00651B6C"/>
    <w:rsid w:val="006540CB"/>
    <w:rsid w:val="00660B2A"/>
    <w:rsid w:val="00663D84"/>
    <w:rsid w:val="00682553"/>
    <w:rsid w:val="0068515C"/>
    <w:rsid w:val="0068667C"/>
    <w:rsid w:val="00686E88"/>
    <w:rsid w:val="006A26A0"/>
    <w:rsid w:val="006A4FDA"/>
    <w:rsid w:val="006A668E"/>
    <w:rsid w:val="006B1C07"/>
    <w:rsid w:val="006B3DA5"/>
    <w:rsid w:val="006B5B25"/>
    <w:rsid w:val="006B7827"/>
    <w:rsid w:val="006C5E5C"/>
    <w:rsid w:val="006D0172"/>
    <w:rsid w:val="006E1A3A"/>
    <w:rsid w:val="006E215E"/>
    <w:rsid w:val="006E2230"/>
    <w:rsid w:val="006E2B9C"/>
    <w:rsid w:val="006E7E4C"/>
    <w:rsid w:val="006F02E3"/>
    <w:rsid w:val="006F1C64"/>
    <w:rsid w:val="006F3C19"/>
    <w:rsid w:val="00700438"/>
    <w:rsid w:val="007013C6"/>
    <w:rsid w:val="00715660"/>
    <w:rsid w:val="007328B9"/>
    <w:rsid w:val="007336B0"/>
    <w:rsid w:val="00733A2A"/>
    <w:rsid w:val="0073563C"/>
    <w:rsid w:val="00735ADA"/>
    <w:rsid w:val="00735D71"/>
    <w:rsid w:val="00736386"/>
    <w:rsid w:val="00736DC5"/>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B5CC3"/>
    <w:rsid w:val="007C05CB"/>
    <w:rsid w:val="007C1922"/>
    <w:rsid w:val="007C3153"/>
    <w:rsid w:val="007C7656"/>
    <w:rsid w:val="007D066F"/>
    <w:rsid w:val="007D1AE5"/>
    <w:rsid w:val="007D5A91"/>
    <w:rsid w:val="007E26F0"/>
    <w:rsid w:val="007E3441"/>
    <w:rsid w:val="007E460F"/>
    <w:rsid w:val="007E68C9"/>
    <w:rsid w:val="007E76F1"/>
    <w:rsid w:val="007F1DA0"/>
    <w:rsid w:val="00803F6B"/>
    <w:rsid w:val="00805901"/>
    <w:rsid w:val="00811B53"/>
    <w:rsid w:val="00816BAB"/>
    <w:rsid w:val="00817514"/>
    <w:rsid w:val="00825E03"/>
    <w:rsid w:val="00827ECC"/>
    <w:rsid w:val="0083106D"/>
    <w:rsid w:val="0083282E"/>
    <w:rsid w:val="0083313F"/>
    <w:rsid w:val="00833375"/>
    <w:rsid w:val="00834D98"/>
    <w:rsid w:val="00835730"/>
    <w:rsid w:val="00835F23"/>
    <w:rsid w:val="0084210A"/>
    <w:rsid w:val="00845657"/>
    <w:rsid w:val="0084624C"/>
    <w:rsid w:val="00851C1D"/>
    <w:rsid w:val="00861FB9"/>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50"/>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D1C0A"/>
    <w:rsid w:val="00AE0209"/>
    <w:rsid w:val="00AE2095"/>
    <w:rsid w:val="00AE5322"/>
    <w:rsid w:val="00AE5FEF"/>
    <w:rsid w:val="00AE73E2"/>
    <w:rsid w:val="00AF1CF9"/>
    <w:rsid w:val="00AF2AE3"/>
    <w:rsid w:val="00AF7B4F"/>
    <w:rsid w:val="00AF7C58"/>
    <w:rsid w:val="00B0193B"/>
    <w:rsid w:val="00B05787"/>
    <w:rsid w:val="00B10153"/>
    <w:rsid w:val="00B15323"/>
    <w:rsid w:val="00B259AC"/>
    <w:rsid w:val="00B26033"/>
    <w:rsid w:val="00B268D9"/>
    <w:rsid w:val="00B26EC9"/>
    <w:rsid w:val="00B31B8F"/>
    <w:rsid w:val="00B333B0"/>
    <w:rsid w:val="00B348D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2211"/>
    <w:rsid w:val="00C04DD5"/>
    <w:rsid w:val="00C073D6"/>
    <w:rsid w:val="00C07645"/>
    <w:rsid w:val="00C12785"/>
    <w:rsid w:val="00C14D2D"/>
    <w:rsid w:val="00C15327"/>
    <w:rsid w:val="00C205DD"/>
    <w:rsid w:val="00C242B2"/>
    <w:rsid w:val="00C253EC"/>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77515"/>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9A6"/>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06C7"/>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01AB"/>
    <w:rsid w:val="00F412D7"/>
    <w:rsid w:val="00F43996"/>
    <w:rsid w:val="00F45AD5"/>
    <w:rsid w:val="00F45F72"/>
    <w:rsid w:val="00F46A5C"/>
    <w:rsid w:val="00F47184"/>
    <w:rsid w:val="00F5093D"/>
    <w:rsid w:val="00F51398"/>
    <w:rsid w:val="00F521B6"/>
    <w:rsid w:val="00F53C1F"/>
    <w:rsid w:val="00F53D7D"/>
    <w:rsid w:val="00F54201"/>
    <w:rsid w:val="00F5464F"/>
    <w:rsid w:val="00F6446E"/>
    <w:rsid w:val="00F64A92"/>
    <w:rsid w:val="00F657F3"/>
    <w:rsid w:val="00F80BF6"/>
    <w:rsid w:val="00F81802"/>
    <w:rsid w:val="00F82819"/>
    <w:rsid w:val="00F8452D"/>
    <w:rsid w:val="00F9543B"/>
    <w:rsid w:val="00F95BCB"/>
    <w:rsid w:val="00F96634"/>
    <w:rsid w:val="00F96A5C"/>
    <w:rsid w:val="00FA1FBC"/>
    <w:rsid w:val="00FA2C97"/>
    <w:rsid w:val="00FA2FC5"/>
    <w:rsid w:val="00FB15C3"/>
    <w:rsid w:val="00FB35BE"/>
    <w:rsid w:val="00FC00FD"/>
    <w:rsid w:val="00FC43B8"/>
    <w:rsid w:val="00FC4E58"/>
    <w:rsid w:val="00FC51C4"/>
    <w:rsid w:val="00FC7004"/>
    <w:rsid w:val="00FD06A0"/>
    <w:rsid w:val="00FD13FB"/>
    <w:rsid w:val="00FD228E"/>
    <w:rsid w:val="00FD4E9B"/>
    <w:rsid w:val="00FD7D5F"/>
    <w:rsid w:val="00FE1A2F"/>
    <w:rsid w:val="00FE5F50"/>
    <w:rsid w:val="00FF1B25"/>
    <w:rsid w:val="00FF7A85"/>
    <w:rsid w:val="025737A0"/>
    <w:rsid w:val="03151E5D"/>
    <w:rsid w:val="03F0214E"/>
    <w:rsid w:val="057B65DB"/>
    <w:rsid w:val="06325B44"/>
    <w:rsid w:val="0AB77A2F"/>
    <w:rsid w:val="0EE3053C"/>
    <w:rsid w:val="14E26A29"/>
    <w:rsid w:val="1A0B3DDD"/>
    <w:rsid w:val="21CC7450"/>
    <w:rsid w:val="23543A54"/>
    <w:rsid w:val="23884EC3"/>
    <w:rsid w:val="26731A63"/>
    <w:rsid w:val="26DF6523"/>
    <w:rsid w:val="2D7B7E3A"/>
    <w:rsid w:val="30E74C5B"/>
    <w:rsid w:val="38E857BA"/>
    <w:rsid w:val="39466C4F"/>
    <w:rsid w:val="3BC40496"/>
    <w:rsid w:val="45C32F22"/>
    <w:rsid w:val="4745013E"/>
    <w:rsid w:val="47CF06AB"/>
    <w:rsid w:val="4F2964C1"/>
    <w:rsid w:val="50971A81"/>
    <w:rsid w:val="62EF37AD"/>
    <w:rsid w:val="724A4A01"/>
    <w:rsid w:val="738C7EEE"/>
    <w:rsid w:val="771239D3"/>
    <w:rsid w:val="7B1E5394"/>
    <w:rsid w:val="7E7D531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99"/>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locked/>
    <w:uiPriority w:val="99"/>
    <w:pPr>
      <w:spacing w:beforeAutospacing="1" w:afterAutospacing="1"/>
      <w:ind w:firstLine="420"/>
      <w:jc w:val="left"/>
    </w:pPr>
    <w:rPr>
      <w:kern w:val="0"/>
      <w:sz w:val="24"/>
    </w:rPr>
  </w:style>
  <w:style w:type="paragraph" w:styleId="7">
    <w:name w:val="annotation subject"/>
    <w:basedOn w:val="2"/>
    <w:next w:val="2"/>
    <w:link w:val="13"/>
    <w:semiHidden/>
    <w:qFormat/>
    <w:uiPriority w:val="99"/>
    <w:rPr>
      <w:b/>
      <w:bCs/>
    </w:rPr>
  </w:style>
  <w:style w:type="character" w:styleId="10">
    <w:name w:val="Strong"/>
    <w:basedOn w:val="9"/>
    <w:qFormat/>
    <w:uiPriority w:val="99"/>
    <w:rPr>
      <w:rFonts w:cs="Times New Roman"/>
      <w:b/>
    </w:rPr>
  </w:style>
  <w:style w:type="character" w:styleId="11">
    <w:name w:val="annotation reference"/>
    <w:basedOn w:val="9"/>
    <w:semiHidden/>
    <w:qFormat/>
    <w:uiPriority w:val="99"/>
    <w:rPr>
      <w:rFonts w:cs="Times New Roman"/>
      <w:sz w:val="21"/>
    </w:rPr>
  </w:style>
  <w:style w:type="character" w:customStyle="1" w:styleId="12">
    <w:name w:val="Comment Text Char"/>
    <w:basedOn w:val="9"/>
    <w:link w:val="2"/>
    <w:semiHidden/>
    <w:qFormat/>
    <w:locked/>
    <w:uiPriority w:val="99"/>
    <w:rPr>
      <w:rFonts w:cs="Times New Roman"/>
      <w:sz w:val="24"/>
      <w:szCs w:val="24"/>
    </w:rPr>
  </w:style>
  <w:style w:type="character" w:customStyle="1" w:styleId="13">
    <w:name w:val="Comment Subject Char"/>
    <w:basedOn w:val="12"/>
    <w:link w:val="7"/>
    <w:semiHidden/>
    <w:qFormat/>
    <w:locked/>
    <w:uiPriority w:val="99"/>
    <w:rPr>
      <w:b/>
      <w:bCs/>
    </w:rPr>
  </w:style>
  <w:style w:type="character" w:customStyle="1" w:styleId="14">
    <w:name w:val="Balloon Text Char"/>
    <w:basedOn w:val="9"/>
    <w:link w:val="3"/>
    <w:semiHidden/>
    <w:qFormat/>
    <w:locked/>
    <w:uiPriority w:val="99"/>
    <w:rPr>
      <w:rFonts w:cs="Times New Roman"/>
      <w:sz w:val="2"/>
    </w:rPr>
  </w:style>
  <w:style w:type="character" w:customStyle="1" w:styleId="15">
    <w:name w:val="Footer Char"/>
    <w:basedOn w:val="9"/>
    <w:link w:val="4"/>
    <w:semiHidden/>
    <w:qFormat/>
    <w:locked/>
    <w:uiPriority w:val="99"/>
    <w:rPr>
      <w:rFonts w:cs="Times New Roman"/>
      <w:sz w:val="18"/>
      <w:szCs w:val="18"/>
    </w:rPr>
  </w:style>
  <w:style w:type="character" w:customStyle="1" w:styleId="16">
    <w:name w:val="Header Char"/>
    <w:basedOn w:val="9"/>
    <w:link w:val="5"/>
    <w:semiHidden/>
    <w:qFormat/>
    <w:locked/>
    <w:uiPriority w:val="99"/>
    <w:rPr>
      <w:rFonts w:cs="Times New Roman"/>
      <w:sz w:val="18"/>
      <w:szCs w:val="18"/>
    </w:rPr>
  </w:style>
  <w:style w:type="paragraph" w:customStyle="1" w:styleId="17">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9</Pages>
  <Words>582</Words>
  <Characters>3324</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2019-04-25T09:07:00Z</dcterms:created>
  <dc:creator>lx</dc:creator>
  <dc:description>ZHGenApp().GetProperty("Certification")</dc:description>
  <cp:lastModifiedBy>windows</cp:lastModifiedBy>
  <cp:lastPrinted>2018-01-31T03:32:00Z</cp:lastPrinted>
  <dcterms:modified xsi:type="dcterms:W3CDTF">2019-12-26T02:40:45Z</dcterms:modified>
  <dc:title>年部门预算编制说明</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