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监督索引号53312300432400000</w:t>
      </w:r>
    </w:p>
    <w:p>
      <w:pPr>
        <w:keepNext w:val="0"/>
        <w:keepLines w:val="0"/>
        <w:widowControl/>
        <w:suppressLineNumbers w:val="0"/>
        <w:spacing w:before="0" w:beforeAutospacing="0" w:after="20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盈江县国土资源局2019年部门预算公开目录</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 盈江县国土资源局2019年部门预算编制说明</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第二部分盈江县国土资源局2019年部门预算表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九、部门一般公共预算“三公”经费支出情况表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十一、县政府本级项目支出绩效目标表（另文下达）</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盈江县国土资源局2019年部门预算编制说明</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贯彻执行国家和省、州、县有关国土资源管理的方针、政策和法律、法规；组织编制全县有关国土资源规划、其他规划和年度计划并依法监督实施；指导审核乡镇国土资源规划；参与呈报省、州政府审批的城镇总体规划审核；直接领导和管理乡镇国土资源所工作拟订全县有关国土资源管理的措施和办法并组织实施；组织开展国土资源有关科学技术的研究、合作与交流。</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2、监督检查全县各乡镇国土所行政执法和国土资源规划执行情况；依法保护国土资源所有者和使用者的合法权益，承办组织调处各类权属纠纷，依法查处国土资源各类违法案件。依法负责有关行政复议。</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拟订全县耕地特殊保护和鼓励耕地开发政策，组织实施农地用途管辖和基本农田保护；承办需报国家、省、州批准的农用地转用、征用、土地利用开发、土地整理、土地复垦和开发耕地工作；承办国家和省、州、县立项建设项目的用地预审报件及承办申报国务院、省、州政府审批的各类用地的审查和报批。</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4、组织土地资源和地籍调查、土地统计和动态监测；负责土地确权、城乡地籍、土地登记发证等工作。</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组织实施全县国有土地使用权转让、出让、租赁、作价出资、转让和交易工作；建立国有土地收回、收购和储备制度；规范农村集体非农土地使用权的流转和管理；组织实施土地定级、基准地价、标定地价测评；按规定对土地使用权评估价和处置方案进行初审和确认审批。</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6、拟定测绘行政管理办法并按规定实施以及测绘行业的标准化工作；指导监督全县基础测绘、地籍测绘、境界测绘成果的质量管理和使用及保密工作。</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7、负责县内矿产资源管理，组织矿区内矿产资源开发和保护监督管理制度的实施。负责编制矿业设置计划，组织矿业权设置的申报、出让、设置；负责矿业权年检；延续、转让、变更、注销等受理、审查、报批、办理及矿产资源储量管理；负责地热、矿泉水勘查开发监督管理和保护；依法收缴采矿权价款、采矿权使用费、矿产资源有偿使用费、矿产资源补偿费等矿业权费；调处或协助调处矿业权属争议及纠纷，帮助协调解决地质勘查项目涉及的土地占用、青苗补偿等问题；组织查处违法探矿、采矿、破坏浪费、盗卖国家矿产资源行为；维护国家矿产资源行为；维护国爱矿产资源所有权及保护矿业权人的合法权益。</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8、拟订全县地质环境保护、国土整治、矿山环境保护、地质灾害防治管理办法并按规定组织实施；组织或配合实施地质灾害监测防治工作、监督矿山环境的恢复与治理；负责矿山恢复治理保证金的征收管理。</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9、与有关部门拟订全县国土资源有关的财经政策，对国土资源有关费用的征收和依法进行监督；对国家和、州下拨的国土资源专项资金管理使用情况进行监督检查；制定全县国土资源国有资产管理的有关规定并组织实施。</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10、按照移民搬迁工作：分级负责，县为基础的原则，参与全县大中型工程建设项目移民的论证；协助有关部分编制、审查、报批移民搬迁规划并配合监督实施；参与 移民安置工作验收。</w:t>
      </w:r>
    </w:p>
    <w:p>
      <w:pPr>
        <w:pStyle w:val="7"/>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lang w:val="en-US"/>
        </w:rPr>
        <w:t>11</w:t>
      </w:r>
      <w:r>
        <w:rPr>
          <w:rFonts w:hint="eastAsia" w:ascii="宋体" w:hAnsi="宋体" w:eastAsia="宋体" w:cs="宋体"/>
          <w:i w:val="0"/>
          <w:caps w:val="0"/>
          <w:color w:val="333333"/>
          <w:spacing w:val="0"/>
          <w:sz w:val="24"/>
          <w:szCs w:val="24"/>
        </w:rPr>
        <w:t>、承办县委、县政府和上级机关交办的其他事项</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（二）机构设置情况</w:t>
      </w:r>
    </w:p>
    <w:p>
      <w:pPr>
        <w:pStyle w:val="7"/>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国土资源局内设办公室、综合办公室、土地利用规划股、地籍测绘管理股、地质矿产管理股、法规监察股（土地执法监察大队）、土地开发整理中心、信息股、政务服务中心窗口、土地收购储备中心和不动产登记管理中心共</w:t>
      </w:r>
      <w:r>
        <w:rPr>
          <w:rFonts w:hint="eastAsia" w:ascii="宋体" w:hAnsi="宋体" w:eastAsia="宋体" w:cs="宋体"/>
          <w:i w:val="0"/>
          <w:caps w:val="0"/>
          <w:color w:val="333333"/>
          <w:spacing w:val="0"/>
          <w:sz w:val="24"/>
          <w:szCs w:val="24"/>
          <w:lang w:val="en-US"/>
        </w:rPr>
        <w:t>11</w:t>
      </w:r>
      <w:r>
        <w:rPr>
          <w:rFonts w:hint="eastAsia" w:ascii="宋体" w:hAnsi="宋体" w:eastAsia="宋体" w:cs="宋体"/>
          <w:i w:val="0"/>
          <w:caps w:val="0"/>
          <w:color w:val="333333"/>
          <w:spacing w:val="0"/>
          <w:sz w:val="24"/>
          <w:szCs w:val="24"/>
        </w:rPr>
        <w:t>个股室，下设</w:t>
      </w:r>
      <w:r>
        <w:rPr>
          <w:rFonts w:hint="eastAsia" w:ascii="宋体" w:hAnsi="宋体" w:eastAsia="宋体" w:cs="宋体"/>
          <w:i w:val="0"/>
          <w:caps w:val="0"/>
          <w:color w:val="333333"/>
          <w:spacing w:val="0"/>
          <w:sz w:val="24"/>
          <w:szCs w:val="24"/>
          <w:lang w:val="en-US"/>
        </w:rPr>
        <w:t>15</w:t>
      </w:r>
      <w:r>
        <w:rPr>
          <w:rFonts w:hint="eastAsia" w:ascii="宋体" w:hAnsi="宋体" w:eastAsia="宋体" w:cs="宋体"/>
          <w:i w:val="0"/>
          <w:caps w:val="0"/>
          <w:color w:val="333333"/>
          <w:spacing w:val="0"/>
          <w:sz w:val="24"/>
          <w:szCs w:val="24"/>
        </w:rPr>
        <w:t>个乡镇国土资源所和</w:t>
      </w:r>
      <w:r>
        <w:rPr>
          <w:rFonts w:hint="eastAsia" w:ascii="宋体" w:hAnsi="宋体" w:eastAsia="宋体" w:cs="宋体"/>
          <w:i w:val="0"/>
          <w:caps w:val="0"/>
          <w:color w:val="333333"/>
          <w:spacing w:val="0"/>
          <w:sz w:val="24"/>
          <w:szCs w:val="24"/>
          <w:lang w:val="en-US"/>
        </w:rPr>
        <w:t>1</w:t>
      </w:r>
      <w:r>
        <w:rPr>
          <w:rFonts w:hint="eastAsia" w:ascii="宋体" w:hAnsi="宋体" w:eastAsia="宋体" w:cs="宋体"/>
          <w:i w:val="0"/>
          <w:caps w:val="0"/>
          <w:color w:val="333333"/>
          <w:spacing w:val="0"/>
          <w:sz w:val="24"/>
          <w:szCs w:val="24"/>
        </w:rPr>
        <w:t>个农场国土所。</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盈江县国土资源局主要负责编制和实施全县土地利用总体规划以及其他专项规划;编制和实施土地利用计划;负责全县土地利用总体规划;负责建设项目用地预审;组织全县矿产资源的调查评价;组织编制和实施全县矿产资源总体规划、地质环境规划及其他专项规划;指导、审核县矿产资源规划、地质环境规划及专项规划。实施土地用途管制，组织基本农田保护，组织指导未利用土地开发、土地整理、土地复垦，负责耕地占补平衡工作，全县地质灾害防治专项工作，管理全县土地和城乡地籍工作，组织土地资源调查、地籍调查;负责土地定级、确权、登记、发证、动态监测等工作;贯彻执行国家有关地籍管理的各项技术规程。管理土地资产，负责全县土地征用、划拨、出让、储备收购和交易工作;承办由政府审批的建设用地的审查、报批工作。</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在职人员编制80人，其中：行政编制 70人，事业编制10人。在职实有69人，其中： 财政全供养 69人，财政部分供养0人，非财政供养0人。</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 18人，其中： 离休 0人，退休 18人。</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车辆编制2辆，实有车辆2辆。</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2019年部门财务总收入 1095.54万元，其中：一般公共预算财政拨款1095.54万元，政府性基金预算财政拨款0万元，国有资本经营预算财政拨款0万元，事业收入0万元，事业单位经营收入0万元，其他收入0万元，上年结转0万元。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2019年部门财政拨款收入 1095.54万元，其中:本年收入1095.54万元，上年结转0万元。本年收入中，一般公共预算财政拨款1095.54万元（本级财力1095.54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2019年部门预算总支出 1095.54万元。财政拨款安排支出 1095.54万元，其中，基本支出1075.54万元，项目支出20万元。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（一）财政拨款安排支出按功能科目分类情况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2080501归口管理的行政单位离退休1.08万元，主要用于离退休干部学习教育、组织活动、就近就便学习考察、订阅报刊、走访慰问、困难帮扶以及基层党组织建设等；                  2080505机关事业单位基本养老保险缴费支出100.28万元，主要用于缴纳在职人员单位部分的基本养老保险；</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2080506机关事业单位职业年金缴费支出4.39万元，主要用于2019年退休人员职业年金缴费。</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2200101行政运行886.08万元。主要用于2019年单位在职干部的工资、协管员工资及地质灾害监测人员补助等。</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2200199其他自然资源事务支出20万元，</w:t>
      </w:r>
      <w:r>
        <w:rPr>
          <w:rFonts w:hint="eastAsia" w:ascii="宋体" w:hAnsi="宋体" w:eastAsia="宋体" w:cs="宋体"/>
          <w:i w:val="0"/>
          <w:caps w:val="0"/>
          <w:color w:val="000000"/>
          <w:spacing w:val="0"/>
          <w:kern w:val="0"/>
          <w:sz w:val="24"/>
          <w:szCs w:val="24"/>
          <w:lang w:val="en-US" w:eastAsia="zh-CN" w:bidi="ar"/>
        </w:rPr>
        <w:t>主要用于矿山地质环境保护和治理恢复。</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2210201住房公积金支出83.71万元，主要用于单位部份缴纳在职干部的住房公积金。</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（二）财政拨款安排支出按经济科目分类情况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2080501归口管理的行政单位离退休1.08万元其中基本支出1.08万元用于302类商品和服务支出1.08万元，项目支出0万元。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2080505机关事业单位基本养老保险缴费支出100.28万元，其中基本支出100.28万元用于301类工资福利支出100.28万元，项目支出0万元。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2080506机关事业单位职业年金缴费支出4.39万元，其中基本支出4.39万元用于301类工资福利支出4.39万元，项目支出0万元。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2200101行政运行886.08万元，其中基本支出886.08万元用于301类工资福利支出788.88万元（基本工资212.29万元、津贴补贴533.73万元、奖金17.69万元、绩效工资12.57万元、其他工资福利支出12.6万元）。302类商品和服务支出34.50万元（办公费6.43万元、水费0.80万元、电费1.5万元、差旅费10万元、邮电费4.5万元、维修(护)费0.50万元、公务接待费1.88万元、公务用车运行维护费3.39万元、其他一般公用经费5.5万元）。303类对个人和家庭的补助支出62.7万元（生活补助62.7万元），主要用于协管员及地灾隐患监测人员补助。项目支出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2200199其他自然资源事务支出20万元其中基本支出0元，项目支出20万元用于302类商品和服务支出20万元（委托业务费20万元）。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2210201住房公积金83.71万元，其中基本支出83.71万元用于301类工资福利支出83.71万元，项目支出0万元。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五、县对下专项转移支付情况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本单位2019年无县对下专项转移支付</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根据《中华人民共和国政府采购法》的有关规定，编制了政府采购预算，共涉及采购项目0个，采购预算资金0万元。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（一）部门“三公”经费增减变化情况及原因说明</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2019年盈江县国土局“三公”经费预算数为5.27万元与上年预算数5.28万元减少0.01万元，减0.19%，减少原因：厉行节约、按照有关规定，严格控制开支。</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1、因公出国（境）经费</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拟安排出国（境）经费预算0万元，与上年持平。</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2、公务接待费</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拟安排公务接待费预算1.88万元，主要用于按规定开支的各类公务接待产生的费用，与上年预算数1.89万元减少0.01万元减0.53%，减少原因：厉行节约、按照有关规定，严格控制开支。</w:t>
      </w:r>
    </w:p>
    <w:p>
      <w:pPr>
        <w:pStyle w:val="7"/>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lang w:val="en-US"/>
        </w:rPr>
        <w:t>3</w:t>
      </w:r>
      <w:r>
        <w:rPr>
          <w:rFonts w:hint="eastAsia" w:ascii="宋体" w:hAnsi="宋体" w:eastAsia="宋体" w:cs="宋体"/>
          <w:i w:val="0"/>
          <w:caps w:val="0"/>
          <w:color w:val="333333"/>
          <w:spacing w:val="0"/>
          <w:sz w:val="24"/>
          <w:szCs w:val="24"/>
        </w:rPr>
        <w:t>、公务用车购置及运行维护费</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公务用车购置及运行维护费3.39万元，其中：购置经费0万元、运行维护费3.39万元，主要用于保障政府部门、党群部门、其他部门公务工作开展，拟产生的公务用车燃料费、维修费、过路过桥费、保险费等支出，与上年预算数3.39万元持平。</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（二）预算收入增减变化情况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2019部门预算总收入1095.54万元，比上年预算数840.14万元，增255.4万元，增30.40%，其中基本收入1075.54万元，比上年840.14万元,增235.4万元，增28.02%，增加原因是调资增资。项目收入</w:t>
      </w:r>
      <w:r>
        <w:rPr>
          <w:rFonts w:hint="eastAsia" w:ascii="宋体" w:hAnsi="宋体" w:eastAsia="宋体" w:cs="宋体"/>
          <w:b/>
          <w:i w:val="0"/>
          <w:caps w:val="0"/>
          <w:color w:val="333333"/>
          <w:spacing w:val="0"/>
          <w:kern w:val="0"/>
          <w:sz w:val="24"/>
          <w:szCs w:val="24"/>
          <w:lang w:val="en-US" w:eastAsia="zh-CN" w:bidi="ar"/>
        </w:rPr>
        <w:t>20</w:t>
      </w:r>
      <w:r>
        <w:rPr>
          <w:rFonts w:hint="eastAsia" w:ascii="宋体" w:hAnsi="宋体" w:eastAsia="宋体" w:cs="宋体"/>
          <w:i w:val="0"/>
          <w:caps w:val="0"/>
          <w:color w:val="333333"/>
          <w:spacing w:val="0"/>
          <w:kern w:val="0"/>
          <w:sz w:val="24"/>
          <w:szCs w:val="24"/>
          <w:lang w:val="en-US" w:eastAsia="zh-CN" w:bidi="ar"/>
        </w:rPr>
        <w:t>万元，比上年预算项目收入0万元增20万元，增100%，增加原因：增矿山地质环境恢复治理专项资金</w:t>
      </w:r>
      <w:r>
        <w:rPr>
          <w:rFonts w:hint="eastAsia" w:ascii="宋体" w:hAnsi="宋体" w:eastAsia="宋体" w:cs="宋体"/>
          <w:i w:val="0"/>
          <w:caps w:val="0"/>
          <w:color w:val="000000"/>
          <w:spacing w:val="0"/>
          <w:kern w:val="0"/>
          <w:sz w:val="24"/>
          <w:szCs w:val="24"/>
          <w:lang w:val="en-US" w:eastAsia="zh-CN" w:bidi="ar"/>
        </w:rPr>
        <w:t>项目。</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（三）预算支出增减变化情况</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2019部门预算总支出1095.54万元，比上年预算数840.14万元，增255.4万元，增30.40%，其中：基本支出1075.54万元，比上年840.14万元,增235.4万元，增28.02%，增加原因是调资增资。项目支出</w:t>
      </w:r>
      <w:r>
        <w:rPr>
          <w:rFonts w:hint="eastAsia" w:ascii="宋体" w:hAnsi="宋体" w:eastAsia="宋体" w:cs="宋体"/>
          <w:b/>
          <w:i w:val="0"/>
          <w:caps w:val="0"/>
          <w:color w:val="333333"/>
          <w:spacing w:val="0"/>
          <w:kern w:val="0"/>
          <w:sz w:val="24"/>
          <w:szCs w:val="24"/>
          <w:lang w:val="en-US" w:eastAsia="zh-CN" w:bidi="ar"/>
        </w:rPr>
        <w:t>20</w:t>
      </w:r>
      <w:r>
        <w:rPr>
          <w:rFonts w:hint="eastAsia" w:ascii="宋体" w:hAnsi="宋体" w:eastAsia="宋体" w:cs="宋体"/>
          <w:i w:val="0"/>
          <w:caps w:val="0"/>
          <w:color w:val="333333"/>
          <w:spacing w:val="0"/>
          <w:kern w:val="0"/>
          <w:sz w:val="24"/>
          <w:szCs w:val="24"/>
          <w:lang w:val="en-US" w:eastAsia="zh-CN" w:bidi="ar"/>
        </w:rPr>
        <w:t>万元，比上年预算项目支出0万元增20万元，增100%，增加原因：增矿山地质环境恢复治理专项资金</w:t>
      </w:r>
      <w:r>
        <w:rPr>
          <w:rFonts w:hint="eastAsia" w:ascii="宋体" w:hAnsi="宋体" w:eastAsia="宋体" w:cs="宋体"/>
          <w:i w:val="0"/>
          <w:caps w:val="0"/>
          <w:color w:val="000000"/>
          <w:spacing w:val="0"/>
          <w:kern w:val="0"/>
          <w:sz w:val="24"/>
          <w:szCs w:val="24"/>
          <w:lang w:val="en-US" w:eastAsia="zh-CN" w:bidi="ar"/>
        </w:rPr>
        <w:t>项目。</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（一）专业名词解释</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1、财政拨款收入：是指行政单位从同级财政部门取得的财政预算资金。</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2、基本支出：为保障机构正常运行，完成日常工作任务而发生的人员支出和公用支出。</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3、项目支出：指在基本支出之外为完成特定行政任务和事业发展目标所发生的支出。</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Style w:val="11"/>
          <w:rFonts w:hint="eastAsia" w:ascii="宋体" w:hAnsi="宋体" w:eastAsia="宋体" w:cs="宋体"/>
          <w:b w:val="0"/>
          <w:i w:val="0"/>
          <w:caps w:val="0"/>
          <w:color w:val="000000"/>
          <w:spacing w:val="17"/>
          <w:kern w:val="0"/>
          <w:sz w:val="24"/>
          <w:szCs w:val="24"/>
          <w:shd w:val="clear" w:fill="FFFFFF"/>
          <w:lang w:val="en-US" w:eastAsia="zh-CN" w:bidi="ar"/>
        </w:rPr>
        <w:t>4、“三公”经费</w:t>
      </w:r>
      <w:r>
        <w:rPr>
          <w:rStyle w:val="11"/>
          <w:rFonts w:hint="eastAsia" w:ascii="宋体" w:hAnsi="宋体" w:eastAsia="宋体" w:cs="宋体"/>
          <w:i w:val="0"/>
          <w:caps w:val="0"/>
          <w:color w:val="000000"/>
          <w:spacing w:val="17"/>
          <w:kern w:val="0"/>
          <w:sz w:val="24"/>
          <w:szCs w:val="24"/>
          <w:shd w:val="clear" w:fill="FFFFFF"/>
          <w:lang w:val="en-US" w:eastAsia="zh-CN" w:bidi="ar"/>
        </w:rPr>
        <w:t>：</w:t>
      </w:r>
      <w:r>
        <w:rPr>
          <w:rFonts w:hint="eastAsia" w:ascii="宋体" w:hAnsi="宋体" w:eastAsia="宋体" w:cs="宋体"/>
          <w:i w:val="0"/>
          <w:caps w:val="0"/>
          <w:color w:val="000000"/>
          <w:spacing w:val="17"/>
          <w:kern w:val="0"/>
          <w:sz w:val="24"/>
          <w:szCs w:val="24"/>
          <w:shd w:val="clear" w:fill="FFFFFF"/>
          <w:lang w:val="en-US" w:eastAsia="zh-CN" w:bidi="ar"/>
        </w:rPr>
        <w:t>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17"/>
          <w:kern w:val="0"/>
          <w:sz w:val="24"/>
          <w:szCs w:val="24"/>
          <w:shd w:val="clear" w:fill="FFFFFF"/>
          <w:lang w:val="en-US" w:eastAsia="zh-CN" w:bidi="ar"/>
        </w:rPr>
        <w:t>5、机关运行经费</w:t>
      </w:r>
      <w:r>
        <w:rPr>
          <w:rFonts w:ascii="微软雅黑" w:hAnsi="微软雅黑" w:eastAsia="微软雅黑" w:cs="微软雅黑"/>
          <w:b/>
          <w:i w:val="0"/>
          <w:caps w:val="0"/>
          <w:color w:val="000000"/>
          <w:spacing w:val="17"/>
          <w:kern w:val="0"/>
          <w:sz w:val="24"/>
          <w:szCs w:val="24"/>
          <w:shd w:val="clear" w:fill="FFFFFF"/>
          <w:lang w:val="en-US" w:eastAsia="zh-CN" w:bidi="ar"/>
        </w:rPr>
        <w:t>：</w:t>
      </w:r>
      <w:r>
        <w:rPr>
          <w:rFonts w:hint="eastAsia" w:ascii="宋体" w:hAnsi="宋体" w:eastAsia="宋体" w:cs="宋体"/>
          <w:i w:val="0"/>
          <w:caps w:val="0"/>
          <w:color w:val="000000"/>
          <w:spacing w:val="17"/>
          <w:kern w:val="0"/>
          <w:sz w:val="24"/>
          <w:szCs w:val="24"/>
          <w:shd w:val="clear" w:fill="FFFFFF"/>
          <w:lang w:val="en-US" w:eastAsia="zh-CN" w:bidi="ar"/>
        </w:rPr>
        <w:t>部门决算中行政单位和参照公务员法管理的事业单位一般公共预算财政拨款基本支出中日常公用经费。</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（二）机关运行经费安排</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机关运行经费共安排35.58万元，与上年的35.14万元对比，增加0.44万元，增加1%，增加原因为本年度在职人员新增1人，公用经费增加0.5万元；退休人员减少1人，退休公用经费减少0.06万元。2019年机关运行经费主要用于办公费7.51万元、水费0.8万元、电费1.5万元、差旅费10万元、邮电费4.5万元、维修护费0.5万元、公务接待费1.88万元、公务用车运行维护费3.39万元、</w:t>
      </w:r>
      <w:r>
        <w:rPr>
          <w:rFonts w:hint="eastAsia" w:ascii="宋体" w:hAnsi="宋体" w:eastAsia="宋体" w:cs="宋体"/>
          <w:i w:val="0"/>
          <w:caps w:val="0"/>
          <w:color w:val="000000"/>
          <w:spacing w:val="0"/>
          <w:kern w:val="0"/>
          <w:sz w:val="24"/>
          <w:szCs w:val="24"/>
          <w:lang w:val="en-US" w:eastAsia="zh-CN" w:bidi="ar"/>
        </w:rPr>
        <w:t>其他一般公用经费5.5万元。</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（三）国有资产占用情况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鉴于截至2019年12月31日的国有资产占有使用情况需在完成2019年决算编制后才能统计汇总相关数据，因此，将在公开部门决算时一并公开部门截至2019年12月31日的国有资产占有使用情况。</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（四）本部门预算绩效情况说明</w:t>
      </w:r>
    </w:p>
    <w:p>
      <w:pPr>
        <w:keepNext w:val="0"/>
        <w:keepLines w:val="0"/>
        <w:widowControl/>
        <w:suppressLineNumbers w:val="0"/>
        <w:spacing w:before="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2019年部门收入预算1095.54万元，财政拨款安排支出1095.54万元其中：基本支出1075.54万元主要用于发放职工工资、地质灾害监测人员补助，住房公积金、基本养老保险缴费，支付公用经费，确保机构正常运转。项目支出</w:t>
      </w:r>
      <w:r>
        <w:rPr>
          <w:rFonts w:hint="eastAsia" w:ascii="宋体" w:hAnsi="宋体" w:eastAsia="宋体" w:cs="宋体"/>
          <w:b/>
          <w:i w:val="0"/>
          <w:caps w:val="0"/>
          <w:color w:val="333333"/>
          <w:spacing w:val="0"/>
          <w:kern w:val="0"/>
          <w:sz w:val="24"/>
          <w:szCs w:val="24"/>
          <w:lang w:val="en-US" w:eastAsia="zh-CN" w:bidi="ar"/>
        </w:rPr>
        <w:t>20</w:t>
      </w:r>
      <w:r>
        <w:rPr>
          <w:rFonts w:hint="eastAsia" w:ascii="宋体" w:hAnsi="宋体" w:eastAsia="宋体" w:cs="宋体"/>
          <w:i w:val="0"/>
          <w:caps w:val="0"/>
          <w:color w:val="333333"/>
          <w:spacing w:val="0"/>
          <w:kern w:val="0"/>
          <w:sz w:val="24"/>
          <w:szCs w:val="24"/>
          <w:lang w:val="en-US" w:eastAsia="zh-CN" w:bidi="ar"/>
        </w:rPr>
        <w:t>万元，主要用于矿山地质环境恢复治理，构建政府、企业、社会共同参与的恢复和综合治理新机制，完善县、乡（镇）矿山地质环境行政监督管理体系。基本建成制度完善、责任明确、措施得当、管理到位的矿山地质环境恢复和综合治理工作体系，使盈江县矿山地质环境质量得到明显改善和提高，实现矿产资源开发与矿山地质环境保护良性偱环确保我县经济社会持续健康稳定发展。</w:t>
      </w:r>
    </w:p>
    <w:p/>
    <w:p>
      <w:pPr>
        <w:widowControl/>
        <w:jc w:val="left"/>
        <w:rPr>
          <w:rFonts w:ascii="楷体_GB2312" w:eastAsia="楷体_GB2312" w:cs="楷体_GB2312"/>
          <w:kern w:val="0"/>
          <w:sz w:val="30"/>
          <w:szCs w:val="30"/>
        </w:rPr>
      </w:pPr>
      <w:bookmarkStart w:id="0" w:name="_GoBack"/>
      <w:bookmarkEnd w:id="0"/>
    </w:p>
    <w:p>
      <w:pPr>
        <w:rPr>
          <w:rFonts w:ascii="Arial" w:hAnsi="Arial" w:eastAsia="Arial" w:cs="Arial"/>
          <w:b/>
          <w:sz w:val="36"/>
        </w:rPr>
      </w:pPr>
      <w:r>
        <w:rPr>
          <w:rFonts w:ascii="Arial" w:hAnsi="Arial" w:eastAsia="Arial" w:cs="Arial"/>
          <w:b/>
          <w:sz w:val="36"/>
        </w:rPr>
        <w:t>监督索引号53312300432400111</w:t>
      </w:r>
    </w:p>
    <w:sectPr>
      <w:headerReference r:id="rId3" w:type="default"/>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07DE7"/>
    <w:rsid w:val="000100AD"/>
    <w:rsid w:val="00010713"/>
    <w:rsid w:val="00011F4A"/>
    <w:rsid w:val="00012FB3"/>
    <w:rsid w:val="00014D4F"/>
    <w:rsid w:val="000152A5"/>
    <w:rsid w:val="000237AB"/>
    <w:rsid w:val="0003248D"/>
    <w:rsid w:val="00034005"/>
    <w:rsid w:val="0005317B"/>
    <w:rsid w:val="000543CA"/>
    <w:rsid w:val="00054EA9"/>
    <w:rsid w:val="000559B2"/>
    <w:rsid w:val="00060B5F"/>
    <w:rsid w:val="0006133F"/>
    <w:rsid w:val="00063177"/>
    <w:rsid w:val="00064C37"/>
    <w:rsid w:val="00065BE2"/>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2854"/>
    <w:rsid w:val="000B30A2"/>
    <w:rsid w:val="000B59B5"/>
    <w:rsid w:val="000B5BAB"/>
    <w:rsid w:val="000B5F6C"/>
    <w:rsid w:val="000B7EA9"/>
    <w:rsid w:val="000C3AE5"/>
    <w:rsid w:val="000C5123"/>
    <w:rsid w:val="000D4394"/>
    <w:rsid w:val="000D5DA7"/>
    <w:rsid w:val="000E2B18"/>
    <w:rsid w:val="000E530D"/>
    <w:rsid w:val="000E666C"/>
    <w:rsid w:val="000F365A"/>
    <w:rsid w:val="000F4C86"/>
    <w:rsid w:val="001046C0"/>
    <w:rsid w:val="00104701"/>
    <w:rsid w:val="00114FB7"/>
    <w:rsid w:val="001203BE"/>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63DD8"/>
    <w:rsid w:val="001704E4"/>
    <w:rsid w:val="00175223"/>
    <w:rsid w:val="00175B2E"/>
    <w:rsid w:val="00176F17"/>
    <w:rsid w:val="001804E3"/>
    <w:rsid w:val="00180C9A"/>
    <w:rsid w:val="00182D13"/>
    <w:rsid w:val="00183B42"/>
    <w:rsid w:val="00186C54"/>
    <w:rsid w:val="00192C05"/>
    <w:rsid w:val="00197421"/>
    <w:rsid w:val="00197CAA"/>
    <w:rsid w:val="00197E5D"/>
    <w:rsid w:val="001A1B3A"/>
    <w:rsid w:val="001A3286"/>
    <w:rsid w:val="001A3CEE"/>
    <w:rsid w:val="001A784A"/>
    <w:rsid w:val="001B045D"/>
    <w:rsid w:val="001C1C89"/>
    <w:rsid w:val="001C4EF7"/>
    <w:rsid w:val="001C55D5"/>
    <w:rsid w:val="001D120C"/>
    <w:rsid w:val="001E03BD"/>
    <w:rsid w:val="001E684A"/>
    <w:rsid w:val="00200BD6"/>
    <w:rsid w:val="002128AB"/>
    <w:rsid w:val="00213694"/>
    <w:rsid w:val="00216177"/>
    <w:rsid w:val="002230AE"/>
    <w:rsid w:val="002247D0"/>
    <w:rsid w:val="00224F80"/>
    <w:rsid w:val="0022507C"/>
    <w:rsid w:val="00226979"/>
    <w:rsid w:val="00226BB2"/>
    <w:rsid w:val="002406F5"/>
    <w:rsid w:val="00240B59"/>
    <w:rsid w:val="00242E76"/>
    <w:rsid w:val="00243464"/>
    <w:rsid w:val="002462A8"/>
    <w:rsid w:val="00247731"/>
    <w:rsid w:val="00253C74"/>
    <w:rsid w:val="00262BAD"/>
    <w:rsid w:val="0027094B"/>
    <w:rsid w:val="00270DDB"/>
    <w:rsid w:val="002726B1"/>
    <w:rsid w:val="002727D0"/>
    <w:rsid w:val="002749C8"/>
    <w:rsid w:val="00275325"/>
    <w:rsid w:val="00281C06"/>
    <w:rsid w:val="00285DC4"/>
    <w:rsid w:val="00294AE7"/>
    <w:rsid w:val="002A7BAE"/>
    <w:rsid w:val="002B11FA"/>
    <w:rsid w:val="002B2CA6"/>
    <w:rsid w:val="002B34ED"/>
    <w:rsid w:val="002B37A7"/>
    <w:rsid w:val="002B4342"/>
    <w:rsid w:val="002B5470"/>
    <w:rsid w:val="002B56EB"/>
    <w:rsid w:val="002B6D47"/>
    <w:rsid w:val="002C2555"/>
    <w:rsid w:val="002C7D21"/>
    <w:rsid w:val="002D27CD"/>
    <w:rsid w:val="002D3EC0"/>
    <w:rsid w:val="002D729F"/>
    <w:rsid w:val="002E0E3C"/>
    <w:rsid w:val="002E1812"/>
    <w:rsid w:val="002E2F7F"/>
    <w:rsid w:val="002E4B20"/>
    <w:rsid w:val="002E5FC6"/>
    <w:rsid w:val="002E6D7D"/>
    <w:rsid w:val="002E6F53"/>
    <w:rsid w:val="002F2C1E"/>
    <w:rsid w:val="002F2D4C"/>
    <w:rsid w:val="002F6E99"/>
    <w:rsid w:val="00300C47"/>
    <w:rsid w:val="003050B6"/>
    <w:rsid w:val="0030726B"/>
    <w:rsid w:val="0031086C"/>
    <w:rsid w:val="0031118B"/>
    <w:rsid w:val="0031122F"/>
    <w:rsid w:val="00315EFA"/>
    <w:rsid w:val="0031621D"/>
    <w:rsid w:val="00316408"/>
    <w:rsid w:val="003179FB"/>
    <w:rsid w:val="00323A51"/>
    <w:rsid w:val="003244C9"/>
    <w:rsid w:val="0032468B"/>
    <w:rsid w:val="00326508"/>
    <w:rsid w:val="00327119"/>
    <w:rsid w:val="003333E4"/>
    <w:rsid w:val="00336580"/>
    <w:rsid w:val="0034184B"/>
    <w:rsid w:val="003428BF"/>
    <w:rsid w:val="003535EB"/>
    <w:rsid w:val="00354CF3"/>
    <w:rsid w:val="00354D29"/>
    <w:rsid w:val="00356356"/>
    <w:rsid w:val="00360593"/>
    <w:rsid w:val="00360EF7"/>
    <w:rsid w:val="00361A07"/>
    <w:rsid w:val="00366AAA"/>
    <w:rsid w:val="003710A2"/>
    <w:rsid w:val="00372470"/>
    <w:rsid w:val="00376707"/>
    <w:rsid w:val="0037788A"/>
    <w:rsid w:val="0038029B"/>
    <w:rsid w:val="0038146A"/>
    <w:rsid w:val="00383096"/>
    <w:rsid w:val="00391BCA"/>
    <w:rsid w:val="00392AA8"/>
    <w:rsid w:val="003930CD"/>
    <w:rsid w:val="003931E6"/>
    <w:rsid w:val="003A324A"/>
    <w:rsid w:val="003A73EF"/>
    <w:rsid w:val="003B2514"/>
    <w:rsid w:val="003B54C2"/>
    <w:rsid w:val="003B5BA8"/>
    <w:rsid w:val="003C0093"/>
    <w:rsid w:val="003C1BE1"/>
    <w:rsid w:val="003C6315"/>
    <w:rsid w:val="003D1204"/>
    <w:rsid w:val="003D160D"/>
    <w:rsid w:val="003D2B00"/>
    <w:rsid w:val="003D35F4"/>
    <w:rsid w:val="003D6601"/>
    <w:rsid w:val="003D6C9A"/>
    <w:rsid w:val="003E206F"/>
    <w:rsid w:val="003E2D1F"/>
    <w:rsid w:val="003E2DE1"/>
    <w:rsid w:val="003E5754"/>
    <w:rsid w:val="003F171F"/>
    <w:rsid w:val="003F201E"/>
    <w:rsid w:val="003F3C0C"/>
    <w:rsid w:val="003F4360"/>
    <w:rsid w:val="0040002C"/>
    <w:rsid w:val="00400C3B"/>
    <w:rsid w:val="00402B1E"/>
    <w:rsid w:val="00403507"/>
    <w:rsid w:val="00403546"/>
    <w:rsid w:val="00404DA0"/>
    <w:rsid w:val="004158B8"/>
    <w:rsid w:val="00416B98"/>
    <w:rsid w:val="004175BC"/>
    <w:rsid w:val="00421A99"/>
    <w:rsid w:val="004269DF"/>
    <w:rsid w:val="0042780C"/>
    <w:rsid w:val="0043232E"/>
    <w:rsid w:val="00432BAC"/>
    <w:rsid w:val="00433DBE"/>
    <w:rsid w:val="00445161"/>
    <w:rsid w:val="004457F4"/>
    <w:rsid w:val="004472BF"/>
    <w:rsid w:val="00447C85"/>
    <w:rsid w:val="004534D7"/>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B55A3"/>
    <w:rsid w:val="004C064B"/>
    <w:rsid w:val="004C1CDF"/>
    <w:rsid w:val="004D26D3"/>
    <w:rsid w:val="004D3A59"/>
    <w:rsid w:val="004D4AFC"/>
    <w:rsid w:val="004D61E2"/>
    <w:rsid w:val="004D6E1D"/>
    <w:rsid w:val="004F2C44"/>
    <w:rsid w:val="004F4F9F"/>
    <w:rsid w:val="004F5C1B"/>
    <w:rsid w:val="005054B5"/>
    <w:rsid w:val="00505533"/>
    <w:rsid w:val="00506344"/>
    <w:rsid w:val="00513BA5"/>
    <w:rsid w:val="005148D7"/>
    <w:rsid w:val="00521069"/>
    <w:rsid w:val="005248EA"/>
    <w:rsid w:val="0052572D"/>
    <w:rsid w:val="00533A92"/>
    <w:rsid w:val="00536CBB"/>
    <w:rsid w:val="005402FF"/>
    <w:rsid w:val="005431C8"/>
    <w:rsid w:val="005463F4"/>
    <w:rsid w:val="00550F8A"/>
    <w:rsid w:val="00552235"/>
    <w:rsid w:val="00552BA8"/>
    <w:rsid w:val="0055409A"/>
    <w:rsid w:val="00563EEF"/>
    <w:rsid w:val="00572E90"/>
    <w:rsid w:val="00575EDA"/>
    <w:rsid w:val="00577615"/>
    <w:rsid w:val="00587FE5"/>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D7742"/>
    <w:rsid w:val="005E6A58"/>
    <w:rsid w:val="005F310F"/>
    <w:rsid w:val="00602B8A"/>
    <w:rsid w:val="0060314C"/>
    <w:rsid w:val="00610778"/>
    <w:rsid w:val="00610CF7"/>
    <w:rsid w:val="00612D63"/>
    <w:rsid w:val="00614B12"/>
    <w:rsid w:val="006150EC"/>
    <w:rsid w:val="006164DB"/>
    <w:rsid w:val="0061679D"/>
    <w:rsid w:val="006253D8"/>
    <w:rsid w:val="00626153"/>
    <w:rsid w:val="006374A1"/>
    <w:rsid w:val="00651B6C"/>
    <w:rsid w:val="006540CB"/>
    <w:rsid w:val="00657D7E"/>
    <w:rsid w:val="00660B2A"/>
    <w:rsid w:val="00663D84"/>
    <w:rsid w:val="00671887"/>
    <w:rsid w:val="006740A4"/>
    <w:rsid w:val="00675E0F"/>
    <w:rsid w:val="006771C5"/>
    <w:rsid w:val="00682553"/>
    <w:rsid w:val="00683658"/>
    <w:rsid w:val="0068515C"/>
    <w:rsid w:val="0068667C"/>
    <w:rsid w:val="006A26A0"/>
    <w:rsid w:val="006A4FDA"/>
    <w:rsid w:val="006B1C07"/>
    <w:rsid w:val="006B3DA5"/>
    <w:rsid w:val="006B5B25"/>
    <w:rsid w:val="006B7827"/>
    <w:rsid w:val="006C160E"/>
    <w:rsid w:val="006D0172"/>
    <w:rsid w:val="006E1A3A"/>
    <w:rsid w:val="006E2230"/>
    <w:rsid w:val="006E2B9C"/>
    <w:rsid w:val="006E7E4C"/>
    <w:rsid w:val="006F02E3"/>
    <w:rsid w:val="006F1C64"/>
    <w:rsid w:val="006F3C19"/>
    <w:rsid w:val="00700438"/>
    <w:rsid w:val="007013C6"/>
    <w:rsid w:val="00702187"/>
    <w:rsid w:val="00702B6D"/>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75D46"/>
    <w:rsid w:val="00780AAD"/>
    <w:rsid w:val="0078298F"/>
    <w:rsid w:val="0078371A"/>
    <w:rsid w:val="00783A4C"/>
    <w:rsid w:val="0079250C"/>
    <w:rsid w:val="00794375"/>
    <w:rsid w:val="007A05BD"/>
    <w:rsid w:val="007A7078"/>
    <w:rsid w:val="007A725D"/>
    <w:rsid w:val="007B0C91"/>
    <w:rsid w:val="007B4A0F"/>
    <w:rsid w:val="007C05CB"/>
    <w:rsid w:val="007C1922"/>
    <w:rsid w:val="007C3153"/>
    <w:rsid w:val="007C31FA"/>
    <w:rsid w:val="007C7656"/>
    <w:rsid w:val="007D066F"/>
    <w:rsid w:val="007D1AE5"/>
    <w:rsid w:val="007D48B3"/>
    <w:rsid w:val="007D5A91"/>
    <w:rsid w:val="007D7D0A"/>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5338F"/>
    <w:rsid w:val="00863FCA"/>
    <w:rsid w:val="00864E02"/>
    <w:rsid w:val="00874702"/>
    <w:rsid w:val="008775B4"/>
    <w:rsid w:val="008808A6"/>
    <w:rsid w:val="00884461"/>
    <w:rsid w:val="00885B69"/>
    <w:rsid w:val="008A159E"/>
    <w:rsid w:val="008A38E5"/>
    <w:rsid w:val="008A3F94"/>
    <w:rsid w:val="008A4B32"/>
    <w:rsid w:val="008A6037"/>
    <w:rsid w:val="008A6EAC"/>
    <w:rsid w:val="008B2777"/>
    <w:rsid w:val="008B3519"/>
    <w:rsid w:val="008B4667"/>
    <w:rsid w:val="008B6607"/>
    <w:rsid w:val="008B7085"/>
    <w:rsid w:val="008B7FDC"/>
    <w:rsid w:val="008C0CBC"/>
    <w:rsid w:val="008C1602"/>
    <w:rsid w:val="008C1FFC"/>
    <w:rsid w:val="008C7E75"/>
    <w:rsid w:val="008D1AD8"/>
    <w:rsid w:val="008D2E7D"/>
    <w:rsid w:val="008D5FED"/>
    <w:rsid w:val="008E0B11"/>
    <w:rsid w:val="008E2734"/>
    <w:rsid w:val="008E5296"/>
    <w:rsid w:val="008F35F1"/>
    <w:rsid w:val="008F3FB1"/>
    <w:rsid w:val="008F6F6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77337"/>
    <w:rsid w:val="00977CC8"/>
    <w:rsid w:val="00980F62"/>
    <w:rsid w:val="00981123"/>
    <w:rsid w:val="00982629"/>
    <w:rsid w:val="0098468C"/>
    <w:rsid w:val="0098667C"/>
    <w:rsid w:val="0098721C"/>
    <w:rsid w:val="009907B9"/>
    <w:rsid w:val="00992351"/>
    <w:rsid w:val="009A08B6"/>
    <w:rsid w:val="009A2377"/>
    <w:rsid w:val="009A4D11"/>
    <w:rsid w:val="009B3ED3"/>
    <w:rsid w:val="009B4ADC"/>
    <w:rsid w:val="009C1730"/>
    <w:rsid w:val="009D296C"/>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452C"/>
    <w:rsid w:val="00A2566B"/>
    <w:rsid w:val="00A32086"/>
    <w:rsid w:val="00A34E84"/>
    <w:rsid w:val="00A352B0"/>
    <w:rsid w:val="00A37886"/>
    <w:rsid w:val="00A472C6"/>
    <w:rsid w:val="00A51E78"/>
    <w:rsid w:val="00A570A1"/>
    <w:rsid w:val="00A60974"/>
    <w:rsid w:val="00A61DCD"/>
    <w:rsid w:val="00A65535"/>
    <w:rsid w:val="00A724CF"/>
    <w:rsid w:val="00A7532F"/>
    <w:rsid w:val="00A75DD8"/>
    <w:rsid w:val="00A761CF"/>
    <w:rsid w:val="00A81682"/>
    <w:rsid w:val="00A84D92"/>
    <w:rsid w:val="00A84E65"/>
    <w:rsid w:val="00A95B6C"/>
    <w:rsid w:val="00A96DFD"/>
    <w:rsid w:val="00AA7480"/>
    <w:rsid w:val="00AB1481"/>
    <w:rsid w:val="00AB2ABB"/>
    <w:rsid w:val="00AB5C67"/>
    <w:rsid w:val="00AB7C98"/>
    <w:rsid w:val="00AC47D9"/>
    <w:rsid w:val="00AD0DA1"/>
    <w:rsid w:val="00AE0209"/>
    <w:rsid w:val="00AE0DD6"/>
    <w:rsid w:val="00AE2095"/>
    <w:rsid w:val="00AE3EEA"/>
    <w:rsid w:val="00AE5322"/>
    <w:rsid w:val="00AE5FEF"/>
    <w:rsid w:val="00AE73E2"/>
    <w:rsid w:val="00AF1CF9"/>
    <w:rsid w:val="00AF2AE3"/>
    <w:rsid w:val="00AF7B4F"/>
    <w:rsid w:val="00AF7C58"/>
    <w:rsid w:val="00B05787"/>
    <w:rsid w:val="00B10153"/>
    <w:rsid w:val="00B146DB"/>
    <w:rsid w:val="00B15323"/>
    <w:rsid w:val="00B259AC"/>
    <w:rsid w:val="00B268D9"/>
    <w:rsid w:val="00B26EC9"/>
    <w:rsid w:val="00B31B8F"/>
    <w:rsid w:val="00B333B0"/>
    <w:rsid w:val="00B36BD9"/>
    <w:rsid w:val="00B43561"/>
    <w:rsid w:val="00B440DB"/>
    <w:rsid w:val="00B4415D"/>
    <w:rsid w:val="00B45103"/>
    <w:rsid w:val="00B45D24"/>
    <w:rsid w:val="00B45DB2"/>
    <w:rsid w:val="00B52992"/>
    <w:rsid w:val="00B538C6"/>
    <w:rsid w:val="00B62018"/>
    <w:rsid w:val="00B63114"/>
    <w:rsid w:val="00B64A22"/>
    <w:rsid w:val="00B67D14"/>
    <w:rsid w:val="00B700C3"/>
    <w:rsid w:val="00B72BCE"/>
    <w:rsid w:val="00B8042D"/>
    <w:rsid w:val="00B80F2C"/>
    <w:rsid w:val="00B810FF"/>
    <w:rsid w:val="00B8418B"/>
    <w:rsid w:val="00B84519"/>
    <w:rsid w:val="00B87463"/>
    <w:rsid w:val="00B91E5C"/>
    <w:rsid w:val="00B9348B"/>
    <w:rsid w:val="00BA00E2"/>
    <w:rsid w:val="00BA4255"/>
    <w:rsid w:val="00BA4F5A"/>
    <w:rsid w:val="00BA7BBA"/>
    <w:rsid w:val="00BB3DE5"/>
    <w:rsid w:val="00BB4394"/>
    <w:rsid w:val="00BB48E2"/>
    <w:rsid w:val="00BB5ABD"/>
    <w:rsid w:val="00BC1BA9"/>
    <w:rsid w:val="00BC41E1"/>
    <w:rsid w:val="00BC4478"/>
    <w:rsid w:val="00BD2FC7"/>
    <w:rsid w:val="00BD6EC1"/>
    <w:rsid w:val="00BE1D0F"/>
    <w:rsid w:val="00BE25AF"/>
    <w:rsid w:val="00BE3F11"/>
    <w:rsid w:val="00BF3FBF"/>
    <w:rsid w:val="00C00074"/>
    <w:rsid w:val="00C01D14"/>
    <w:rsid w:val="00C043E6"/>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726"/>
    <w:rsid w:val="00C71E3F"/>
    <w:rsid w:val="00C75A4D"/>
    <w:rsid w:val="00C75CE4"/>
    <w:rsid w:val="00C82AE7"/>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4A95"/>
    <w:rsid w:val="00D165B0"/>
    <w:rsid w:val="00D2309C"/>
    <w:rsid w:val="00D249EC"/>
    <w:rsid w:val="00D30CFE"/>
    <w:rsid w:val="00D314BC"/>
    <w:rsid w:val="00D319FC"/>
    <w:rsid w:val="00D37964"/>
    <w:rsid w:val="00D40468"/>
    <w:rsid w:val="00D41979"/>
    <w:rsid w:val="00D41BD8"/>
    <w:rsid w:val="00D45FD5"/>
    <w:rsid w:val="00D501E4"/>
    <w:rsid w:val="00D51F3A"/>
    <w:rsid w:val="00D5698D"/>
    <w:rsid w:val="00D6213F"/>
    <w:rsid w:val="00D62340"/>
    <w:rsid w:val="00D63F18"/>
    <w:rsid w:val="00D6527D"/>
    <w:rsid w:val="00D6795D"/>
    <w:rsid w:val="00D729EC"/>
    <w:rsid w:val="00D74B92"/>
    <w:rsid w:val="00D80533"/>
    <w:rsid w:val="00D83A9A"/>
    <w:rsid w:val="00D841C1"/>
    <w:rsid w:val="00D93010"/>
    <w:rsid w:val="00D946E9"/>
    <w:rsid w:val="00D9604F"/>
    <w:rsid w:val="00D9737C"/>
    <w:rsid w:val="00DA355C"/>
    <w:rsid w:val="00DA40C9"/>
    <w:rsid w:val="00DA76AC"/>
    <w:rsid w:val="00DB3D0C"/>
    <w:rsid w:val="00DB4D49"/>
    <w:rsid w:val="00DB767D"/>
    <w:rsid w:val="00DC07E5"/>
    <w:rsid w:val="00DC395D"/>
    <w:rsid w:val="00DC634D"/>
    <w:rsid w:val="00DC6EE2"/>
    <w:rsid w:val="00DD0FFA"/>
    <w:rsid w:val="00DD202C"/>
    <w:rsid w:val="00DD3863"/>
    <w:rsid w:val="00DD75AF"/>
    <w:rsid w:val="00DE5376"/>
    <w:rsid w:val="00DE60D1"/>
    <w:rsid w:val="00DE78FD"/>
    <w:rsid w:val="00DF050A"/>
    <w:rsid w:val="00DF59BD"/>
    <w:rsid w:val="00DF6FC3"/>
    <w:rsid w:val="00DF751A"/>
    <w:rsid w:val="00DF7A31"/>
    <w:rsid w:val="00E01827"/>
    <w:rsid w:val="00E05A1C"/>
    <w:rsid w:val="00E07333"/>
    <w:rsid w:val="00E129EE"/>
    <w:rsid w:val="00E12BAD"/>
    <w:rsid w:val="00E13411"/>
    <w:rsid w:val="00E14AC6"/>
    <w:rsid w:val="00E30F62"/>
    <w:rsid w:val="00E32788"/>
    <w:rsid w:val="00E36ECE"/>
    <w:rsid w:val="00E46B69"/>
    <w:rsid w:val="00E5034C"/>
    <w:rsid w:val="00E546D6"/>
    <w:rsid w:val="00E573AC"/>
    <w:rsid w:val="00E57B94"/>
    <w:rsid w:val="00E62839"/>
    <w:rsid w:val="00E62E85"/>
    <w:rsid w:val="00E64EE1"/>
    <w:rsid w:val="00E65C1E"/>
    <w:rsid w:val="00E75F13"/>
    <w:rsid w:val="00E76022"/>
    <w:rsid w:val="00E82EC6"/>
    <w:rsid w:val="00E83456"/>
    <w:rsid w:val="00E83502"/>
    <w:rsid w:val="00E97D8E"/>
    <w:rsid w:val="00EA25E4"/>
    <w:rsid w:val="00EA3E87"/>
    <w:rsid w:val="00EA7A22"/>
    <w:rsid w:val="00EA7DE2"/>
    <w:rsid w:val="00EB004F"/>
    <w:rsid w:val="00EB6AC3"/>
    <w:rsid w:val="00EC34AA"/>
    <w:rsid w:val="00EC6D59"/>
    <w:rsid w:val="00EC703C"/>
    <w:rsid w:val="00ED0777"/>
    <w:rsid w:val="00ED2DE0"/>
    <w:rsid w:val="00ED6645"/>
    <w:rsid w:val="00ED6F4E"/>
    <w:rsid w:val="00EE37EE"/>
    <w:rsid w:val="00EE65F5"/>
    <w:rsid w:val="00EE6EB1"/>
    <w:rsid w:val="00EF43D5"/>
    <w:rsid w:val="00EF4E23"/>
    <w:rsid w:val="00EF6912"/>
    <w:rsid w:val="00EF691D"/>
    <w:rsid w:val="00F0000C"/>
    <w:rsid w:val="00F002E5"/>
    <w:rsid w:val="00F03838"/>
    <w:rsid w:val="00F03945"/>
    <w:rsid w:val="00F04C86"/>
    <w:rsid w:val="00F0598E"/>
    <w:rsid w:val="00F11D4E"/>
    <w:rsid w:val="00F12CC8"/>
    <w:rsid w:val="00F150FF"/>
    <w:rsid w:val="00F20765"/>
    <w:rsid w:val="00F20D44"/>
    <w:rsid w:val="00F20F22"/>
    <w:rsid w:val="00F238CE"/>
    <w:rsid w:val="00F24EE1"/>
    <w:rsid w:val="00F35CB9"/>
    <w:rsid w:val="00F36445"/>
    <w:rsid w:val="00F37D41"/>
    <w:rsid w:val="00F412D7"/>
    <w:rsid w:val="00F43996"/>
    <w:rsid w:val="00F45AD5"/>
    <w:rsid w:val="00F45F72"/>
    <w:rsid w:val="00F47184"/>
    <w:rsid w:val="00F51398"/>
    <w:rsid w:val="00F521B6"/>
    <w:rsid w:val="00F5280E"/>
    <w:rsid w:val="00F53C1F"/>
    <w:rsid w:val="00F53D7D"/>
    <w:rsid w:val="00F54034"/>
    <w:rsid w:val="00F54201"/>
    <w:rsid w:val="00F5464F"/>
    <w:rsid w:val="00F550D1"/>
    <w:rsid w:val="00F60971"/>
    <w:rsid w:val="00F614AF"/>
    <w:rsid w:val="00F615A8"/>
    <w:rsid w:val="00F6446E"/>
    <w:rsid w:val="00F64A92"/>
    <w:rsid w:val="00F657F3"/>
    <w:rsid w:val="00F80BF6"/>
    <w:rsid w:val="00F81802"/>
    <w:rsid w:val="00F82819"/>
    <w:rsid w:val="00F8452D"/>
    <w:rsid w:val="00F86553"/>
    <w:rsid w:val="00F95BCB"/>
    <w:rsid w:val="00F96634"/>
    <w:rsid w:val="00F96A5C"/>
    <w:rsid w:val="00FA1FBC"/>
    <w:rsid w:val="00FA2C97"/>
    <w:rsid w:val="00FA2FC5"/>
    <w:rsid w:val="00FB0114"/>
    <w:rsid w:val="00FB15C3"/>
    <w:rsid w:val="00FB35BE"/>
    <w:rsid w:val="00FB7320"/>
    <w:rsid w:val="00FC43B8"/>
    <w:rsid w:val="00FC4E58"/>
    <w:rsid w:val="00FC51C4"/>
    <w:rsid w:val="00FC7004"/>
    <w:rsid w:val="00FD06A0"/>
    <w:rsid w:val="00FD13FB"/>
    <w:rsid w:val="00FD228E"/>
    <w:rsid w:val="00FD4E9B"/>
    <w:rsid w:val="00FD5CE3"/>
    <w:rsid w:val="00FD7D5F"/>
    <w:rsid w:val="00FE1A2F"/>
    <w:rsid w:val="00FE5F50"/>
    <w:rsid w:val="00FF1B25"/>
    <w:rsid w:val="00FF61FD"/>
    <w:rsid w:val="00FF7A85"/>
    <w:rsid w:val="025737A0"/>
    <w:rsid w:val="03F0214E"/>
    <w:rsid w:val="06325B44"/>
    <w:rsid w:val="0A051B47"/>
    <w:rsid w:val="0AB77A2F"/>
    <w:rsid w:val="11DA0F97"/>
    <w:rsid w:val="1A0B3DDD"/>
    <w:rsid w:val="21FA62F7"/>
    <w:rsid w:val="2D7B7E3A"/>
    <w:rsid w:val="39466C4F"/>
    <w:rsid w:val="6CE6737F"/>
    <w:rsid w:val="724A4A01"/>
    <w:rsid w:val="7B1E539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iPriority w:val="99"/>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link w:val="14"/>
    <w:semiHidden/>
    <w:qFormat/>
    <w:uiPriority w:val="99"/>
    <w:pPr>
      <w:jc w:val="left"/>
    </w:pPr>
  </w:style>
  <w:style w:type="paragraph" w:styleId="3">
    <w:name w:val="Body Text"/>
    <w:basedOn w:val="1"/>
    <w:link w:val="16"/>
    <w:qFormat/>
    <w:locked/>
    <w:uiPriority w:val="99"/>
    <w:pPr>
      <w:spacing w:beforeLines="30"/>
    </w:pPr>
    <w:rPr>
      <w:rFonts w:ascii="仿宋_GB2312" w:eastAsia="仿宋_GB2312" w:cs="仿宋_GB2312"/>
      <w:sz w:val="30"/>
      <w:szCs w:val="30"/>
    </w:rPr>
  </w:style>
  <w:style w:type="paragraph" w:styleId="4">
    <w:name w:val="Balloon Text"/>
    <w:basedOn w:val="1"/>
    <w:link w:val="17"/>
    <w:semiHidden/>
    <w:qFormat/>
    <w:uiPriority w:val="99"/>
    <w:rPr>
      <w:sz w:val="18"/>
      <w:szCs w:val="18"/>
    </w:rPr>
  </w:style>
  <w:style w:type="paragraph" w:styleId="5">
    <w:name w:val="footer"/>
    <w:basedOn w:val="1"/>
    <w:link w:val="18"/>
    <w:qFormat/>
    <w:uiPriority w:val="99"/>
    <w:pPr>
      <w:tabs>
        <w:tab w:val="center" w:pos="4153"/>
        <w:tab w:val="right" w:pos="8306"/>
      </w:tabs>
      <w:snapToGrid w:val="0"/>
      <w:jc w:val="left"/>
    </w:pPr>
    <w:rPr>
      <w:sz w:val="18"/>
      <w:szCs w:val="18"/>
    </w:rPr>
  </w:style>
  <w:style w:type="paragraph" w:styleId="6">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locked/>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2"/>
    <w:next w:val="2"/>
    <w:link w:val="15"/>
    <w:semiHidden/>
    <w:qFormat/>
    <w:uiPriority w:val="99"/>
    <w:rPr>
      <w:b/>
      <w:bCs/>
    </w:rPr>
  </w:style>
  <w:style w:type="character" w:styleId="11">
    <w:name w:val="Strong"/>
    <w:basedOn w:val="10"/>
    <w:qFormat/>
    <w:uiPriority w:val="99"/>
    <w:rPr>
      <w:rFonts w:cs="Times New Roman"/>
      <w:b/>
      <w:bCs/>
    </w:rPr>
  </w:style>
  <w:style w:type="character" w:styleId="12">
    <w:name w:val="Hyperlink"/>
    <w:basedOn w:val="10"/>
    <w:qFormat/>
    <w:locked/>
    <w:uiPriority w:val="99"/>
    <w:rPr>
      <w:rFonts w:cs="Times New Roman"/>
      <w:color w:val="0000FF"/>
      <w:u w:val="single"/>
    </w:rPr>
  </w:style>
  <w:style w:type="character" w:styleId="13">
    <w:name w:val="annotation reference"/>
    <w:basedOn w:val="10"/>
    <w:semiHidden/>
    <w:qFormat/>
    <w:uiPriority w:val="99"/>
    <w:rPr>
      <w:rFonts w:cs="Times New Roman"/>
      <w:sz w:val="21"/>
      <w:szCs w:val="21"/>
    </w:rPr>
  </w:style>
  <w:style w:type="character" w:customStyle="1" w:styleId="14">
    <w:name w:val="Comment Text Char"/>
    <w:basedOn w:val="10"/>
    <w:link w:val="2"/>
    <w:semiHidden/>
    <w:locked/>
    <w:uiPriority w:val="99"/>
    <w:rPr>
      <w:rFonts w:cs="Times New Roman"/>
      <w:sz w:val="24"/>
      <w:szCs w:val="24"/>
    </w:rPr>
  </w:style>
  <w:style w:type="character" w:customStyle="1" w:styleId="15">
    <w:name w:val="Comment Subject Char"/>
    <w:basedOn w:val="14"/>
    <w:link w:val="8"/>
    <w:semiHidden/>
    <w:qFormat/>
    <w:locked/>
    <w:uiPriority w:val="99"/>
    <w:rPr>
      <w:b/>
      <w:bCs/>
    </w:rPr>
  </w:style>
  <w:style w:type="character" w:customStyle="1" w:styleId="16">
    <w:name w:val="Body Text Char"/>
    <w:basedOn w:val="10"/>
    <w:link w:val="3"/>
    <w:semiHidden/>
    <w:qFormat/>
    <w:locked/>
    <w:uiPriority w:val="99"/>
    <w:rPr>
      <w:rFonts w:cs="Times New Roman"/>
      <w:sz w:val="21"/>
      <w:szCs w:val="21"/>
    </w:rPr>
  </w:style>
  <w:style w:type="character" w:customStyle="1" w:styleId="17">
    <w:name w:val="Balloon Text Char"/>
    <w:basedOn w:val="10"/>
    <w:link w:val="4"/>
    <w:semiHidden/>
    <w:locked/>
    <w:uiPriority w:val="99"/>
    <w:rPr>
      <w:rFonts w:cs="Times New Roman"/>
      <w:sz w:val="2"/>
      <w:szCs w:val="2"/>
    </w:rPr>
  </w:style>
  <w:style w:type="character" w:customStyle="1" w:styleId="18">
    <w:name w:val="Footer Char"/>
    <w:basedOn w:val="10"/>
    <w:link w:val="5"/>
    <w:semiHidden/>
    <w:qFormat/>
    <w:locked/>
    <w:uiPriority w:val="99"/>
    <w:rPr>
      <w:rFonts w:cs="Times New Roman"/>
      <w:sz w:val="18"/>
      <w:szCs w:val="18"/>
    </w:rPr>
  </w:style>
  <w:style w:type="character" w:customStyle="1" w:styleId="19">
    <w:name w:val="Header Char"/>
    <w:basedOn w:val="10"/>
    <w:link w:val="6"/>
    <w:semiHidden/>
    <w:qFormat/>
    <w:locked/>
    <w:uiPriority w:val="99"/>
    <w:rPr>
      <w:rFonts w:cs="Times New Roman"/>
      <w:sz w:val="18"/>
      <w:szCs w:val="18"/>
    </w:rPr>
  </w:style>
  <w:style w:type="paragraph" w:customStyle="1" w:styleId="20">
    <w:name w:val="修订1"/>
    <w:hidden/>
    <w:semiHidden/>
    <w:qFormat/>
    <w:uiPriority w:val="99"/>
    <w:pPr>
      <w:spacing w:after="200" w:line="276" w:lineRule="auto"/>
    </w:pPr>
    <w:rPr>
      <w:rFonts w:ascii="Times New Roman" w:hAnsi="Times New Roman" w:eastAsia="宋体" w:cs="Times New Roman"/>
      <w:kern w:val="2"/>
      <w:sz w:val="21"/>
      <w:szCs w:val="21"/>
      <w:lang w:val="en-US" w:eastAsia="zh-CN" w:bidi="ar-SA"/>
    </w:rPr>
  </w:style>
  <w:style w:type="character" w:customStyle="1" w:styleId="21">
    <w:name w:val="apple-converted-space"/>
    <w:basedOn w:val="10"/>
    <w:qFormat/>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zhlx</Company>
  <Pages>11</Pages>
  <Words>784</Words>
  <Characters>4474</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2019-04-23T01:24:00Z</cp:lastPrinted>
  <dcterms:modified xsi:type="dcterms:W3CDTF">2019-12-26T02:45:20Z</dcterms:modified>
  <dc:title>年部门预算编制说明</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