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监督索引号53312300428700000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w:t>
      </w:r>
      <w:r>
        <w:rPr>
          <w:rFonts w:hint="eastAsia" w:ascii="宋体" w:hAnsi="宋体" w:cs="宋体"/>
          <w:i w:val="0"/>
          <w:caps w:val="0"/>
          <w:color w:val="333333"/>
          <w:spacing w:val="0"/>
          <w:kern w:val="0"/>
          <w:sz w:val="24"/>
          <w:szCs w:val="24"/>
          <w:shd w:val="clear" w:fill="FBFBFB"/>
          <w:lang w:val="en-US" w:eastAsia="zh-CN" w:bidi="ar"/>
        </w:rPr>
        <w:t>老干部局</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第一部分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b/>
          <w:i w:val="0"/>
          <w:caps w:val="0"/>
          <w:color w:val="333333"/>
          <w:spacing w:val="0"/>
          <w:kern w:val="0"/>
          <w:sz w:val="24"/>
          <w:szCs w:val="24"/>
          <w:shd w:val="clear" w:fill="FBFBFB"/>
          <w:lang w:val="en-US" w:eastAsia="zh-CN" w:bidi="ar"/>
        </w:rPr>
        <w:t>盈江县</w:t>
      </w:r>
      <w:r>
        <w:rPr>
          <w:rFonts w:hint="eastAsia" w:ascii="宋体" w:hAnsi="宋体" w:cs="宋体"/>
          <w:b/>
          <w:i w:val="0"/>
          <w:caps w:val="0"/>
          <w:color w:val="333333"/>
          <w:spacing w:val="0"/>
          <w:kern w:val="0"/>
          <w:sz w:val="24"/>
          <w:szCs w:val="24"/>
          <w:shd w:val="clear" w:fill="FBFBFB"/>
          <w:lang w:val="en-US" w:eastAsia="zh-CN" w:bidi="ar"/>
        </w:rPr>
        <w:t>老干部局</w:t>
      </w:r>
      <w:r>
        <w:rPr>
          <w:rFonts w:ascii="宋体" w:hAnsi="宋体" w:eastAsia="宋体" w:cs="宋体"/>
          <w:b/>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第二部分</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b/>
          <w:i w:val="0"/>
          <w:caps w:val="0"/>
          <w:color w:val="333333"/>
          <w:spacing w:val="0"/>
          <w:kern w:val="0"/>
          <w:sz w:val="24"/>
          <w:szCs w:val="24"/>
          <w:shd w:val="clear" w:fill="FBFBFB"/>
          <w:lang w:val="en-US" w:eastAsia="zh-CN" w:bidi="ar"/>
        </w:rPr>
        <w:t>盈江县</w:t>
      </w:r>
      <w:r>
        <w:rPr>
          <w:rFonts w:hint="eastAsia" w:ascii="宋体" w:hAnsi="宋体" w:cs="宋体"/>
          <w:b/>
          <w:i w:val="0"/>
          <w:caps w:val="0"/>
          <w:color w:val="333333"/>
          <w:spacing w:val="0"/>
          <w:kern w:val="0"/>
          <w:sz w:val="24"/>
          <w:szCs w:val="24"/>
          <w:shd w:val="clear" w:fill="FBFBFB"/>
          <w:lang w:val="en-US" w:eastAsia="zh-CN" w:bidi="ar"/>
        </w:rPr>
        <w:t>老干部局</w:t>
      </w:r>
      <w:r>
        <w:rPr>
          <w:rFonts w:ascii="宋体" w:hAnsi="宋体" w:eastAsia="宋体" w:cs="宋体"/>
          <w:b/>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w:t>
      </w:r>
      <w:r>
        <w:rPr>
          <w:rFonts w:hint="eastAsia" w:ascii="宋体" w:hAnsi="宋体" w:cs="宋体"/>
          <w:i w:val="0"/>
          <w:caps w:val="0"/>
          <w:color w:val="333333"/>
          <w:spacing w:val="0"/>
          <w:kern w:val="0"/>
          <w:sz w:val="24"/>
          <w:szCs w:val="24"/>
          <w:shd w:val="clear" w:fill="FBFBFB"/>
          <w:lang w:val="en-US" w:eastAsia="zh-CN" w:bidi="ar"/>
        </w:rPr>
        <w:t>老干部局</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根据党组字[1987]7号文件规定，主要职能是：做好离退休干部的管理服务工作。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盈江县委老干部局内设3个职能科室，分别是：局办公室、老干部活动中心、老年大学。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充分发挥离退休干部党组织、老年大学和老干部活动中心的阵地作用，通过开展老干部学习日、读书班和班级学习活动等，采取适合老年人特点、老干部喜闻乐见的形式组织学习。通过集中学习、专题研讨、辅导报告、送学上门帮助学等，引导广大离退休干部和</w:t>
      </w:r>
      <w:r>
        <w:rPr>
          <w:rFonts w:hint="eastAsia" w:ascii="宋体" w:hAnsi="宋体" w:cs="宋体"/>
          <w:i w:val="0"/>
          <w:caps w:val="0"/>
          <w:color w:val="000000"/>
          <w:spacing w:val="0"/>
          <w:kern w:val="0"/>
          <w:sz w:val="24"/>
          <w:szCs w:val="24"/>
          <w:shd w:val="clear" w:fill="FBFBFB"/>
          <w:lang w:val="en-US" w:eastAsia="zh-CN" w:bidi="ar"/>
        </w:rPr>
        <w:t>老干部局</w:t>
      </w:r>
      <w:r>
        <w:rPr>
          <w:rFonts w:ascii="宋体" w:hAnsi="宋体" w:eastAsia="宋体" w:cs="宋体"/>
          <w:i w:val="0"/>
          <w:caps w:val="0"/>
          <w:color w:val="000000"/>
          <w:spacing w:val="0"/>
          <w:kern w:val="0"/>
          <w:sz w:val="24"/>
          <w:szCs w:val="24"/>
          <w:shd w:val="clear" w:fill="FBFBFB"/>
          <w:lang w:val="en-US" w:eastAsia="zh-CN" w:bidi="ar"/>
        </w:rPr>
        <w:t>干部职工深刻认识和把握十九大提出的社会主要矛盾转变的新判断、进入中国特色社会主义新时代的新论述、习近平新时代中国特色社会主义思想的新概括、全面加强党的建设从严治党的新要求，学深学透会议精神。同时，认真抓好局机关学习，结合自身思想和工作实际，不断增强“四个意识”，牢固树立“四个自信”，用新理念、新思想、新论断、新要求指导老干部工作创新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2.着力加强“两学一做”学习教育常态化制度化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继续把“两学一做”学习教育作为今年离退休干部“两项建设”的龙头任务，抓紧抓好、抓出实效。引导离退休干部党员主动向以</w:t>
      </w:r>
      <w:r>
        <w:rPr>
          <w:rFonts w:hint="eastAsia" w:ascii="宋体" w:hAnsi="宋体" w:cs="宋体"/>
          <w:i w:val="0"/>
          <w:caps w:val="0"/>
          <w:color w:val="000000"/>
          <w:spacing w:val="0"/>
          <w:kern w:val="0"/>
          <w:sz w:val="24"/>
          <w:szCs w:val="24"/>
          <w:shd w:val="clear" w:fill="FBFBFB"/>
          <w:lang w:val="en-US" w:eastAsia="zh-CN" w:bidi="ar"/>
        </w:rPr>
        <w:t>习近平同志为核心的党中央</w:t>
      </w:r>
      <w:r>
        <w:rPr>
          <w:rFonts w:ascii="宋体" w:hAnsi="宋体" w:eastAsia="宋体" w:cs="宋体"/>
          <w:i w:val="0"/>
          <w:caps w:val="0"/>
          <w:color w:val="000000"/>
          <w:spacing w:val="0"/>
          <w:kern w:val="0"/>
          <w:sz w:val="24"/>
          <w:szCs w:val="24"/>
          <w:shd w:val="clear" w:fill="FBFBFB"/>
          <w:lang w:val="en-US" w:eastAsia="zh-CN" w:bidi="ar"/>
        </w:rPr>
        <w:t>看齐、向党的理论和路线方针政策看齐，更加自觉尊崇党章、履行党员义务，更加严守政治纪律和政治规矩，更加爱党信党护党，更加支持改革发展。按照有利于教育管理、有利于发挥作用、有利于参加活动的原则，进一步优化离退休干部党组织设置，抓好党组织按期换届、“三会一课”、组织生活会和民主评议党员等制度。举办好全县第十六期老干部读书班暨老干部党校第九期理论培训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3.着力加强离退休干部“示范党支部”建设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紧紧围绕“班子建设、党员管理、组织生活、制度落实、作用发挥”五个示范标准，把创建工作融入老干部日常工作，以创建工作促进老干部工作，加大工作对离退休党支部活动的指导和日常督查力度。充分发挥示范党支部的引领、辐射作用，以点带面，形成比学赶超、你追我赶的风气，持续推进离退休干部党组织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4.</w:t>
      </w:r>
      <w:r>
        <w:rPr>
          <w:rFonts w:ascii="宋体" w:hAnsi="宋体" w:eastAsia="宋体" w:cs="宋体"/>
          <w:b/>
          <w:i w:val="0"/>
          <w:caps w:val="0"/>
          <w:color w:val="333333"/>
          <w:spacing w:val="0"/>
          <w:kern w:val="0"/>
          <w:sz w:val="24"/>
          <w:szCs w:val="24"/>
          <w:shd w:val="clear" w:fill="FBFBFB"/>
          <w:lang w:val="en-US" w:eastAsia="zh-CN" w:bidi="ar"/>
        </w:rPr>
        <w:t>着力加强聚焦主题深化正能量活动的开展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聚焦党的十九大提出的新使命新方位新要求，牢固树立为党和人民事业增添正能量的价值取向，引导老同志为推动盈江跨越发展献计出力增添正能量。同时，围绕丰富城乡群众文化生活深化正能量活动平台  ，依托老年社团组织开展有益老年人身心健康的文体活动、科普知识宣传、农村实用技术培训、指导和示范等活动，发挥好老干部的独特优势，为脱贫攻坚增添正能量。抓好云岭爱心敬老志愿服务队和云岭盈江银发志愿者服务队开展好志愿服务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5.</w:t>
      </w:r>
      <w:r>
        <w:rPr>
          <w:rFonts w:ascii="宋体" w:hAnsi="宋体" w:eastAsia="宋体" w:cs="宋体"/>
          <w:b/>
          <w:i w:val="0"/>
          <w:caps w:val="0"/>
          <w:color w:val="333333"/>
          <w:spacing w:val="0"/>
          <w:kern w:val="0"/>
          <w:sz w:val="24"/>
          <w:szCs w:val="24"/>
          <w:shd w:val="clear" w:fill="FBFBFB"/>
          <w:lang w:val="en-US" w:eastAsia="zh-CN" w:bidi="ar"/>
        </w:rPr>
        <w:t>着力加强老干部服务管理工作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继续高度重视离退休干部各项待遇落实工作，着力在推进离退休干部服务管理上见成效，做好离退休干部参观学习、日常服务管理工作，落实好离退休干部理论学习、情况通报、参观考察、看望慰问、参加重要会议、阅读重要文件、在职领导干部联系同职级离退休干部等制度。进一步加大对特殊困难离退休干部帮扶力度，帮助离退休干部解决好日常生活的具体困难和问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6.</w:t>
      </w:r>
      <w:r>
        <w:rPr>
          <w:rFonts w:ascii="宋体" w:hAnsi="宋体" w:eastAsia="宋体" w:cs="宋体"/>
          <w:b/>
          <w:i w:val="0"/>
          <w:caps w:val="0"/>
          <w:color w:val="333333"/>
          <w:spacing w:val="0"/>
          <w:kern w:val="0"/>
          <w:sz w:val="24"/>
          <w:szCs w:val="24"/>
          <w:shd w:val="clear" w:fill="FBFBFB"/>
          <w:lang w:val="en-US" w:eastAsia="zh-CN" w:bidi="ar"/>
        </w:rPr>
        <w:t>着力加强学习活动阵地的规范化建设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统筹兼顾，积极主动抓好离退休干部活动和学习阵地建设，积极开展省级老年大学示范校和州级示范老干部活动中心创建工作。深入开展丰富多彩的精神文化活动，进一步整合社会资源、发动社会力量，特别是要使更多的涉老团体、更多的公益类社会组织和社会爱心人士，为老同志老有所</w:t>
      </w:r>
      <w:bookmarkStart w:id="0" w:name="_GoBack"/>
      <w:bookmarkEnd w:id="0"/>
      <w:r>
        <w:rPr>
          <w:rFonts w:ascii="宋体" w:hAnsi="宋体" w:eastAsia="宋体" w:cs="宋体"/>
          <w:i w:val="0"/>
          <w:caps w:val="0"/>
          <w:color w:val="333333"/>
          <w:spacing w:val="0"/>
          <w:kern w:val="0"/>
          <w:sz w:val="24"/>
          <w:szCs w:val="24"/>
          <w:shd w:val="clear" w:fill="FBFBFB"/>
          <w:lang w:val="en-US" w:eastAsia="zh-CN" w:bidi="ar"/>
        </w:rPr>
        <w:t>养、老有所医、老有所教、老有所学、老有所为、老有所乐办好事解难事，努力增强老同志的幸福感和获得感。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2"/>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7.</w:t>
      </w:r>
      <w:r>
        <w:rPr>
          <w:rFonts w:ascii="宋体" w:hAnsi="宋体" w:eastAsia="宋体" w:cs="宋体"/>
          <w:b/>
          <w:i w:val="0"/>
          <w:caps w:val="0"/>
          <w:color w:val="333333"/>
          <w:spacing w:val="0"/>
          <w:kern w:val="0"/>
          <w:sz w:val="24"/>
          <w:szCs w:val="24"/>
          <w:shd w:val="clear" w:fill="FBFBFB"/>
          <w:lang w:val="en-US" w:eastAsia="zh-CN" w:bidi="ar"/>
        </w:rPr>
        <w:t>扎实抓好老干部工作部门自身建设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切实加强老干部工作队伍建设，引导老干部工作者不断增强政治意识、大局意识、核心意识、看齐意识，始终与以习近平为总书记的党中央保持一致，坚决维护党中央的权威，始终严守规矩、坚守忠诚、崇尚实干、甘于奉献、开拓创新、清正廉洁，强化做好老干部工作转型发展的责任担当，增强专业素养和发展能力，努力打造让县委放心、老干部满意的过硬队伍。同时，抓实脱贫攻坚工作，把脱贫攻坚工作贯穿到老干部工作的全过程，以开局就是决战，起步就是冲刺的精神状态，集中主攻重点，加力提速推进，确保按期完成脱贫攻坚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w:t>
      </w:r>
      <w:r>
        <w:rPr>
          <w:rFonts w:ascii="宋体" w:hAnsi="宋体" w:eastAsia="宋体" w:cs="宋体"/>
          <w:i w:val="0"/>
          <w:caps w:val="0"/>
          <w:color w:val="333333"/>
          <w:spacing w:val="0"/>
          <w:kern w:val="0"/>
          <w:sz w:val="24"/>
          <w:szCs w:val="24"/>
          <w:shd w:val="clear" w:fill="FBFBFB"/>
          <w:lang w:val="en-US" w:eastAsia="zh-CN" w:bidi="ar"/>
        </w:rPr>
        <w:t>18</w:t>
      </w:r>
      <w:r>
        <w:rPr>
          <w:rFonts w:ascii="宋体" w:hAnsi="宋体" w:eastAsia="宋体" w:cs="宋体"/>
          <w:i w:val="0"/>
          <w:caps w:val="0"/>
          <w:color w:val="000000"/>
          <w:spacing w:val="0"/>
          <w:kern w:val="0"/>
          <w:sz w:val="24"/>
          <w:szCs w:val="24"/>
          <w:shd w:val="clear" w:fill="FBFBFB"/>
          <w:lang w:val="en-US" w:eastAsia="zh-CN" w:bidi="ar"/>
        </w:rPr>
        <w:t>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在职人员编制12</w:t>
      </w:r>
      <w:r>
        <w:rPr>
          <w:rFonts w:ascii="宋体" w:hAnsi="宋体" w:eastAsia="宋体" w:cs="宋体"/>
          <w:i w:val="0"/>
          <w:caps w:val="0"/>
          <w:color w:val="333333"/>
          <w:spacing w:val="0"/>
          <w:kern w:val="0"/>
          <w:sz w:val="24"/>
          <w:szCs w:val="24"/>
          <w:shd w:val="clear" w:fill="FBFBFB"/>
          <w:lang w:val="en-US" w:eastAsia="zh-CN" w:bidi="ar"/>
        </w:rPr>
        <w:t>人，其中：行政编制</w:t>
      </w:r>
      <w:r>
        <w:rPr>
          <w:rFonts w:ascii="宋体" w:hAnsi="宋体" w:eastAsia="宋体" w:cs="宋体"/>
          <w:i w:val="0"/>
          <w:caps w:val="0"/>
          <w:color w:val="000000"/>
          <w:spacing w:val="0"/>
          <w:kern w:val="0"/>
          <w:sz w:val="24"/>
          <w:szCs w:val="24"/>
          <w:shd w:val="clear" w:fill="FBFBFB"/>
          <w:lang w:val="en-US" w:eastAsia="zh-CN" w:bidi="ar"/>
        </w:rPr>
        <w:t> 4人，事业编制8人。在职实有11人，其中：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11人，财政部分供养0人，非财政供养0人。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离退休人员</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2</w:t>
      </w:r>
      <w:r>
        <w:rPr>
          <w:rFonts w:ascii="宋体" w:hAnsi="宋体" w:eastAsia="宋体" w:cs="宋体"/>
          <w:i w:val="0"/>
          <w:caps w:val="0"/>
          <w:color w:val="000000"/>
          <w:spacing w:val="0"/>
          <w:kern w:val="0"/>
          <w:sz w:val="24"/>
          <w:szCs w:val="24"/>
          <w:shd w:val="clear" w:fill="FBFBFB"/>
          <w:lang w:val="en-US" w:eastAsia="zh-CN" w:bidi="ar"/>
        </w:rPr>
        <w:t>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0人，退休</w:t>
      </w:r>
      <w:r>
        <w:rPr>
          <w:rFonts w:ascii="宋体" w:hAnsi="宋体" w:eastAsia="宋体" w:cs="宋体"/>
          <w:i w:val="0"/>
          <w:caps w:val="0"/>
          <w:color w:val="000000"/>
          <w:spacing w:val="0"/>
          <w:kern w:val="0"/>
          <w:sz w:val="24"/>
          <w:szCs w:val="24"/>
          <w:shd w:val="clear" w:fill="FBFBFB"/>
          <w:lang w:val="en-US" w:eastAsia="zh-CN" w:bidi="ar"/>
        </w:rPr>
        <w:t> 2人 (退休人员工资已纳入社保)。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其他人员:定额人员补助13人。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245.73万元，其中：一般公共预算财政拨款245.73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2019年部门财政拨款收入</w:t>
      </w: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i w:val="0"/>
          <w:caps w:val="0"/>
          <w:color w:val="333333"/>
          <w:spacing w:val="0"/>
          <w:kern w:val="0"/>
          <w:sz w:val="24"/>
          <w:szCs w:val="24"/>
          <w:shd w:val="clear" w:fill="FBFBFB"/>
          <w:lang w:val="en-US" w:eastAsia="zh-CN" w:bidi="ar"/>
        </w:rPr>
        <w:t>245.73</w:t>
      </w:r>
      <w:r>
        <w:rPr>
          <w:rFonts w:ascii="宋体" w:hAnsi="宋体" w:eastAsia="宋体" w:cs="宋体"/>
          <w:i w:val="0"/>
          <w:caps w:val="0"/>
          <w:color w:val="000000"/>
          <w:spacing w:val="0"/>
          <w:kern w:val="0"/>
          <w:sz w:val="24"/>
          <w:szCs w:val="24"/>
          <w:shd w:val="clear" w:fill="FBFBFB"/>
          <w:lang w:val="en-US" w:eastAsia="zh-CN" w:bidi="ar"/>
        </w:rPr>
        <w:t>万元，其中:本年收入245.73万元，上年结转0万元。本年收入中，一般公共预算财政拨款245.73万元（本级财力245.73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w:t>
      </w:r>
      <w:r>
        <w:rPr>
          <w:rFonts w:ascii="宋体" w:hAnsi="宋体" w:eastAsia="宋体" w:cs="宋体"/>
          <w:i w:val="0"/>
          <w:caps w:val="0"/>
          <w:color w:val="333333"/>
          <w:spacing w:val="0"/>
          <w:kern w:val="0"/>
          <w:sz w:val="24"/>
          <w:szCs w:val="24"/>
          <w:shd w:val="clear" w:fill="FBFBFB"/>
          <w:lang w:val="en-US" w:eastAsia="zh-CN" w:bidi="ar"/>
        </w:rPr>
        <w:t>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2019年部门预算总支出</w:t>
      </w:r>
      <w:r>
        <w:rPr>
          <w:rFonts w:ascii="宋体" w:hAnsi="宋体" w:eastAsia="宋体" w:cs="宋体"/>
          <w:i w:val="0"/>
          <w:caps w:val="0"/>
          <w:color w:val="000000"/>
          <w:spacing w:val="0"/>
          <w:kern w:val="0"/>
          <w:sz w:val="24"/>
          <w:szCs w:val="24"/>
          <w:shd w:val="clear" w:fill="FBFBFB"/>
          <w:lang w:val="en-US" w:eastAsia="zh-CN" w:bidi="ar"/>
        </w:rPr>
        <w:t> 245.73万元。财政拨款</w:t>
      </w:r>
      <w:r>
        <w:rPr>
          <w:rFonts w:ascii="宋体" w:hAnsi="宋体" w:eastAsia="宋体" w:cs="宋体"/>
          <w:i w:val="0"/>
          <w:caps w:val="0"/>
          <w:color w:val="333333"/>
          <w:spacing w:val="0"/>
          <w:kern w:val="0"/>
          <w:sz w:val="24"/>
          <w:szCs w:val="24"/>
          <w:shd w:val="clear" w:fill="FBFBFB"/>
          <w:lang w:val="en-US" w:eastAsia="zh-CN" w:bidi="ar"/>
        </w:rPr>
        <w:t>安排支出</w:t>
      </w:r>
      <w:r>
        <w:rPr>
          <w:rFonts w:ascii="宋体" w:hAnsi="宋体" w:eastAsia="宋体" w:cs="宋体"/>
          <w:i w:val="0"/>
          <w:caps w:val="0"/>
          <w:color w:val="000000"/>
          <w:spacing w:val="0"/>
          <w:kern w:val="0"/>
          <w:sz w:val="24"/>
          <w:szCs w:val="24"/>
          <w:shd w:val="clear" w:fill="FBFBFB"/>
          <w:lang w:val="en-US" w:eastAsia="zh-CN" w:bidi="ar"/>
        </w:rPr>
        <w:t> 245.73万元，其中，基本支出172.25万元，项目支出73.48万元。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2013601行政运行142.67，主要用于工资福利支出109.87万元，正常公务运转经费8.8万元，其他公务交通补贴5.28万元，定额人员补助18.72万元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49.6万元，主要用于退休人员公务费0.12万元，老协等专项经费10万元，帮扶特困离退休干部经费15.68万元，退休干部考察学习16.8万元，乡镇老年大学经费7万元，组织老干部开展各项活动，全面做好离退休干部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2080502事业单位离退休24万元，主要用于老年大学正常运转经费。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2080505机关事业单位基本养老保险缴费支出16.64万元，主要用于在职人员养老保险缴费（单位部分）。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2210201住房公积金12.82万元，主要用于在职人员住房公积金缴费（单位部分）。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2013601行政运行142.67万元，基本支出142.67万元，主要用于301工资福利支出109.87万元。302商品和服务支出14.08万元，303对个人和家庭的补助18.72万元。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2080501归口管理的行政单位离退休49.6万元，基本支出0.12万元，主要用于302商品和服务支0.12万元，项目支出49.48万元，主要用于302商品和服务支49.48万元。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2080502事业单位离退休24万元，项目支出24万元，主要用于302商品和服务支出24万元。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2080505机关事业单位基本养老保险缴费支出16.64万元基本支出16.64万元，主要用于301工资福利支出16.64万元。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2210201住房公积金12.82万元，基本支出12.82万元，主要用于301工资福利支出12.82万元。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w:t>
      </w:r>
      <w:r>
        <w:rPr>
          <w:rFonts w:ascii="宋体" w:hAnsi="宋体" w:eastAsia="宋体" w:cs="宋体"/>
          <w:i w:val="0"/>
          <w:caps w:val="0"/>
          <w:color w:val="333333"/>
          <w:spacing w:val="0"/>
          <w:kern w:val="0"/>
          <w:sz w:val="24"/>
          <w:szCs w:val="24"/>
          <w:shd w:val="clear" w:fill="FBFBFB"/>
          <w:lang w:val="en-US" w:eastAsia="zh-CN" w:bidi="ar"/>
        </w:rPr>
        <w:t>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本单位无县对下专项转移支付资金。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根据《中华人民共和国政府采购法》的有关规定，编制了政府采购预算，共涉及采购项目2个，采购预算资金7万元。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2019年“三公”经费预算数为2万元，与上年预算数2万元持平。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拟安排公务接待费预算2万元，主要用于按规定开支的各类公务接待产生的费用，与上年预算数2万元持平。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w:t>
      </w:r>
      <w:r>
        <w:rPr>
          <w:rFonts w:ascii="宋体" w:hAnsi="宋体" w:eastAsia="宋体" w:cs="宋体"/>
          <w:i w:val="0"/>
          <w:caps w:val="0"/>
          <w:color w:val="333333"/>
          <w:spacing w:val="0"/>
          <w:kern w:val="0"/>
          <w:sz w:val="24"/>
          <w:szCs w:val="24"/>
          <w:shd w:val="clear" w:fill="FBFBFB"/>
          <w:lang w:val="en-US" w:eastAsia="zh-CN" w:bidi="ar"/>
        </w:rPr>
        <w:t>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2019年部门预算收入245.73万元，比上年预算数209.36万元增36.37万元，增17.37%。原因：2018年底新增2人及调增人员工资。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2019年基本支出预算172.25万元，较2018年基本支出预算135.88万元增加36.37万元，增26.76%，增加的原因是新增人员2人及调资增资。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（四）2019年</w:t>
      </w:r>
      <w:r>
        <w:rPr>
          <w:rFonts w:ascii="宋体" w:hAnsi="宋体" w:eastAsia="宋体" w:cs="宋体"/>
          <w:i w:val="0"/>
          <w:caps w:val="0"/>
          <w:color w:val="000000"/>
          <w:spacing w:val="0"/>
          <w:kern w:val="0"/>
          <w:sz w:val="24"/>
          <w:szCs w:val="24"/>
          <w:shd w:val="clear" w:fill="FBFBFB"/>
          <w:lang w:val="en-US" w:eastAsia="zh-CN" w:bidi="ar"/>
        </w:rPr>
        <w:t>项目支出预算73.48万元，较2018年项目支出入预算73.48万元，无增减变化。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333333"/>
          <w:spacing w:val="0"/>
          <w:kern w:val="0"/>
          <w:sz w:val="24"/>
          <w:szCs w:val="24"/>
          <w:shd w:val="clear" w:fill="FBFBFB"/>
          <w:lang w:val="en-US" w:eastAsia="zh-CN" w:bidi="ar"/>
        </w:rPr>
        <w:t>盈江县</w:t>
      </w:r>
      <w:r>
        <w:rPr>
          <w:rFonts w:hint="eastAsia" w:ascii="宋体" w:hAnsi="宋体" w:cs="宋体"/>
          <w:i w:val="0"/>
          <w:caps w:val="0"/>
          <w:color w:val="333333"/>
          <w:spacing w:val="0"/>
          <w:kern w:val="0"/>
          <w:sz w:val="24"/>
          <w:szCs w:val="24"/>
          <w:shd w:val="clear" w:fill="FBFBFB"/>
          <w:lang w:val="en-US" w:eastAsia="zh-CN" w:bidi="ar"/>
        </w:rPr>
        <w:t>老干部局</w:t>
      </w:r>
      <w:r>
        <w:rPr>
          <w:rFonts w:ascii="宋体" w:hAnsi="宋体" w:eastAsia="宋体" w:cs="宋体"/>
          <w:i w:val="0"/>
          <w:caps w:val="0"/>
          <w:color w:val="000000"/>
          <w:spacing w:val="0"/>
          <w:kern w:val="0"/>
          <w:sz w:val="24"/>
          <w:szCs w:val="24"/>
          <w:shd w:val="clear" w:fill="FBFBFB"/>
          <w:lang w:val="en-US" w:eastAsia="zh-CN" w:bidi="ar"/>
        </w:rPr>
        <w:t>2019</w:t>
      </w:r>
      <w:r>
        <w:rPr>
          <w:rFonts w:ascii="宋体" w:hAnsi="宋体" w:eastAsia="宋体" w:cs="宋体"/>
          <w:i w:val="0"/>
          <w:caps w:val="0"/>
          <w:color w:val="333333"/>
          <w:spacing w:val="0"/>
          <w:kern w:val="0"/>
          <w:sz w:val="24"/>
          <w:szCs w:val="24"/>
          <w:shd w:val="clear" w:fill="FBFBFB"/>
          <w:lang w:val="en-US" w:eastAsia="zh-CN" w:bidi="ar"/>
        </w:rPr>
        <w:t>年部门预算机关运行经费支出</w:t>
      </w:r>
      <w:r>
        <w:rPr>
          <w:rFonts w:ascii="宋体" w:hAnsi="宋体" w:eastAsia="宋体" w:cs="宋体"/>
          <w:i w:val="0"/>
          <w:caps w:val="0"/>
          <w:color w:val="000000"/>
          <w:spacing w:val="0"/>
          <w:kern w:val="0"/>
          <w:sz w:val="24"/>
          <w:szCs w:val="24"/>
          <w:shd w:val="clear" w:fill="FBFBFB"/>
          <w:lang w:val="en-US" w:eastAsia="zh-CN" w:bidi="ar"/>
        </w:rPr>
        <w:t>14.2</w:t>
      </w:r>
      <w:r>
        <w:rPr>
          <w:rFonts w:ascii="宋体" w:hAnsi="宋体" w:eastAsia="宋体" w:cs="宋体"/>
          <w:i w:val="0"/>
          <w:caps w:val="0"/>
          <w:color w:val="333333"/>
          <w:spacing w:val="0"/>
          <w:kern w:val="0"/>
          <w:sz w:val="24"/>
          <w:szCs w:val="24"/>
          <w:shd w:val="clear" w:fill="FBFBFB"/>
          <w:lang w:val="en-US" w:eastAsia="zh-CN" w:bidi="ar"/>
        </w:rPr>
        <w:t>万元，与上年7.32万元比，增加6.88万元，增加的原因是14.2万元含公务交通补贴5.28万元和增加两人1.62万元，主要用于办公费</w:t>
      </w:r>
      <w:r>
        <w:rPr>
          <w:rFonts w:ascii="宋体" w:hAnsi="宋体" w:eastAsia="宋体" w:cs="宋体"/>
          <w:i w:val="0"/>
          <w:caps w:val="0"/>
          <w:color w:val="000000"/>
          <w:spacing w:val="0"/>
          <w:kern w:val="0"/>
          <w:sz w:val="24"/>
          <w:szCs w:val="24"/>
          <w:shd w:val="clear" w:fill="FBFBFB"/>
          <w:lang w:val="en-US" w:eastAsia="zh-CN" w:bidi="ar"/>
        </w:rPr>
        <w:t>2.62万元、印刷费1万元、差旅费2万元、维修（护）费0.5万元、公务接待费1万元、劳务费1.8万元、其他交通费用5.28万元</w:t>
      </w:r>
      <w:r>
        <w:rPr>
          <w:rFonts w:ascii="宋体" w:hAnsi="宋体" w:eastAsia="宋体" w:cs="宋体"/>
          <w:i w:val="0"/>
          <w:caps w:val="0"/>
          <w:color w:val="333333"/>
          <w:spacing w:val="0"/>
          <w:kern w:val="0"/>
          <w:sz w:val="24"/>
          <w:szCs w:val="24"/>
          <w:shd w:val="clear" w:fill="FBFBFB"/>
          <w:lang w:val="en-US" w:eastAsia="zh-CN" w:bidi="ar"/>
        </w:rPr>
        <w:t>。新招录入人员2人，机关运行经费支出增加。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w:t>
      </w:r>
      <w:r>
        <w:rPr>
          <w:rFonts w:ascii="宋体" w:hAnsi="宋体" w:eastAsia="宋体" w:cs="宋体"/>
          <w:i w:val="0"/>
          <w:caps w:val="0"/>
          <w:color w:val="333333"/>
          <w:spacing w:val="0"/>
          <w:kern w:val="0"/>
          <w:sz w:val="24"/>
          <w:szCs w:val="24"/>
          <w:shd w:val="clear" w:fill="FBFBFB"/>
          <w:lang w:val="en-US" w:eastAsia="zh-CN" w:bidi="ar"/>
        </w:rPr>
        <w:t>2019</w:t>
      </w:r>
      <w:r>
        <w:rPr>
          <w:rFonts w:ascii="宋体" w:hAnsi="宋体" w:eastAsia="宋体" w:cs="宋体"/>
          <w:i w:val="0"/>
          <w:caps w:val="0"/>
          <w:color w:val="000000"/>
          <w:spacing w:val="0"/>
          <w:kern w:val="0"/>
          <w:sz w:val="24"/>
          <w:szCs w:val="24"/>
          <w:shd w:val="clear" w:fill="FBFBFB"/>
          <w:lang w:val="en-US" w:eastAsia="zh-CN" w:bidi="ar"/>
        </w:rPr>
        <w:t>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单位收入预算245.73万元其中：基本支出172.25万元，主要用于发放人员工资，机关事业单位基本养老保险缴费支出、住房公积金，定额人员补助、支付公用经费确保机构正常运转。项目支出73.48万元主要用于全县离退人员生活困难补助、老年人活动开支及离退人员外出考察等经费，组织老干部开展各项活动，全面做好离退休干部工作，为老同志老有所养、老有所医、老有所教、老有所学、老有所为、老有所乐办好事解难事，努力增强老同志的幸福感和获得感。</w:t>
      </w:r>
    </w:p>
    <w:p/>
    <w:p>
      <w:pPr>
        <w:widowControl/>
        <w:ind w:firstLine="600" w:firstLineChars="200"/>
        <w:jc w:val="left"/>
        <w:rPr>
          <w:rFonts w:eastAsia="仿宋_GB2312"/>
          <w:kern w:val="0"/>
          <w:sz w:val="30"/>
          <w:szCs w:val="30"/>
        </w:rPr>
      </w:pPr>
    </w:p>
    <w:p>
      <w:pPr>
        <w:spacing w:line="560" w:lineRule="exact"/>
        <w:ind w:firstLine="600" w:firstLineChars="200"/>
        <w:rPr>
          <w:rFonts w:hint="eastAsia" w:ascii="楷体" w:hAnsi="楷体" w:eastAsia="楷体" w:cs="楷体"/>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rPr>
          <w:rFonts w:ascii="Arial" w:hAnsi="Arial" w:eastAsia="Arial" w:cs="Arial"/>
          <w:b/>
          <w:sz w:val="36"/>
        </w:rPr>
      </w:pPr>
      <w:r>
        <w:rPr>
          <w:rFonts w:ascii="Arial" w:hAnsi="Arial" w:eastAsia="Arial" w:cs="Arial"/>
          <w:b/>
          <w:sz w:val="36"/>
        </w:rPr>
        <w:t>监督索引号53312300428700111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4403C92"/>
    <w:rsid w:val="05E345F8"/>
    <w:rsid w:val="06325B44"/>
    <w:rsid w:val="08972D90"/>
    <w:rsid w:val="09BA313A"/>
    <w:rsid w:val="0AB77A2F"/>
    <w:rsid w:val="0EB95EF7"/>
    <w:rsid w:val="11102B07"/>
    <w:rsid w:val="128A4D50"/>
    <w:rsid w:val="1A0B3DDD"/>
    <w:rsid w:val="1FD333F4"/>
    <w:rsid w:val="21F75075"/>
    <w:rsid w:val="22044114"/>
    <w:rsid w:val="342C7CB8"/>
    <w:rsid w:val="37E9508A"/>
    <w:rsid w:val="39466C4F"/>
    <w:rsid w:val="3EF77803"/>
    <w:rsid w:val="3EFD4032"/>
    <w:rsid w:val="47D74522"/>
    <w:rsid w:val="4C4A506F"/>
    <w:rsid w:val="4DF568C6"/>
    <w:rsid w:val="551A1997"/>
    <w:rsid w:val="5D8E7EAC"/>
    <w:rsid w:val="623B5832"/>
    <w:rsid w:val="645E6B93"/>
    <w:rsid w:val="687354AC"/>
    <w:rsid w:val="6D0B3500"/>
    <w:rsid w:val="6E8A36E5"/>
    <w:rsid w:val="70596232"/>
    <w:rsid w:val="724A4A01"/>
    <w:rsid w:val="74941A08"/>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206</Words>
  <Characters>1179</Characters>
  <Lines>9</Lines>
  <Paragraphs>2</Paragraphs>
  <TotalTime>1</TotalTime>
  <ScaleCrop>false</ScaleCrop>
  <LinksUpToDate>false</LinksUpToDate>
  <CharactersWithSpaces>1383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2024-08-13T09:07:14Z</dcterms:modified>
  <dc:title>年部门预算编制说明</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F16D3E1C52A94250A04D6434A4CE054E</vt:lpwstr>
  </property>
</Properties>
</file>