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监督索引号53312300410100000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盈江县人大常委会办公室2019年预算公开目录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第一部分 盈江县人大常委会2019年部门预算编制说明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第二部分 盈江县人大常委会2019年部门预算表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盈江县人大常委会2019年部门预算编制说明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w:t>
      </w:r>
      <w:r>
        <w:rPr>
          <w:rFonts w:ascii="宋体" w:hAnsi="宋体" w:eastAsia="宋体" w:cs="宋体"/>
          <w:i w:val="0"/>
          <w:caps w:val="0"/>
          <w:color w:val="000000"/>
          <w:spacing w:val="0"/>
          <w:kern w:val="0"/>
          <w:sz w:val="24"/>
          <w:szCs w:val="24"/>
          <w:u w:val="single"/>
          <w:shd w:val="clear" w:fill="FBFBFB"/>
          <w:lang w:val="en-US" w:eastAsia="zh-CN" w:bidi="ar"/>
        </w:rPr>
        <w:t>《中华人民共和国地方各级人民代表大会和地方各级人民政府组织法》 </w:t>
      </w:r>
      <w:r>
        <w:rPr>
          <w:rFonts w:ascii="宋体" w:hAnsi="宋体" w:eastAsia="宋体" w:cs="宋体"/>
          <w:i w:val="0"/>
          <w:caps w:val="0"/>
          <w:color w:val="000000"/>
          <w:spacing w:val="0"/>
          <w:kern w:val="0"/>
          <w:sz w:val="24"/>
          <w:szCs w:val="24"/>
          <w:shd w:val="clear" w:fill="FBFBFB"/>
          <w:lang w:val="en-US" w:eastAsia="zh-CN" w:bidi="ar"/>
        </w:rPr>
        <w:t>文件规定，主要职能是：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1、在本行政区域内，保证宪法、法律、行政法规和上级人民代表大会及其常务委员会决议的遵守和执行；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2、领导或者主持本级人民代表大会的选举；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3、召集本级人民代表大会会议；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4、讨论、决定本行政区域内的政治、经济、教育、科学、文化、卫生、环境和资源保护、民政、民族等工作的重大事项；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5、根据本级人民政府的建议，决定对本行政政区域内的国民经济和社会发展计划、预算的部分变更；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6、监督本级人民政府、人民法院和人民检察院的工作，联系本级人民代表大会代表，受理人民群众对上述机关和国家工作人员的申诉和意见；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7、撤销乡镇人民代表大会及其主席团的不适当决议；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8、撤销本级人民代表大会的不适当的决定和命令；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在本级人民代表大会闭会期间，决定副县长的个别任免；在县长和人民法院院长、人民检察院检察长因故不能担任职务的时候，从本级人民政府、人民法院、人民检察院副职领导人员中决定代理的人选；决定代理检察长，须报上一级人民检察和人民代表大会常务委员会备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10、根据县长的提名，决定本级人民政府局长、主任的任免，并报上一级人民政府备案；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11、按照人民法院组织法和人民检察院组织法的规定，任免人民法院副院长、庭长、副庭长、审判委员会委员、审判员；任免人民检察院副院长、检查委员会委员、检察员。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12、在本级人民代表大会闭会期间，决定撤销个别副县长的职务；决定撤销由它任命的本级人民政府其他组成人员和人民法院副院长、庭长、副庭长、审判委员会委员、审判员，人民检察院副检察长、检查委员会委员、检察院的职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13、在本级人民代表大会闭会期间，补选上一级人民代表大会出缺的代表和罢免个别代表；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14、决定授予地方的荣誉称号。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9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盈江县人大常委会（单位全称）内设</w:t>
      </w:r>
      <w:r>
        <w:rPr>
          <w:rFonts w:ascii="宋体" w:hAnsi="宋体" w:eastAsia="宋体" w:cs="宋体"/>
          <w:i w:val="0"/>
          <w:caps w:val="0"/>
          <w:color w:val="000000"/>
          <w:spacing w:val="0"/>
          <w:kern w:val="0"/>
          <w:sz w:val="24"/>
          <w:szCs w:val="24"/>
          <w:u w:val="single"/>
          <w:shd w:val="clear" w:fill="FBFBFB"/>
          <w:lang w:val="en-US" w:eastAsia="zh-CN" w:bidi="ar"/>
        </w:rPr>
        <w:t> 8 </w:t>
      </w:r>
      <w:r>
        <w:rPr>
          <w:rFonts w:ascii="宋体" w:hAnsi="宋体" w:eastAsia="宋体" w:cs="宋体"/>
          <w:i w:val="0"/>
          <w:caps w:val="0"/>
          <w:color w:val="000000"/>
          <w:spacing w:val="0"/>
          <w:kern w:val="0"/>
          <w:sz w:val="24"/>
          <w:szCs w:val="24"/>
          <w:shd w:val="clear" w:fill="FBFBFB"/>
          <w:lang w:val="en-US" w:eastAsia="zh-CN" w:bidi="ar"/>
        </w:rPr>
        <w:t>专工委室，分别为办公室、选联委、教科文委、农环委、财经预算工委、民侨委、法工委、建设委员会；2个内设机构，分别为政策研究室、党总支。</w:t>
      </w:r>
      <w:r>
        <w:rPr>
          <w:rFonts w:ascii="宋体" w:hAnsi="宋体" w:eastAsia="宋体" w:cs="宋体"/>
          <w:i w:val="0"/>
          <w:caps w:val="0"/>
          <w:color w:val="000000"/>
          <w:spacing w:val="0"/>
          <w:kern w:val="0"/>
          <w:sz w:val="24"/>
          <w:szCs w:val="24"/>
          <w:u w:val="single"/>
          <w:shd w:val="clear" w:fill="FBFBFB"/>
          <w:lang w:val="en-US" w:eastAsia="zh-CN" w:bidi="ar"/>
        </w:rPr>
        <w:t>  1  </w:t>
      </w:r>
      <w:r>
        <w:rPr>
          <w:rFonts w:ascii="宋体" w:hAnsi="宋体" w:eastAsia="宋体" w:cs="宋体"/>
          <w:i w:val="0"/>
          <w:caps w:val="0"/>
          <w:color w:val="000000"/>
          <w:spacing w:val="0"/>
          <w:kern w:val="0"/>
          <w:sz w:val="24"/>
          <w:szCs w:val="24"/>
          <w:shd w:val="clear" w:fill="FBFBFB"/>
          <w:lang w:val="en-US" w:eastAsia="zh-CN" w:bidi="ar"/>
        </w:rPr>
        <w:t>个预算单位。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㈠召开盈江县第十七届人民代表大会第三次会议；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㈡抓住重点，进一步增强监督工作实效性；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㈢依法决定重大事项，正确行使人事任免权；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㈣加强代表工作，加大对乡镇人大工作的指导力度；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00" w:afterAutospacing="0" w:line="70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㈤加强自身建设，进一步提高常委会履职能力和机关服务保障水平。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在职人员编制29人，其中：行政编制 29人，事业编制0人。在职实有38人，其中：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财政全供养</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38人，财政部分供养0人，非财政供养0人。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离退休人员33人，其中：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离休</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0人，退休 33人。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车辆编制3辆，实有车辆3辆。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 971.95万元，其中：一般公共预算财政拨款971.95万元，政府性基金预算财政拨款0万元，国有资本经营预算财政拨款0万元，事业收入0万元，事业单位经营收入0万元，其他收入0万元，上年结转77.40万元。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8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 971.95万元，其中:本年收入971.95万元，上年结转77.40万元。本年收入中，一般公共预算财政拨款971.95万元（本级财力971.95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2019年部门预算总支出971.95万元。财政拨款安排支出 971.95万元，其中，基本支出703.35万元，项目支出268.60万元。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2010101款行政运行611.09万元，主要用于人员工资发放、机关正常运转经费、《盈江人大》编撰出稿及印刷费、对外交流工作经费。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2010102款一般行政管理事务44万元，主要用于10个工委日常工作经费。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2010104款人大会议15万元，主要用于乡镇人大主席团工作会议经费。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2010107款人大代表履职能力提升32.50万元，主要用于县人大组成人员调研经费、部队选区1名十七届人大代表经费、乡镇人大主席团成员履职经费。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2010108款代表工作117.10万元，主要用于县乡人大代表活动经费。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2010199款其他人大事务支出30万元，主要用于人大预算联网专项经费。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2080501款归口管理的行政单位离退休1.98万元，主要用于退休人员日常开支。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2080505款机关事业单位基本养老保险缴费支出65.82万元，主要用于养老保险（单位部分）支出。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2210201款住房公积金54.46万元，主要用于住房公积金支出。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经济科目分组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2010101行政运行</w:t>
      </w:r>
      <w:r>
        <w:rPr>
          <w:rFonts w:ascii="宋体" w:hAnsi="宋体" w:eastAsia="宋体" w:cs="宋体"/>
          <w:b w:val="0"/>
          <w:i w:val="0"/>
          <w:caps w:val="0"/>
          <w:color w:val="000000"/>
          <w:spacing w:val="0"/>
          <w:kern w:val="0"/>
          <w:sz w:val="24"/>
          <w:szCs w:val="24"/>
          <w:shd w:val="clear" w:fill="FBFBFB"/>
          <w:lang w:val="en-US" w:eastAsia="zh-CN" w:bidi="ar"/>
        </w:rPr>
        <w:t>611.09</w:t>
      </w:r>
      <w:r>
        <w:rPr>
          <w:rFonts w:ascii="宋体" w:hAnsi="宋体" w:eastAsia="宋体" w:cs="宋体"/>
          <w:i w:val="0"/>
          <w:caps w:val="0"/>
          <w:color w:val="000000"/>
          <w:spacing w:val="0"/>
          <w:kern w:val="0"/>
          <w:sz w:val="24"/>
          <w:szCs w:val="24"/>
          <w:shd w:val="clear" w:fill="FBFBFB"/>
          <w:lang w:val="en-US" w:eastAsia="zh-CN" w:bidi="ar"/>
        </w:rPr>
        <w:t>万元。其中：基本支出581.09万元，主要用于301工资福利支出466.17万元、302商品和服务支出93.84万元、303对个人和家庭的补助20.08万元、310资本性支出1万元；项目支出30万元,主要用于302商品和服务支出22万元，310资本性支出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2010102一般行政管理事务44万元。其中：基本支出0万元；项目支出44万元，主要用于302商品和服务支出26万元，303对个人和家庭的补助12万元，310资本性支出6万元。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2010104人大会议15万元。其中：基本支出0万元；项目支出15万元，主要用于302商品和服务支出15万元。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2010107人大代表履职能力提升32.50万元。其中：基本支出0万元；项目支出32.50万元，主要用于302商品和服务支出30.50万元，303对个人和家庭的补助2万元。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2010108代表工作117.10万元其中：基本支出0万元，项目支出117.10万元，主要用于302商品和服务支出112.10万元，310资本性支出5万元。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2080501归口管理的行政单位离退休1.98万元。其中：基本支出1.98万元，主要用于302商品和服务支出1.98万元，项目支出0万元。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2080505机关事业单位基本养老保险缴费支出65.82万元。其中：基本支出65.82万元，主要用于301工资福利支出65.82万元；项目支出0万元。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2210201住房保障支出54.46万元，其中：基本支出54.46万元，主要用于301工资福利支出54.46万元；项目支出0万元。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本单位2019年无县对下专项转移支付。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根据《中华人民共和国政府采购法》的有关规定，编制了政府采购预算，共涉及采购项目5个，采购预算资金37万元。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60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 2019年盈江县</w:t>
      </w:r>
      <w:r>
        <w:rPr>
          <w:rFonts w:ascii="宋体" w:hAnsi="宋体" w:eastAsia="宋体" w:cs="宋体"/>
          <w:b w:val="0"/>
          <w:i w:val="0"/>
          <w:caps w:val="0"/>
          <w:color w:val="000000"/>
          <w:spacing w:val="0"/>
          <w:sz w:val="24"/>
          <w:szCs w:val="24"/>
          <w:shd w:val="clear" w:fill="FBFBFB"/>
        </w:rPr>
        <w:t>盈江县人大常委会办公室</w:t>
      </w:r>
      <w:r>
        <w:rPr>
          <w:rFonts w:ascii="宋体" w:hAnsi="宋体" w:eastAsia="宋体" w:cs="宋体"/>
          <w:i w:val="0"/>
          <w:caps w:val="0"/>
          <w:color w:val="000000"/>
          <w:spacing w:val="0"/>
          <w:sz w:val="24"/>
          <w:szCs w:val="24"/>
          <w:shd w:val="clear" w:fill="FBFBFB"/>
        </w:rPr>
        <w:t>“三公”经费预算数55万元，与上年预算数55万元持平。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拟安排公务接待费预算35万元，主要用于按规定开支的各类公务接待产生的费用，与上年预算数35万元持平。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20万元，其中：购置经费0万元、运行维护费20万元，主要用于保障政府部门、党群部门、其他部门公务工作开展，拟产生的公务用车燃料费、维修费、过路过桥费、保险费等支出，与上年预算数20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（二）预算收入增减变化情况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9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2019年部门预算收入971.95万元，比上年预算数781.78万元增190.17万元，增长19.57%。增长主要原因：调资增资、新增人大预算联网专项经费、新增调研经费。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（三）2019年基本支出预算703.35万元，较2018年基本支出预算568.18万元，增加135.17万元，增长19.22%，增加主要原因是增加工资福利支出和住房公积金支出。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w:t>
      </w:r>
      <w:r>
        <w:rPr>
          <w:rFonts w:ascii="宋体" w:hAnsi="宋体" w:eastAsia="宋体" w:cs="宋体"/>
          <w:b w:val="0"/>
          <w:i w:val="0"/>
          <w:caps w:val="0"/>
          <w:color w:val="000000"/>
          <w:spacing w:val="0"/>
          <w:kern w:val="0"/>
          <w:sz w:val="24"/>
          <w:szCs w:val="24"/>
          <w:shd w:val="clear" w:fill="FBFBFB"/>
          <w:lang w:val="en-US" w:eastAsia="zh-CN" w:bidi="ar"/>
        </w:rPr>
        <w:t>2019年</w:t>
      </w:r>
      <w:r>
        <w:rPr>
          <w:rFonts w:ascii="宋体" w:hAnsi="宋体" w:eastAsia="宋体" w:cs="宋体"/>
          <w:i w:val="0"/>
          <w:caps w:val="0"/>
          <w:color w:val="000000"/>
          <w:spacing w:val="0"/>
          <w:kern w:val="0"/>
          <w:sz w:val="24"/>
          <w:szCs w:val="24"/>
          <w:shd w:val="clear" w:fill="FBFBFB"/>
          <w:lang w:val="en-US" w:eastAsia="zh-CN" w:bidi="ar"/>
        </w:rPr>
        <w:t>项目支出预算268.60万元，（《盈江人大》办公信息建设经费10万元、对外交流工作经费20万元、10个工委专项经费44万元、乡镇人大主席团工作会议经费15万元、县人大常委会组成人员调研经费20万元、部队选区补选1名十七届人大代表经费1万元、乡镇人大主席团成员履职经费11.50万元、县乡人大代表活动经费117.10万元、人大预算联网专项经费30万元），较2018年213.60万元，（《盈江人大》办公信息建设经费10万元、对外交流工作经费20万元、10个工委专项经费20万元、乡镇人大主席团工作会议经费15万元、乡镇人大主席团成员履职经费11.50万元、县人大常委会组成人员履职经费20万元、县乡人大代表活动经费117.10万元）增加55万元，增长25.75%，主要原因是本年度增加人大预算联网专项经费、增加县人大常委会组成人员调研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16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1.财政拨款（补助）收入指财政部门当年拨付的资金。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3.项目支出指在基本支出之外为完成相关行政任务和事业发展目标所发生的支出。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人大常委会办公室2019年部门预算机关运行经费支出95.82万元，比2018年76.09万元增加了19.72万元，增加了20.59%，主要用于办公费13.98万元、差旅费5万元、邮电费9.70万元、维修（护）费2万元、培训费2万元、公务接待费8万元、公务用车运行维护费8万元、其他交通费47.14万元，机关运行经费比上年增加的主要原因是十个工委工作经费增加了24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7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2019年部门预算总支出 971.95万元。财政拨款安排支出971.95万元，其中，基本支出703.35万元，主要用于发放人员工资，基本养老保险缴费，住房公积金，支付公用经费等确保机构正常运转。项目支出268.60万元 ,通过使用资金能够更好的发挥人大职能：讨论、决定本行政区域内的政治、经济、教育、科学、文化、卫生、环境和资源保护、民政、民族等工作的重大事项；根据本级人民政府的建议，决定对本行政政区域内的国民经济和社会发展计划、预算的部分变更。  </w:t>
      </w:r>
    </w:p>
    <w:p/>
    <w:p>
      <w:pPr>
        <w:widowControl/>
        <w:jc w:val="left"/>
        <w:rPr>
          <w:rFonts w:hint="eastAsia" w:ascii="仿宋" w:hAnsi="仿宋" w:eastAsia="仿宋" w:cs="仿宋"/>
          <w:color w:val="auto"/>
          <w:kern w:val="0"/>
          <w:sz w:val="32"/>
          <w:szCs w:val="32"/>
        </w:rPr>
      </w:pPr>
      <w:bookmarkStart w:id="0" w:name="_GoBack"/>
      <w:bookmarkEnd w:id="0"/>
      <w:r>
        <w:rPr>
          <w:rFonts w:hint="eastAsia" w:ascii="仿宋" w:hAnsi="仿宋" w:eastAsia="仿宋" w:cs="仿宋"/>
          <w:color w:val="auto"/>
          <w:kern w:val="0"/>
          <w:sz w:val="32"/>
          <w:szCs w:val="32"/>
        </w:rPr>
        <w:t xml:space="preserve">    </w:t>
      </w:r>
    </w:p>
    <w:p>
      <w:pPr>
        <w:rPr>
          <w:rFonts w:ascii="Arial" w:hAnsi="Arial" w:eastAsia="Arial" w:cs="Arial"/>
          <w:b/>
          <w:sz w:val="36"/>
        </w:rPr>
      </w:pPr>
      <w:r>
        <w:rPr>
          <w:rFonts w:ascii="Arial" w:hAnsi="Arial" w:eastAsia="Arial" w:cs="Arial"/>
          <w:b/>
          <w:sz w:val="36"/>
        </w:rPr>
        <w:t>监督索引号53312300410100111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D93"/>
    <w:rsid w:val="00054EA9"/>
    <w:rsid w:val="000559B2"/>
    <w:rsid w:val="00060B5F"/>
    <w:rsid w:val="00063177"/>
    <w:rsid w:val="00064C37"/>
    <w:rsid w:val="00070204"/>
    <w:rsid w:val="00073344"/>
    <w:rsid w:val="00074721"/>
    <w:rsid w:val="00081157"/>
    <w:rsid w:val="00083CB1"/>
    <w:rsid w:val="00085843"/>
    <w:rsid w:val="000860FB"/>
    <w:rsid w:val="000952C1"/>
    <w:rsid w:val="000965BE"/>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3EBC"/>
    <w:rsid w:val="001E684A"/>
    <w:rsid w:val="00200BD6"/>
    <w:rsid w:val="00213694"/>
    <w:rsid w:val="0021594B"/>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47DBF"/>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2D15"/>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936"/>
    <w:rsid w:val="00780AAD"/>
    <w:rsid w:val="0078371A"/>
    <w:rsid w:val="00783A4C"/>
    <w:rsid w:val="0079250C"/>
    <w:rsid w:val="00794375"/>
    <w:rsid w:val="007A05BD"/>
    <w:rsid w:val="007A7078"/>
    <w:rsid w:val="007A725D"/>
    <w:rsid w:val="007B4A0F"/>
    <w:rsid w:val="007C05CB"/>
    <w:rsid w:val="007C1922"/>
    <w:rsid w:val="007C3153"/>
    <w:rsid w:val="007C7656"/>
    <w:rsid w:val="007C7CD3"/>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92C4E"/>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1E38F1"/>
    <w:rsid w:val="025737A0"/>
    <w:rsid w:val="02D20634"/>
    <w:rsid w:val="03891346"/>
    <w:rsid w:val="03F0214E"/>
    <w:rsid w:val="04D173C5"/>
    <w:rsid w:val="054A0E10"/>
    <w:rsid w:val="05DF1D9E"/>
    <w:rsid w:val="06325B44"/>
    <w:rsid w:val="07654720"/>
    <w:rsid w:val="081F04C8"/>
    <w:rsid w:val="0844699D"/>
    <w:rsid w:val="085E4AD2"/>
    <w:rsid w:val="08A3268D"/>
    <w:rsid w:val="08D46AE3"/>
    <w:rsid w:val="09870789"/>
    <w:rsid w:val="0AB77A2F"/>
    <w:rsid w:val="0B665058"/>
    <w:rsid w:val="0B991BEF"/>
    <w:rsid w:val="0BAE0893"/>
    <w:rsid w:val="0C0D2FDD"/>
    <w:rsid w:val="0CBE15B4"/>
    <w:rsid w:val="0DCF3EF8"/>
    <w:rsid w:val="0F750DD7"/>
    <w:rsid w:val="0F851654"/>
    <w:rsid w:val="100D4A8A"/>
    <w:rsid w:val="10AD1DC5"/>
    <w:rsid w:val="1307586E"/>
    <w:rsid w:val="140E4238"/>
    <w:rsid w:val="16E461EF"/>
    <w:rsid w:val="17D62991"/>
    <w:rsid w:val="190D043A"/>
    <w:rsid w:val="19576C67"/>
    <w:rsid w:val="19F045D5"/>
    <w:rsid w:val="1A0B3DDD"/>
    <w:rsid w:val="1F9634A3"/>
    <w:rsid w:val="20C925E8"/>
    <w:rsid w:val="21063D12"/>
    <w:rsid w:val="2324411E"/>
    <w:rsid w:val="26467A17"/>
    <w:rsid w:val="26AA6B7F"/>
    <w:rsid w:val="27044986"/>
    <w:rsid w:val="281D58AB"/>
    <w:rsid w:val="284C3351"/>
    <w:rsid w:val="28B51918"/>
    <w:rsid w:val="2A0748FB"/>
    <w:rsid w:val="2A1F05CD"/>
    <w:rsid w:val="2AB23173"/>
    <w:rsid w:val="2B350EC5"/>
    <w:rsid w:val="2C660939"/>
    <w:rsid w:val="2D7B7E3A"/>
    <w:rsid w:val="2E6077F6"/>
    <w:rsid w:val="2F1726AF"/>
    <w:rsid w:val="2F4D6818"/>
    <w:rsid w:val="2FB60A30"/>
    <w:rsid w:val="306F4E28"/>
    <w:rsid w:val="334D3944"/>
    <w:rsid w:val="339A189D"/>
    <w:rsid w:val="34C14E26"/>
    <w:rsid w:val="36D018A7"/>
    <w:rsid w:val="380F24A8"/>
    <w:rsid w:val="384547FF"/>
    <w:rsid w:val="38916C13"/>
    <w:rsid w:val="3900064B"/>
    <w:rsid w:val="39466C4F"/>
    <w:rsid w:val="396567F6"/>
    <w:rsid w:val="39B84D0D"/>
    <w:rsid w:val="3A2E572B"/>
    <w:rsid w:val="3CC00B01"/>
    <w:rsid w:val="3EF165B8"/>
    <w:rsid w:val="40595D09"/>
    <w:rsid w:val="41DE5BFC"/>
    <w:rsid w:val="426C76AF"/>
    <w:rsid w:val="440C57B5"/>
    <w:rsid w:val="46A53D03"/>
    <w:rsid w:val="47F64312"/>
    <w:rsid w:val="48A3489C"/>
    <w:rsid w:val="4A0E15FE"/>
    <w:rsid w:val="4AD019F7"/>
    <w:rsid w:val="4CB1289E"/>
    <w:rsid w:val="4CB44E7D"/>
    <w:rsid w:val="4EE61B45"/>
    <w:rsid w:val="4F011886"/>
    <w:rsid w:val="50185AB5"/>
    <w:rsid w:val="51F31438"/>
    <w:rsid w:val="526211A7"/>
    <w:rsid w:val="52887902"/>
    <w:rsid w:val="53065070"/>
    <w:rsid w:val="532A5FA2"/>
    <w:rsid w:val="537B77BD"/>
    <w:rsid w:val="53802EA7"/>
    <w:rsid w:val="54B771EF"/>
    <w:rsid w:val="54E36E31"/>
    <w:rsid w:val="557B7247"/>
    <w:rsid w:val="55F737AD"/>
    <w:rsid w:val="57483AE2"/>
    <w:rsid w:val="58012133"/>
    <w:rsid w:val="585B14B5"/>
    <w:rsid w:val="59363F3A"/>
    <w:rsid w:val="5A5E39C8"/>
    <w:rsid w:val="5A722EA1"/>
    <w:rsid w:val="5B987CF6"/>
    <w:rsid w:val="5D6517B5"/>
    <w:rsid w:val="5DE22DE5"/>
    <w:rsid w:val="5E4359BD"/>
    <w:rsid w:val="5E9B08BE"/>
    <w:rsid w:val="60F15C0F"/>
    <w:rsid w:val="61DF4187"/>
    <w:rsid w:val="61EE3864"/>
    <w:rsid w:val="624E05A7"/>
    <w:rsid w:val="62591C02"/>
    <w:rsid w:val="64EA2F90"/>
    <w:rsid w:val="66F969A7"/>
    <w:rsid w:val="68945C96"/>
    <w:rsid w:val="69E87672"/>
    <w:rsid w:val="6A763072"/>
    <w:rsid w:val="6B137628"/>
    <w:rsid w:val="6B5935B8"/>
    <w:rsid w:val="6BF42834"/>
    <w:rsid w:val="6CA01CD4"/>
    <w:rsid w:val="6D942A19"/>
    <w:rsid w:val="6FEF5ED5"/>
    <w:rsid w:val="70923053"/>
    <w:rsid w:val="717256CB"/>
    <w:rsid w:val="724A4A01"/>
    <w:rsid w:val="72601587"/>
    <w:rsid w:val="72DB65E1"/>
    <w:rsid w:val="73C075D5"/>
    <w:rsid w:val="74145D11"/>
    <w:rsid w:val="75B461AD"/>
    <w:rsid w:val="7B1E5394"/>
    <w:rsid w:val="7B7965BC"/>
    <w:rsid w:val="7BD95447"/>
    <w:rsid w:val="7C4F7FDC"/>
    <w:rsid w:val="7D6B4C32"/>
    <w:rsid w:val="7E065927"/>
    <w:rsid w:val="7E1B5F9E"/>
    <w:rsid w:val="7F534C46"/>
    <w:rsid w:val="7F8E4609"/>
    <w:rsid w:val="7F9C2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jc w:val="left"/>
    </w:pPr>
    <w:rPr>
      <w:rFonts w:ascii="宋体" w:hAnsi="宋体" w:cs="宋体"/>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5</Pages>
  <Words>228</Words>
  <Characters>1301</Characters>
  <Lines>10</Lines>
  <Paragraphs>3</Paragraphs>
  <TotalTime>0</TotalTime>
  <ScaleCrop>false</ScaleCrop>
  <LinksUpToDate>false</LinksUpToDate>
  <CharactersWithSpaces>1526</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2019-12-26T02:54:35Z</dcterms:modified>
  <dc:title>年部门预算编制说明</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