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监督索引号53312300431500000</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盈江县司法局2019年预算公开</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目录</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 </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第一部分 盈江县司法局2019年部门预算编制说明</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第二部分 盈江县司法局2019年部门预算表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一、部门财务收支总体情况表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二、部门收入总体情况表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三、部门支出总体情况表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四、部门财政拨款收支总体情况表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五、部门一般公共预算本级财力安排支出情况表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六、部门基本支出情况表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七、部门政府性基金预算支出情况表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八、财政拨款支出明细表（按经济科目分类）</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九、部门一般公共预算“三公”经费支出情况表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十、州本级项目支出绩效目标表（本次下达）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十一、州本级项目支出绩效目标表（另文下达）</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十二、州对下转移支付绩效目标表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十三、部门政府采购情况表</w:t>
      </w:r>
    </w:p>
    <w:p>
      <w:pPr>
        <w:pStyle w:val="6"/>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7"/>
          <w:szCs w:val="27"/>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盈江县司法局2019年部门预算编制说明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盈江县司法局在中共盈江县委，盈江县人民政府和上级司法行政机关的正确领导和指导下，充分发挥司法行政机关法制宣传</w:t>
      </w:r>
      <w:r>
        <w:rPr>
          <w:rFonts w:hint="eastAsia" w:ascii="宋体" w:hAnsi="宋体" w:eastAsia="宋体" w:cs="宋体"/>
          <w:i w:val="0"/>
          <w:caps w:val="0"/>
          <w:color w:val="333333"/>
          <w:spacing w:val="0"/>
          <w:kern w:val="0"/>
          <w:sz w:val="24"/>
          <w:szCs w:val="24"/>
          <w:lang w:val="en-US" w:eastAsia="zh-CN" w:bidi="ar"/>
        </w:rPr>
        <w:t> </w:t>
      </w:r>
      <w:r>
        <w:rPr>
          <w:rFonts w:hint="eastAsia" w:ascii="宋体" w:hAnsi="宋体" w:eastAsia="宋体" w:cs="宋体"/>
          <w:i w:val="0"/>
          <w:caps w:val="0"/>
          <w:color w:val="333333"/>
          <w:spacing w:val="0"/>
          <w:kern w:val="0"/>
          <w:sz w:val="27"/>
          <w:szCs w:val="27"/>
          <w:lang w:val="en-US" w:eastAsia="zh-CN" w:bidi="ar"/>
        </w:rPr>
        <w:t>法律服务和法律保障三大职能作用。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县司法局成立于1981年，属盈</w:t>
      </w:r>
      <w:bookmarkStart w:id="0" w:name="_GoBack"/>
      <w:bookmarkEnd w:id="0"/>
      <w:r>
        <w:rPr>
          <w:rFonts w:hint="eastAsia" w:ascii="宋体" w:hAnsi="宋体" w:eastAsia="宋体" w:cs="宋体"/>
          <w:i w:val="0"/>
          <w:caps w:val="0"/>
          <w:color w:val="333333"/>
          <w:spacing w:val="0"/>
          <w:kern w:val="0"/>
          <w:sz w:val="27"/>
          <w:szCs w:val="27"/>
          <w:lang w:val="en-US" w:eastAsia="zh-CN" w:bidi="ar"/>
        </w:rPr>
        <w:t>江县人民政府职能部门之一。2019年，纳入部门决算编报为一个行政单位（财政全供养），内设机构为八个部门，人员编制数为87人，在职人数是66人。在编及实有车辆均为3辆。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1、干部队伍建设不断加强，</w:t>
      </w:r>
      <w:r>
        <w:rPr>
          <w:rFonts w:hint="eastAsia" w:ascii="宋体" w:hAnsi="宋体" w:cs="宋体"/>
          <w:i w:val="0"/>
          <w:caps w:val="0"/>
          <w:color w:val="333333"/>
          <w:spacing w:val="0"/>
          <w:kern w:val="0"/>
          <w:sz w:val="27"/>
          <w:szCs w:val="27"/>
          <w:lang w:val="en-US" w:eastAsia="zh-CN" w:bidi="ar"/>
        </w:rPr>
        <w:t>落实全面从严治党</w:t>
      </w:r>
      <w:r>
        <w:rPr>
          <w:rFonts w:hint="eastAsia" w:ascii="宋体" w:hAnsi="宋体" w:eastAsia="宋体" w:cs="宋体"/>
          <w:i w:val="0"/>
          <w:caps w:val="0"/>
          <w:color w:val="333333"/>
          <w:spacing w:val="0"/>
          <w:kern w:val="0"/>
          <w:sz w:val="27"/>
          <w:szCs w:val="27"/>
          <w:lang w:val="en-US" w:eastAsia="zh-CN" w:bidi="ar"/>
        </w:rPr>
        <w:t>。一是加强教育，深入学习党的十九大精神，全面贯彻落实习近平新时代中国特色社会主义思想。二是加强党的组织建设。以“基层党建巩固年”为统领，推进基层组织全面过硬，积极创建基层党建示范点，依托</w:t>
      </w:r>
      <w:r>
        <w:rPr>
          <w:rFonts w:hint="eastAsia" w:ascii="宋体" w:hAnsi="宋体" w:cs="宋体"/>
          <w:i w:val="0"/>
          <w:caps w:val="0"/>
          <w:color w:val="333333"/>
          <w:spacing w:val="0"/>
          <w:kern w:val="0"/>
          <w:sz w:val="27"/>
          <w:szCs w:val="27"/>
          <w:lang w:val="en-US" w:eastAsia="zh-CN" w:bidi="ar"/>
        </w:rPr>
        <w:t>“两学一做”学习教育</w:t>
      </w:r>
      <w:r>
        <w:rPr>
          <w:rFonts w:hint="eastAsia" w:ascii="宋体" w:hAnsi="宋体" w:eastAsia="宋体" w:cs="宋体"/>
          <w:i w:val="0"/>
          <w:caps w:val="0"/>
          <w:color w:val="333333"/>
          <w:spacing w:val="0"/>
          <w:kern w:val="0"/>
          <w:sz w:val="27"/>
          <w:szCs w:val="27"/>
          <w:lang w:val="en-US" w:eastAsia="zh-CN" w:bidi="ar"/>
        </w:rPr>
        <w:t>实践活动，开展党支部生活会、民主生活会，扎实推进“两学一做”学习教育常态化，党员先锋模范带头作用、党组织战斗堡垒作用进一步发挥。三是狠抓党风廉政建设。召开全县司法行政系统党风廉政建设工作会，将党风廉政建设纳入全局党组重要议事日程，做到与司法行政业务同研究、同部署、同落实、同考核，层层签订责任书，压实党风廉政建设“两个责任”和“一岗双责”，党风廉政建设党组主体责任和纪检监督责任得到落实，全面从严治党工作扎实推进。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2、基层基础更加夯实，司法业务用房建设项目稳步推进。新城、平原司法所业务用房建设项目投资140万元，目前工程基础设施建设已经完成，预计2019年初建盖完成投入使用。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3、人民调解工作扎实有效，全面筑牢基层维稳第一道防线。一是建立健全人民调解组织。二是创新人民调解工作制度。积极探索建立人民调解参与信访案件化解工作制度，在县信访局设立人民调解参与信访案件化解工作室，发挥人民调解定纷止争的作用，最大限度减少不和谐社会因素。三是落实人民调解“以案定补”工作。制定了《盈江县人民调解以案定补实施办法》，并报请县政府常务会确定将人民调解“以案定补”工作经费按每年50万元列入县级财政预算，为全县人民调解工作扎实稳步开展提供了坚实有力的保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4、社区矫正监管帮教不断加强，全面提升特殊人群管理成效。一是规范社区矫正工作信息管理。完成了自2014年以来全县社区服刑人员档案信息收集录入工作。严格把关远程探视申请条件和标准，推动远程探视业务有序进行。二是开展集中教育学习。制定下发《盈江县社区矫正集中教育学习工作计划的通知》，明确要求各司法所每月至少开展1次社区矫正集中教育学习。三是规范检查指导。联合检察院、公安、法院等部门组成联合检查组到全县15个乡（镇）开展了社区矫正工作专项督查，对社区矫正工作取得的成效及存在的问题进行了全面督查指导，督促社区矫正工作依法稳步开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5、法治宣传教育工作深入开展，全面强化法治盈江建设。一是强化责任抓落实。制定并下发《盈江县开展“谁主管谁普法、谁执法谁普法”工作的实施方案》，严格落实“谁主管谁普法，谁执法谁普法”责任制，逐步建起全方位、多层次、宽领域的普法教育机制。建立健全考评考核指标体系，把法治宣传教育纳入单位绩效考核和领导干部考核内容。加强领导干部思想教育，组织开展好领导干部“无纸化”网络在线学法考试工作。二是夯实普法宣传教育阵地建设。在原县委旧址巩固创建了盈江法治公园。在全县选出24个村民小组作为民主法治建设示范点，结合美丽乡村建设，巩固创建独具特色又兼具法治文化的民主法治示范村，目前，各项工作正有序进行。其次，在县民族完全中学探索建设青少年法治宣传教育基地。该项工作已开始动工建设，内部装修已经完成，预计2019年初投入使用。三是细化举措求实效。推行“互联网+普法宣传”教育模式，在盈江电视台和“美丽盈江”微信公众号开设了“盈江普法”专栏。</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6、公共法律服务建设统筹推进，全面增强人民群众获得感幸福感安全感。一是深入推进公共法律服务体系建设。在抓好县级公共法律服务中心建设基础上，有序推进全县16个乡（镇）公共法律服务实体平台建设。先后完成了旧城、弄璋、太平、芒章、盏西、支那等6个乡（镇）公共法律服务中心建设并投入使用。同时，以“互联网+12348”为导向，建设“12348”公共法律服务热线平台。多渠道宣传推广运用“云南掌上12348”法网公众号。定期向中国服务网司法行政（法律服务）案例库上报案例信息。深入推进法律顾问制度向乡村延伸，创建完成129个村（居）法律顾问服务微信群，第一时间为群众提供优质高效快捷的法律咨询服务。二是拓展法律援助覆盖面。三是抓实律师工作管理。加强律师职业道德和诚信建设，加大律师违法违规执业惩戒力度，严肃查处上报1起律师违法违规执业案件。建全了律师行业参与涉黑涉恶案件代理报告制度，引导律师有效参与涉法涉诉信访案件代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7、精准扶贫深入开展，全面推进扶贫攻坚各项任务。一是落实惠民政策。全面摸排、理清挂钩村平原镇富联村和弄璋镇弄璋村建档立卡户生产生活近况，严格落实上级党委政府的惠民政策，建档立卡贫困户均达到遮风避雨、安全稳固标准。二是抓产业谋发   展。用好盈江农业产业精准扶贫政策，结合挂钩村实际着力发展坚果、甘蔗种植业和生猪养殖产业。三是发挥司法行政职能优势。依托“万人进千村帮万户”法律服务助推脱贫攻坚专项行动，通过发放法律服务明白卡，强化贫困村法律服务，充分整合律师、公证、法律援助、基层法律服务等资源优势，为贫困乡村经济社会发展提供优质专项法律服务，聚力法治扶贫，助推脱贫攻坚。</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在职人员编制87人，其中：行政编制77 人，事业编制10人。在职实有66人，其中： 财政全供养 66人，财政部分供养0人，非财政供养0人。离退休人员 21人，其中： 离休 0人，退休 21人。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车辆编制3辆，实有车辆3辆。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2019年部门财务总收入 1183.54万元，其中：一般公共预算财政拨款1183.54万元，政府性基金预算财政拨款0万元，国有资本经营预算财政拨款0万元，事业收入0万元，事业单位经营收入0万元，其他收入0万元，上年结转0万元。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财政拨款收入1183.54万元，其中:本年收入1183.54万元，上年结转0万元。本年收入中，一般公共预算财政拨款1183.54万元（本级财力1183.54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2019年部门预算总支出 1183.54万元。财政拨款安排支出 1183.54万元，其中，基本支出1131.54万元，项目支出52万元。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2040601行政运行930.95万元，主要用于支付在职职工全年工资福利支出及机构正常运转经费；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2040605普法宣传32万元，主要用于深入推进普法工作创新发展工作经费；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2040610社区矫正20万元，主要用于对于罪行轻微、主观恶性不大的未成年犯、老病残犯、以及罪行较轻的初犯、过失犯等作为重点对象，实施社区矫正。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2080501归口管理的行政单位离退休0.96万元，主要用于退休人员公务活动费；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2080502事业单位离退休0.3万元，主要用于退休人员公务活动费；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2080505 机关事业单位基本养老保险缴费支出102.25万元，主要用于单位基本养老保险缴费；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2210201住房公积金97.08万元，主要用于职工住房公积金。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2040601行政运行930.95万元(其中:基本支出930.95万元、项目支出0万元)301工资福利支出901.91万元、302商品和服务支出29.04万元。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2040605普法宣传32万元(其中:基本支出0万元、项目支出32万元)302商品和服务支出32万元。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2040610社区矫正20万元(其中:基本支出0万元、项目支出20万元)302商品和服务支出20万元。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2080501归口管理的行政单位离退休0.96万元(其中:基本支出0.96万元、项目支出0万元)302商品和服务支出0.96万元。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2080502事业单位离退休0.3万元(其中:基本支出0.3万元、项目支出0万元)302商品和服务支出0.3万元。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2080505 机关事业单位基本养老保险缴费支出102.25万元(其中:基本支出102.25万元、项目支出0万元)301工资福利支出102.25万元。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2210201住房公积金97.08万元(其中:基本支出97.08万元、项目支出0万元)301工资福利支出97.08万元。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本单位2019年无县对下专项转移支付项目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根据《中华人民共和国政府采购法》的有关规定，编制了政府采购预算，共涉及采购项目0个，采购预算资金0万元。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（一）部门“三公”经费增减变化情况及原因说明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拟安排出国（境）经费预算0万元，比上年持平。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2、公务接待费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拟安排公务接待费预算24万元，主要用于按规定开支的各类公务接待产生的费用，比上年预算数32万元减少8万元，减少25%，下降原因：厉行节约、按照有关规定，严格控制开支。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拟安排公务用车购置及运行维护费18万元，其中：购置经费0万元、运行维护费18万元，主要用于保障政府部门、党群部门、其他部门公务工作开展，拟产生的公务用车燃料费、维修费、过路过桥费、保险费等支出，比上年预算数78万元减少60万元，减少76.92%，减少原因是：减少车辆购置经费60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预算收入增减变化情况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2019年部门预算收入1183.54万元，比上年预算数977.92万元增205.62万元，增21.03%。增加原因：调增人员工资。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（二）部门基本支出预算变动的主要原因，对本年与上年同口径数据比对情况分析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2019年部门基本支出预算数为1131.54万元，比上年预算数893.92万元增加237.62万元，增26.58%，增加原因：调资增资，基本养老保险缴费，住房公积金等增加。</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（三）部门基本支出预算变动的主要原因，对本年与上年同口径数据比对情况分析</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2019年部门项目支出预算数为52万元，比上年预算数84万元减少32万元，减38.10%,减少原因：2019年普法宣传工作经费减少。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1.财政拨款（补助）收入指财政部门当年拨付的资金。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2.其他收入指预算单位在“财政拨款收入”、“事业收入”、“经营收入”之外取得的收入。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3.基本支出指为保障机构正常运转、完成日常工作任务而发生的人员支出和公用支出。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4.项目支出指在基本支出之外为完成相关行政任务和事业发展目标所发生的支出。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5.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6.“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7.一般公共预算是对以税收为主体的财政收入，安排用于保障和改善民生、推动经济社会发展、维护国家安全、维护国家机构正常运转等方面的收支预算。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8.非税收入是各级政府及其所属部门和单位依法利用行政权力、政府信誉、国家资源、国有资产或提供特定公共服务征收、收取、提取、募集的除税收和政府债务收入以外的财政收入。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9.工资福利支出反映单位开支的在职职工和编制外长期聘用人员的各类劳动报酬，以及为上述人员缴纳的各项社会保险费等。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10.商品和服务支出反映单位购买商品和服务的支出（不包括用于购置固定资产的支出、战略性和应急储备支出）。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11.对个人和家庭的补助反映政府用于对个人和家庭的补助支出。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12.政府采购是指各级国家机关、事业单位和团体组织，使用财政性资金采购依法制定的集中采购目录以内的或者采购限额标准以上的货物、工程和服务的行为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p>
    <w:p>
      <w:pPr>
        <w:keepNext w:val="0"/>
        <w:keepLines w:val="0"/>
        <w:widowControl/>
        <w:suppressLineNumbers w:val="0"/>
        <w:ind w:left="0" w:firstLine="0"/>
        <w:jc w:val="left"/>
        <w:rPr>
          <w:rFonts w:hint="default" w:ascii="微软雅黑" w:hAnsi="微软雅黑" w:eastAsia="微软雅黑" w:cs="微软雅黑"/>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盈江县司法局2019年部门预算机关运行经费支出30.30万元，主要用于办公费13.3万元、会议费1万元、培训费3万元、公务接待费7万元、公务用车运行维护费6万元。与上年的29.86万元对比增加0.44万元,增长1.47%。主要原因：2019年增加人员公用经费0.44万元。</w:t>
      </w:r>
    </w:p>
    <w:p>
      <w:pPr>
        <w:pStyle w:val="6"/>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（三）本部门预算绩效情况说明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7"/>
          <w:szCs w:val="27"/>
          <w:lang w:val="en-US" w:eastAsia="zh-CN" w:bidi="ar"/>
        </w:rPr>
        <w:t>2019年部门预算总支出 1183.54万元。财政拨款安排支出 1183.54万元，其中，基本支出1131.54万元，主要用于发放人员工资，基本养老保险缴费，住房公积金，支付公用经费等确保机构正常运转。项目支出52万元， 2019年安排两个项目：社区矫正和普法宣传。社区矫正资金使用效益：逐步构建社区服刑人员服务管理全覆盖工作体系，不断提高矫正质量，最大限度地预防和减少重新违法犯罪，促进社区服刑人员回归社区，维护社会安定稳定。普法宣传资金使用效益：按照盈江县“七五”普法规划要求，在全县范围内开展法治宣传教育，提高全民尊法学法懂法守法用法意识，维护盈江和谐稳定。</w:t>
      </w:r>
    </w:p>
    <w:p>
      <w:pPr>
        <w:rPr>
          <w:rFonts w:ascii="Arial" w:hAnsi="Arial" w:eastAsia="Arial" w:cs="Arial"/>
          <w:b/>
          <w:sz w:val="36"/>
        </w:rPr>
      </w:pPr>
    </w:p>
    <w:p>
      <w:pPr>
        <w:rPr>
          <w:rFonts w:ascii="Arial" w:hAnsi="Arial" w:eastAsia="Arial" w:cs="Arial"/>
          <w:b/>
          <w:sz w:val="36"/>
        </w:rPr>
      </w:pPr>
    </w:p>
    <w:p>
      <w:pPr>
        <w:rPr>
          <w:rFonts w:ascii="Arial" w:hAnsi="Arial" w:eastAsia="Arial" w:cs="Arial"/>
          <w:b/>
          <w:sz w:val="36"/>
        </w:rPr>
      </w:pPr>
      <w:r>
        <w:rPr>
          <w:rFonts w:ascii="Arial" w:hAnsi="Arial" w:eastAsia="Arial" w:cs="Arial"/>
          <w:b/>
          <w:sz w:val="36"/>
        </w:rPr>
        <w:t>监督索引号53312300431500111</w:t>
      </w:r>
    </w:p>
    <w:sectPr>
      <w:headerReference r:id="rId5" w:type="default"/>
      <w:headerReference r:id="rId6" w:type="even"/>
      <w:pgSz w:w="11906" w:h="16838"/>
      <w:pgMar w:top="1247" w:right="1797" w:bottom="1247" w:left="179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6C1AA2"/>
    <w:rsid w:val="01C97A5E"/>
    <w:rsid w:val="01EA43D8"/>
    <w:rsid w:val="025737A0"/>
    <w:rsid w:val="03F0214E"/>
    <w:rsid w:val="03F96731"/>
    <w:rsid w:val="04825A3F"/>
    <w:rsid w:val="04C21E5E"/>
    <w:rsid w:val="06325B44"/>
    <w:rsid w:val="08D022A5"/>
    <w:rsid w:val="0A5A315A"/>
    <w:rsid w:val="0AB77A2F"/>
    <w:rsid w:val="0EF8567E"/>
    <w:rsid w:val="10750F22"/>
    <w:rsid w:val="12E166DE"/>
    <w:rsid w:val="15BA0449"/>
    <w:rsid w:val="181B369E"/>
    <w:rsid w:val="19610587"/>
    <w:rsid w:val="1A0B3DDD"/>
    <w:rsid w:val="1B6A42C0"/>
    <w:rsid w:val="1E1A6956"/>
    <w:rsid w:val="21575BEF"/>
    <w:rsid w:val="21813F29"/>
    <w:rsid w:val="25C3000A"/>
    <w:rsid w:val="290C6288"/>
    <w:rsid w:val="2B1272DC"/>
    <w:rsid w:val="2D7B7E3A"/>
    <w:rsid w:val="2EF61137"/>
    <w:rsid w:val="2FC646E1"/>
    <w:rsid w:val="30763BD9"/>
    <w:rsid w:val="309377FB"/>
    <w:rsid w:val="31606487"/>
    <w:rsid w:val="32814A28"/>
    <w:rsid w:val="33341AC3"/>
    <w:rsid w:val="362B7930"/>
    <w:rsid w:val="36645494"/>
    <w:rsid w:val="367F2E12"/>
    <w:rsid w:val="369908C4"/>
    <w:rsid w:val="373721FC"/>
    <w:rsid w:val="385F3067"/>
    <w:rsid w:val="38BA6277"/>
    <w:rsid w:val="39466C4F"/>
    <w:rsid w:val="3A31411C"/>
    <w:rsid w:val="3AF55D28"/>
    <w:rsid w:val="40496306"/>
    <w:rsid w:val="409A2C27"/>
    <w:rsid w:val="41C02A0A"/>
    <w:rsid w:val="41CC5923"/>
    <w:rsid w:val="427E40C2"/>
    <w:rsid w:val="42FA304E"/>
    <w:rsid w:val="495B4D8A"/>
    <w:rsid w:val="4A5A0E3A"/>
    <w:rsid w:val="514D37E3"/>
    <w:rsid w:val="547316B0"/>
    <w:rsid w:val="55E90BAB"/>
    <w:rsid w:val="5624407E"/>
    <w:rsid w:val="567C00CD"/>
    <w:rsid w:val="57E22F97"/>
    <w:rsid w:val="59940CDA"/>
    <w:rsid w:val="5A1544DC"/>
    <w:rsid w:val="5B4C0EF8"/>
    <w:rsid w:val="5BE1690B"/>
    <w:rsid w:val="5EC64A5A"/>
    <w:rsid w:val="5EE26183"/>
    <w:rsid w:val="64880554"/>
    <w:rsid w:val="6AF951FD"/>
    <w:rsid w:val="724A4A01"/>
    <w:rsid w:val="74051468"/>
    <w:rsid w:val="75E318EB"/>
    <w:rsid w:val="76880B63"/>
    <w:rsid w:val="78AA397A"/>
    <w:rsid w:val="7AF55BDD"/>
    <w:rsid w:val="7AFF7CF8"/>
    <w:rsid w:val="7B1E5394"/>
    <w:rsid w:val="7CB93396"/>
    <w:rsid w:val="7DD34843"/>
    <w:rsid w:val="7E214053"/>
    <w:rsid w:val="7EC20AD3"/>
    <w:rsid w:val="7F126FB5"/>
    <w:rsid w:val="7F165E06"/>
    <w:rsid w:val="7FFC4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spacing w:beforeAutospacing="1" w:afterAutospacing="1"/>
      <w:ind w:firstLine="420"/>
      <w:jc w:val="left"/>
    </w:pPr>
    <w:rPr>
      <w:kern w:val="0"/>
      <w:sz w:val="24"/>
    </w:rPr>
  </w:style>
  <w:style w:type="paragraph" w:styleId="7">
    <w:name w:val="annotation subject"/>
    <w:basedOn w:val="2"/>
    <w:next w:val="2"/>
    <w:semiHidden/>
    <w:qFormat/>
    <w:uiPriority w:val="0"/>
    <w:rPr>
      <w:b/>
      <w:bCs/>
    </w:rPr>
  </w:style>
  <w:style w:type="character" w:styleId="10">
    <w:name w:val="Strong"/>
    <w:qFormat/>
    <w:uiPriority w:val="0"/>
    <w:rPr>
      <w:b/>
    </w:rPr>
  </w:style>
  <w:style w:type="character" w:styleId="11">
    <w:name w:val="annotation reference"/>
    <w:semiHidden/>
    <w:qFormat/>
    <w:uiPriority w:val="0"/>
    <w:rPr>
      <w:sz w:val="21"/>
      <w:szCs w:val="21"/>
    </w:rPr>
  </w:style>
  <w:style w:type="paragraph" w:customStyle="1" w:styleId="12">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2024-06-19T09:18:36Z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5CCC0E14D4F342EF9C4FF89BC55D569F</vt:lpwstr>
  </property>
</Properties>
</file>