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监督索引号53312300441000000</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盈江县统计局</w:t>
      </w:r>
      <w:r>
        <w:rPr>
          <w:rFonts w:hint="eastAsia" w:ascii="宋体" w:hAnsi="宋体" w:eastAsia="宋体" w:cs="宋体"/>
          <w:i w:val="0"/>
          <w:caps w:val="0"/>
          <w:color w:val="333333"/>
          <w:spacing w:val="0"/>
          <w:sz w:val="28"/>
          <w:szCs w:val="28"/>
        </w:rPr>
        <w:t>2019</w:t>
      </w:r>
      <w:r>
        <w:rPr>
          <w:rFonts w:hint="eastAsia" w:ascii="宋体" w:hAnsi="宋体" w:eastAsia="宋体" w:cs="宋体"/>
          <w:i w:val="0"/>
          <w:caps w:val="0"/>
          <w:color w:val="333333"/>
          <w:spacing w:val="0"/>
          <w:sz w:val="24"/>
          <w:szCs w:val="24"/>
        </w:rPr>
        <w:t>年预算公开</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目录</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第一部分</w:t>
      </w:r>
      <w:r>
        <w:rPr>
          <w:rFonts w:hint="eastAsia" w:ascii="宋体" w:hAnsi="宋体" w:eastAsia="宋体" w:cs="宋体"/>
          <w:i w:val="0"/>
          <w:caps w:val="0"/>
          <w:color w:val="333333"/>
          <w:spacing w:val="0"/>
          <w:sz w:val="28"/>
          <w:szCs w:val="28"/>
        </w:rPr>
        <w:t> </w:t>
      </w:r>
      <w:r>
        <w:rPr>
          <w:rFonts w:hint="eastAsia" w:ascii="宋体" w:hAnsi="宋体" w:eastAsia="宋体" w:cs="宋体"/>
          <w:i w:val="0"/>
          <w:caps w:val="0"/>
          <w:color w:val="333333"/>
          <w:spacing w:val="0"/>
          <w:sz w:val="24"/>
          <w:szCs w:val="24"/>
        </w:rPr>
        <w:t>盈江县统计局</w:t>
      </w:r>
      <w:r>
        <w:rPr>
          <w:rFonts w:hint="eastAsia" w:ascii="宋体" w:hAnsi="宋体" w:eastAsia="宋体" w:cs="宋体"/>
          <w:i w:val="0"/>
          <w:caps w:val="0"/>
          <w:color w:val="333333"/>
          <w:spacing w:val="0"/>
          <w:sz w:val="28"/>
          <w:szCs w:val="28"/>
        </w:rPr>
        <w:t>2019</w:t>
      </w:r>
      <w:r>
        <w:rPr>
          <w:rFonts w:hint="eastAsia" w:ascii="宋体" w:hAnsi="宋体" w:eastAsia="宋体" w:cs="宋体"/>
          <w:i w:val="0"/>
          <w:caps w:val="0"/>
          <w:color w:val="333333"/>
          <w:spacing w:val="0"/>
          <w:sz w:val="24"/>
          <w:szCs w:val="24"/>
        </w:rPr>
        <w:t>年部门预算编制说明</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第二部分</w:t>
      </w:r>
      <w:r>
        <w:rPr>
          <w:rFonts w:hint="eastAsia" w:ascii="宋体" w:hAnsi="宋体" w:eastAsia="宋体" w:cs="宋体"/>
          <w:i w:val="0"/>
          <w:caps w:val="0"/>
          <w:color w:val="333333"/>
          <w:spacing w:val="0"/>
          <w:sz w:val="28"/>
          <w:szCs w:val="28"/>
        </w:rPr>
        <w:t> </w:t>
      </w:r>
      <w:r>
        <w:rPr>
          <w:rFonts w:hint="eastAsia" w:ascii="宋体" w:hAnsi="宋体" w:eastAsia="宋体" w:cs="宋体"/>
          <w:i w:val="0"/>
          <w:caps w:val="0"/>
          <w:color w:val="333333"/>
          <w:spacing w:val="0"/>
          <w:sz w:val="24"/>
          <w:szCs w:val="24"/>
        </w:rPr>
        <w:t>盈江县统计局</w:t>
      </w:r>
      <w:r>
        <w:rPr>
          <w:rFonts w:hint="eastAsia" w:ascii="宋体" w:hAnsi="宋体" w:eastAsia="宋体" w:cs="宋体"/>
          <w:i w:val="0"/>
          <w:caps w:val="0"/>
          <w:color w:val="333333"/>
          <w:spacing w:val="0"/>
          <w:sz w:val="28"/>
          <w:szCs w:val="28"/>
        </w:rPr>
        <w:t>2019</w:t>
      </w:r>
      <w:r>
        <w:rPr>
          <w:rFonts w:hint="eastAsia" w:ascii="宋体" w:hAnsi="宋体" w:eastAsia="宋体" w:cs="宋体"/>
          <w:i w:val="0"/>
          <w:caps w:val="0"/>
          <w:color w:val="333333"/>
          <w:spacing w:val="0"/>
          <w:sz w:val="24"/>
          <w:szCs w:val="24"/>
        </w:rPr>
        <w:t>年部门预算表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一、部门财务收支总体情况表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二、部门收入总体情况表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三、部门支出总体情况表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四、部门财政拨款收支总体情况表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五、部门一般公共预算本级财力安排支出情况表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六、部门基本支出情况表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七、部门政府性基金预算支出情况表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八、财政拨款支出明细表（按经济科目分类）</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九、部门一般公共预算</w:t>
      </w:r>
      <w:r>
        <w:rPr>
          <w:rFonts w:hint="eastAsia" w:ascii="宋体" w:hAnsi="宋体" w:eastAsia="宋体" w:cs="宋体"/>
          <w:i w:val="0"/>
          <w:caps w:val="0"/>
          <w:color w:val="333333"/>
          <w:spacing w:val="0"/>
          <w:sz w:val="28"/>
          <w:szCs w:val="28"/>
        </w:rPr>
        <w:t>“三公”经费支出情况表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十、县本级项目支出绩效目标表（本次下达）</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十一、县本级项目支出绩效目标表（另文下达）</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十二、县对下转移支付绩效目标表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十三、部门政府采购情况表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 </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盈江县统计局</w:t>
      </w:r>
      <w:r>
        <w:rPr>
          <w:rFonts w:hint="eastAsia" w:ascii="宋体" w:hAnsi="宋体" w:eastAsia="宋体" w:cs="宋体"/>
          <w:i w:val="0"/>
          <w:caps w:val="0"/>
          <w:color w:val="333333"/>
          <w:spacing w:val="0"/>
          <w:sz w:val="28"/>
          <w:szCs w:val="28"/>
        </w:rPr>
        <w:t>2019</w:t>
      </w:r>
      <w:r>
        <w:rPr>
          <w:rFonts w:hint="eastAsia" w:ascii="宋体" w:hAnsi="宋体" w:eastAsia="宋体" w:cs="宋体"/>
          <w:i w:val="0"/>
          <w:caps w:val="0"/>
          <w:color w:val="333333"/>
          <w:spacing w:val="0"/>
          <w:sz w:val="24"/>
          <w:szCs w:val="24"/>
        </w:rPr>
        <w:t>年部门预算编制说明</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一、基本职能及主要工作</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（一）部门主要职责</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根据《盈江县人民政府关于印发〈盈江县统计局主要职责内设机构和人员编制规定〉的通知》（盈政发〔</w:t>
      </w:r>
      <w:r>
        <w:rPr>
          <w:rFonts w:hint="eastAsia" w:ascii="宋体" w:hAnsi="宋体" w:eastAsia="宋体" w:cs="宋体"/>
          <w:i w:val="0"/>
          <w:caps w:val="0"/>
          <w:color w:val="333333"/>
          <w:spacing w:val="0"/>
          <w:sz w:val="28"/>
          <w:szCs w:val="28"/>
        </w:rPr>
        <w:t>2011〕189号）精神，主要职责：</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1、负责组织完成国家统计局、省统计局、州统计局规定和下达的统计调查任务，统计现代化建设规划和统计体制改革方案；组织领导和协调全县各部门的统计和国民经济核算工作；会同有关部门组织实施重大的县情县力的普查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2、负责有关统计法律、法规贯彻实施的检查监督；审查、批准各部门的统计调查计划及调查方案，对全县统计报表实行统一管理。</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3、负责搜集、整理、提供全县性的基本统计资料，并对国民经济、社会发展和科技进步情况进行统计分析、统计预测和统计监督，向县委、县政府及有关部门提供咨询建议。</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4、统一核定、管理、公布、出版全县性的基本统计资料。定期发布全县国民经济和社会发展情况的统计公报。</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5、建立、健全并管理全县统计信息自动化系统和全县统计数据库；逐步建立全县社会，科技进步及企业效益，经济实力的评价指标体系。</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6、组织实施并管理好中央拨统计事业费，组织完成统计专业职务资格考试工作，并负责组织实施统计系统及各单位统计人员的业务培训工作。</w:t>
      </w:r>
    </w:p>
    <w:p>
      <w:pPr>
        <w:pStyle w:val="6"/>
        <w:keepNext w:val="0"/>
        <w:keepLines w:val="0"/>
        <w:widowControl/>
        <w:suppressLineNumbers w:val="0"/>
        <w:spacing w:before="0" w:beforeAutospacing="0" w:after="0" w:afterAutospacing="0" w:line="600" w:lineRule="atLeast"/>
        <w:ind w:left="64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7、承办县委、县政府和省、州统计局交办的其他事项。</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（二）机构设置情况</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根据上述职责，盈江县统计局设</w:t>
      </w:r>
      <w:r>
        <w:rPr>
          <w:rFonts w:hint="eastAsia" w:ascii="宋体" w:hAnsi="宋体" w:eastAsia="宋体" w:cs="宋体"/>
          <w:i w:val="0"/>
          <w:caps w:val="0"/>
          <w:color w:val="333333"/>
          <w:spacing w:val="0"/>
          <w:sz w:val="28"/>
          <w:szCs w:val="28"/>
        </w:rPr>
        <w:t>5个职能股室。</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1、办公室：协助局领导综合协调、管理局机关行政工作；负责政务信息的搜集，传递与反馈以及文秘工作；统一管理全局中央统计事业费及局机关行政经费、专项经费等各项经费，局固定资产；组织草拟局机关各项管理制度；负责全局文件及档案的管理工作；完成其他事务性的各项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2、综合核算股：负责组织实施全县国民经济核算工作，承担劳动工资、综合、社会、科技统计和人口抽样调查等工作。负责对全县经济社会、科技运行状态进行监测、分析和预测，提出综合性的宏观经济分析报告；管理并对外提供宏观统计数据；定期整理、编辑和提供综合性统计资料；组织指导全县人口与就业统计的基础工作、城镇劳动力就业调查统计等工作；负责全县人口与就业的统计分析、妇女儿童监测、高科技水平监测、社会综合评价调查、科技发展状况调查；负责部门统计数据的收集、整理和评估工作；负责云南省民族自治地方国民经济和社会发展综合情况调查，民族经济统计以及统计年鉴、领导干部经济手册的编印，省州县数据库搜集整理等工作；完成领导安排的其它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3、工交财贸股：认真组织完成好工业、批发零售贸易业、建筑业、固定资产投资、交通运输邮电业、原材料能源等专业的统计调查工作，并做好相关的数据评估和资料分析工作，努力提高统计服务质量；积极实施建筑业和能源统计改革；完善个体经济调查制度。管理宏观统计数据，定期整理、编辑、提供经济、社会、科技等综合性统计资料。</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4、统计法规股：负责统计法法律、法规及执法监督和宣传工作；承办统计违法案件的调查处理工作；负责全县统计系统职工教育、培训工作的组织实施；负责本局和各部门的统计调查方案的审查、批准工作及有关统计业务的协调工作。</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5、农村经济统计股：组织实施农村经济统计调查制度，准确、全面、及时地搜集整理和提供农业生产和农村社会经济统计数据，对有关数据进行质量检查、预测，分析农业生产、农村社会经济发展情况，提供分析资料为各级领导决策服务。</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（三）重点工作概述</w:t>
      </w:r>
    </w:p>
    <w:p>
      <w:pPr>
        <w:pStyle w:val="6"/>
        <w:keepNext w:val="0"/>
        <w:keepLines w:val="0"/>
        <w:widowControl/>
        <w:suppressLineNumbers w:val="0"/>
        <w:shd w:val="clear" w:fill="FFFFFF"/>
        <w:spacing w:before="0" w:beforeAutospacing="0" w:after="0" w:afterAutospacing="0" w:line="600" w:lineRule="atLeast"/>
        <w:ind w:left="105"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shd w:val="clear" w:fill="FFFFFF"/>
        </w:rPr>
        <w:t>1、在县委、县政府的坚强领导下，深入贯彻落实习近平新时代中国特色社会主义思想和党的十九大精神，坚决执行中央、省委、州委、县委决策部署，忠诚担当、激情工作。</w:t>
      </w:r>
    </w:p>
    <w:p>
      <w:pPr>
        <w:pStyle w:val="6"/>
        <w:keepNext w:val="0"/>
        <w:keepLines w:val="0"/>
        <w:widowControl/>
        <w:suppressLineNumbers w:val="0"/>
        <w:shd w:val="clear" w:fill="FFFFFF"/>
        <w:spacing w:before="0" w:beforeAutospacing="0" w:after="0" w:afterAutospacing="0" w:line="600" w:lineRule="atLeast"/>
        <w:ind w:left="105"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shd w:val="clear" w:fill="FFFFFF"/>
        </w:rPr>
        <w:t>2、加强对新修订的《统计法》的宣传和贯彻，力争发现一起，查处一起，以宣传辅执法，以执法促宣传，通过执法为统计工作营造良好的统计环境。</w:t>
      </w:r>
    </w:p>
    <w:p>
      <w:pPr>
        <w:pStyle w:val="6"/>
        <w:keepNext w:val="0"/>
        <w:keepLines w:val="0"/>
        <w:widowControl/>
        <w:suppressLineNumbers w:val="0"/>
        <w:shd w:val="clear" w:fill="FFFFFF"/>
        <w:spacing w:before="0" w:beforeAutospacing="0" w:after="0" w:afterAutospacing="0" w:line="600" w:lineRule="atLeast"/>
        <w:ind w:left="105"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shd w:val="clear" w:fill="FFFFFF"/>
        </w:rPr>
        <w:t>3、做好各项常规统计工作，努力提高统计服务水平。继续围绕县委、县政府的中心工作，把握需求导向，提高统计信息的时效性和准确性，向全社会开展统计咨询、分析服务工作，努力当好领导决策的参谋和助手。</w:t>
      </w:r>
    </w:p>
    <w:p>
      <w:pPr>
        <w:pStyle w:val="6"/>
        <w:keepNext w:val="0"/>
        <w:keepLines w:val="0"/>
        <w:widowControl/>
        <w:suppressLineNumbers w:val="0"/>
        <w:shd w:val="clear" w:fill="FFFFFF"/>
        <w:spacing w:before="0" w:beforeAutospacing="0" w:after="0" w:afterAutospacing="0" w:line="600" w:lineRule="atLeast"/>
        <w:ind w:left="105"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shd w:val="clear" w:fill="FFFFFF"/>
        </w:rPr>
        <w:t>4、做好第三次全国农业普查后期的资料开发、数据收集工作。</w:t>
      </w:r>
    </w:p>
    <w:p>
      <w:pPr>
        <w:pStyle w:val="6"/>
        <w:keepNext w:val="0"/>
        <w:keepLines w:val="0"/>
        <w:widowControl/>
        <w:suppressLineNumbers w:val="0"/>
        <w:shd w:val="clear" w:fill="FFFFFF"/>
        <w:spacing w:before="0" w:beforeAutospacing="0" w:after="0" w:afterAutospacing="0" w:line="600" w:lineRule="atLeast"/>
        <w:ind w:left="105"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shd w:val="clear" w:fill="FFFFFF"/>
        </w:rPr>
        <w:t>5、组织实施好第四次全国经济普查工作。</w:t>
      </w:r>
    </w:p>
    <w:p>
      <w:pPr>
        <w:pStyle w:val="6"/>
        <w:keepNext w:val="0"/>
        <w:keepLines w:val="0"/>
        <w:widowControl/>
        <w:suppressLineNumbers w:val="0"/>
        <w:shd w:val="clear" w:fill="FFFFFF"/>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shd w:val="clear" w:fill="FFFFFF"/>
        </w:rPr>
        <w:t>6、组织实施好1%人口变动调查工作。</w:t>
      </w:r>
    </w:p>
    <w:p>
      <w:pPr>
        <w:pStyle w:val="6"/>
        <w:keepNext w:val="0"/>
        <w:keepLines w:val="0"/>
        <w:widowControl/>
        <w:suppressLineNumbers w:val="0"/>
        <w:spacing w:before="0" w:beforeAutospacing="0" w:after="0" w:afterAutospacing="0" w:line="52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7、加强机关效能建设。进一步落实局机关各项管理制度，加强检查督促，抓好各项工作落实，加强职工作风建设，不断提高工作效率。</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二、预算单位基本情况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我部门编制</w:t>
      </w:r>
      <w:r>
        <w:rPr>
          <w:rFonts w:hint="eastAsia" w:ascii="宋体" w:hAnsi="宋体" w:eastAsia="宋体" w:cs="宋体"/>
          <w:i w:val="0"/>
          <w:caps w:val="0"/>
          <w:color w:val="333333"/>
          <w:spacing w:val="0"/>
          <w:sz w:val="28"/>
          <w:szCs w:val="28"/>
        </w:rPr>
        <w:t>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在职人员编制</w:t>
      </w:r>
      <w:r>
        <w:rPr>
          <w:rFonts w:hint="eastAsia" w:ascii="宋体" w:hAnsi="宋体" w:eastAsia="宋体" w:cs="宋体"/>
          <w:i w:val="0"/>
          <w:caps w:val="0"/>
          <w:color w:val="333333"/>
          <w:spacing w:val="0"/>
          <w:sz w:val="28"/>
          <w:szCs w:val="28"/>
        </w:rPr>
        <w:t>23人，其中：行政编制 16人</w:t>
      </w:r>
      <w:r>
        <w:rPr>
          <w:rFonts w:hint="eastAsia" w:ascii="宋体" w:hAnsi="宋体" w:eastAsia="宋体" w:cs="宋体"/>
          <w:i w:val="0"/>
          <w:caps w:val="0"/>
          <w:color w:val="333333"/>
          <w:spacing w:val="0"/>
          <w:sz w:val="24"/>
          <w:szCs w:val="24"/>
        </w:rPr>
        <w:t>（其中：工勤编制</w:t>
      </w:r>
      <w:r>
        <w:rPr>
          <w:rFonts w:hint="eastAsia" w:ascii="宋体" w:hAnsi="宋体" w:eastAsia="宋体" w:cs="宋体"/>
          <w:i w:val="0"/>
          <w:caps w:val="0"/>
          <w:color w:val="333333"/>
          <w:spacing w:val="0"/>
          <w:sz w:val="28"/>
          <w:szCs w:val="28"/>
        </w:rPr>
        <w:t>2人）</w:t>
      </w:r>
      <w:r>
        <w:rPr>
          <w:rFonts w:hint="eastAsia" w:ascii="宋体" w:hAnsi="宋体" w:eastAsia="宋体" w:cs="宋体"/>
          <w:i w:val="0"/>
          <w:caps w:val="0"/>
          <w:color w:val="333333"/>
          <w:spacing w:val="0"/>
          <w:sz w:val="24"/>
          <w:szCs w:val="24"/>
        </w:rPr>
        <w:t>，事业编制</w:t>
      </w:r>
      <w:r>
        <w:rPr>
          <w:rFonts w:hint="eastAsia" w:ascii="宋体" w:hAnsi="宋体" w:eastAsia="宋体" w:cs="宋体"/>
          <w:i w:val="0"/>
          <w:caps w:val="0"/>
          <w:color w:val="333333"/>
          <w:spacing w:val="0"/>
          <w:sz w:val="28"/>
          <w:szCs w:val="28"/>
        </w:rPr>
        <w:t>7人</w:t>
      </w:r>
      <w:r>
        <w:rPr>
          <w:rFonts w:hint="eastAsia" w:ascii="宋体" w:hAnsi="宋体" w:eastAsia="宋体" w:cs="宋体"/>
          <w:i w:val="0"/>
          <w:caps w:val="0"/>
          <w:color w:val="333333"/>
          <w:spacing w:val="0"/>
          <w:sz w:val="24"/>
          <w:szCs w:val="24"/>
        </w:rPr>
        <w:t>（其中：事业参公编制</w:t>
      </w:r>
      <w:r>
        <w:rPr>
          <w:rFonts w:hint="eastAsia" w:ascii="宋体" w:hAnsi="宋体" w:eastAsia="宋体" w:cs="宋体"/>
          <w:i w:val="0"/>
          <w:caps w:val="0"/>
          <w:color w:val="333333"/>
          <w:spacing w:val="0"/>
          <w:sz w:val="28"/>
          <w:szCs w:val="28"/>
        </w:rPr>
        <w:t>2人）</w:t>
      </w:r>
      <w:r>
        <w:rPr>
          <w:rFonts w:hint="eastAsia" w:ascii="宋体" w:hAnsi="宋体" w:eastAsia="宋体" w:cs="宋体"/>
          <w:i w:val="0"/>
          <w:caps w:val="0"/>
          <w:color w:val="333333"/>
          <w:spacing w:val="0"/>
          <w:sz w:val="24"/>
          <w:szCs w:val="24"/>
        </w:rPr>
        <w:t>。在职实有</w:t>
      </w:r>
      <w:r>
        <w:rPr>
          <w:rFonts w:hint="eastAsia" w:ascii="宋体" w:hAnsi="宋体" w:eastAsia="宋体" w:cs="宋体"/>
          <w:i w:val="0"/>
          <w:caps w:val="0"/>
          <w:color w:val="333333"/>
          <w:spacing w:val="0"/>
          <w:sz w:val="28"/>
          <w:szCs w:val="28"/>
        </w:rPr>
        <w:t>25人，其中： 财政全供养 25人，财政部分供养25人，非财政供养0人。</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离退休人员</w:t>
      </w:r>
      <w:r>
        <w:rPr>
          <w:rFonts w:hint="eastAsia" w:ascii="宋体" w:hAnsi="宋体" w:eastAsia="宋体" w:cs="宋体"/>
          <w:i w:val="0"/>
          <w:caps w:val="0"/>
          <w:color w:val="333333"/>
          <w:spacing w:val="0"/>
          <w:sz w:val="28"/>
          <w:szCs w:val="28"/>
        </w:rPr>
        <w:t> 12人，其中： 离休 0人，退休 12人。</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车辆编制</w:t>
      </w:r>
      <w:r>
        <w:rPr>
          <w:rFonts w:hint="eastAsia" w:ascii="宋体" w:hAnsi="宋体" w:eastAsia="宋体" w:cs="宋体"/>
          <w:i w:val="0"/>
          <w:caps w:val="0"/>
          <w:color w:val="333333"/>
          <w:spacing w:val="0"/>
          <w:sz w:val="28"/>
          <w:szCs w:val="28"/>
        </w:rPr>
        <w:t>1辆，实有车辆1辆。</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三、预算单位收入情况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（一）部门财务收入情况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2019年部门财务总收入 538.31万元，其中：一般公共预算</w:t>
      </w:r>
      <w:r>
        <w:rPr>
          <w:rFonts w:hint="eastAsia" w:ascii="宋体" w:hAnsi="宋体" w:eastAsia="宋体" w:cs="宋体"/>
          <w:i w:val="0"/>
          <w:caps w:val="0"/>
          <w:color w:val="333333"/>
          <w:spacing w:val="0"/>
          <w:sz w:val="24"/>
          <w:szCs w:val="24"/>
        </w:rPr>
        <w:t>财政拨款</w:t>
      </w:r>
      <w:r>
        <w:rPr>
          <w:rFonts w:hint="eastAsia" w:ascii="宋体" w:hAnsi="宋体" w:eastAsia="宋体" w:cs="宋体"/>
          <w:i w:val="0"/>
          <w:caps w:val="0"/>
          <w:color w:val="333333"/>
          <w:spacing w:val="0"/>
          <w:sz w:val="28"/>
          <w:szCs w:val="28"/>
        </w:rPr>
        <w:t>538.31万元，政府性基金</w:t>
      </w:r>
      <w:r>
        <w:rPr>
          <w:rFonts w:hint="eastAsia" w:ascii="宋体" w:hAnsi="宋体" w:eastAsia="宋体" w:cs="宋体"/>
          <w:i w:val="0"/>
          <w:caps w:val="0"/>
          <w:color w:val="333333"/>
          <w:spacing w:val="0"/>
          <w:sz w:val="24"/>
          <w:szCs w:val="24"/>
        </w:rPr>
        <w:t>预算财政拨款</w:t>
      </w:r>
      <w:r>
        <w:rPr>
          <w:rFonts w:hint="eastAsia" w:ascii="宋体" w:hAnsi="宋体" w:eastAsia="宋体" w:cs="宋体"/>
          <w:i w:val="0"/>
          <w:caps w:val="0"/>
          <w:color w:val="333333"/>
          <w:spacing w:val="0"/>
          <w:sz w:val="28"/>
          <w:szCs w:val="28"/>
        </w:rPr>
        <w:t>0万元，国有资本经营</w:t>
      </w:r>
      <w:r>
        <w:rPr>
          <w:rFonts w:hint="eastAsia" w:ascii="宋体" w:hAnsi="宋体" w:eastAsia="宋体" w:cs="宋体"/>
          <w:i w:val="0"/>
          <w:caps w:val="0"/>
          <w:color w:val="333333"/>
          <w:spacing w:val="0"/>
          <w:sz w:val="24"/>
          <w:szCs w:val="24"/>
        </w:rPr>
        <w:t>预算财政拨款</w:t>
      </w:r>
      <w:r>
        <w:rPr>
          <w:rFonts w:hint="eastAsia" w:ascii="宋体" w:hAnsi="宋体" w:eastAsia="宋体" w:cs="宋体"/>
          <w:i w:val="0"/>
          <w:caps w:val="0"/>
          <w:color w:val="333333"/>
          <w:spacing w:val="0"/>
          <w:sz w:val="28"/>
          <w:szCs w:val="28"/>
        </w:rPr>
        <w:t>0万元，事业收入0万元，事业单位经营收入0万元，其他收入0万元</w:t>
      </w:r>
      <w:r>
        <w:rPr>
          <w:rFonts w:hint="eastAsia" w:ascii="宋体" w:hAnsi="宋体" w:eastAsia="宋体" w:cs="宋体"/>
          <w:i w:val="0"/>
          <w:caps w:val="0"/>
          <w:color w:val="333333"/>
          <w:spacing w:val="0"/>
          <w:sz w:val="24"/>
          <w:szCs w:val="24"/>
        </w:rPr>
        <w:t>，上年结转</w:t>
      </w:r>
      <w:r>
        <w:rPr>
          <w:rFonts w:hint="eastAsia" w:ascii="宋体" w:hAnsi="宋体" w:eastAsia="宋体" w:cs="宋体"/>
          <w:i w:val="0"/>
          <w:caps w:val="0"/>
          <w:color w:val="333333"/>
          <w:spacing w:val="0"/>
          <w:sz w:val="28"/>
          <w:szCs w:val="28"/>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（二）财政拨款收入情况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2019年部门财政拨款收入 538.31万元，其中:本年收入538.31万元，上年结转0万元。本年收入中，一般公共预算财政拨款538.31万元（本级财力538.31万元，专项收入0万元，执法办案补助0万元，收费成本补偿0万元，财政专户管理的收入0万元，国有资源（资产）有偿使用</w:t>
      </w:r>
      <w:r>
        <w:rPr>
          <w:rFonts w:hint="eastAsia" w:ascii="宋体" w:hAnsi="宋体" w:eastAsia="宋体" w:cs="宋体"/>
          <w:i w:val="0"/>
          <w:caps w:val="0"/>
          <w:color w:val="333333"/>
          <w:spacing w:val="0"/>
          <w:sz w:val="24"/>
          <w:szCs w:val="24"/>
        </w:rPr>
        <w:t>成本补偿</w:t>
      </w:r>
      <w:r>
        <w:rPr>
          <w:rFonts w:hint="eastAsia" w:ascii="宋体" w:hAnsi="宋体" w:eastAsia="宋体" w:cs="宋体"/>
          <w:i w:val="0"/>
          <w:caps w:val="0"/>
          <w:color w:val="333333"/>
          <w:spacing w:val="0"/>
          <w:sz w:val="28"/>
          <w:szCs w:val="28"/>
        </w:rPr>
        <w:t>0万元），政府性基金</w:t>
      </w:r>
      <w:r>
        <w:rPr>
          <w:rFonts w:hint="eastAsia" w:ascii="宋体" w:hAnsi="宋体" w:eastAsia="宋体" w:cs="宋体"/>
          <w:i w:val="0"/>
          <w:caps w:val="0"/>
          <w:color w:val="333333"/>
          <w:spacing w:val="0"/>
          <w:sz w:val="24"/>
          <w:szCs w:val="24"/>
        </w:rPr>
        <w:t>预算财政拨款</w:t>
      </w:r>
      <w:r>
        <w:rPr>
          <w:rFonts w:hint="eastAsia" w:ascii="宋体" w:hAnsi="宋体" w:eastAsia="宋体" w:cs="宋体"/>
          <w:i w:val="0"/>
          <w:caps w:val="0"/>
          <w:color w:val="333333"/>
          <w:spacing w:val="0"/>
          <w:sz w:val="28"/>
          <w:szCs w:val="28"/>
        </w:rPr>
        <w:t>0万元，国有资本经营</w:t>
      </w:r>
      <w:r>
        <w:rPr>
          <w:rFonts w:hint="eastAsia" w:ascii="宋体" w:hAnsi="宋体" w:eastAsia="宋体" w:cs="宋体"/>
          <w:i w:val="0"/>
          <w:caps w:val="0"/>
          <w:color w:val="333333"/>
          <w:spacing w:val="0"/>
          <w:sz w:val="24"/>
          <w:szCs w:val="24"/>
        </w:rPr>
        <w:t>预算财政拨款</w:t>
      </w:r>
      <w:r>
        <w:rPr>
          <w:rFonts w:hint="eastAsia" w:ascii="宋体" w:hAnsi="宋体" w:eastAsia="宋体" w:cs="宋体"/>
          <w:i w:val="0"/>
          <w:caps w:val="0"/>
          <w:color w:val="333333"/>
          <w:spacing w:val="0"/>
          <w:sz w:val="28"/>
          <w:szCs w:val="28"/>
        </w:rPr>
        <w:t>0万元。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四、</w:t>
      </w:r>
      <w:r>
        <w:rPr>
          <w:rFonts w:hint="eastAsia" w:ascii="宋体" w:hAnsi="宋体" w:eastAsia="宋体" w:cs="宋体"/>
          <w:i w:val="0"/>
          <w:caps w:val="0"/>
          <w:color w:val="333333"/>
          <w:spacing w:val="0"/>
          <w:sz w:val="24"/>
          <w:szCs w:val="24"/>
        </w:rPr>
        <w:t>预算单位支出情况</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2019年部门预算总支出 538.31万元。财政拨款安排支出 538.31万元，其中，基本支出366.32万元，项目支出171.99万元。</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（一）财政拨款安排支出按功能科目分类情况</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2010501行政运行296.29万元，主要用于在职职工全年工资福利支出及机构正常运转经费。</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2010505 专项统计业务22万元，主要用于2019年统计局三项调查工作经费。</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2010507 专项普查活动119.99万元，主要用于第四次全国经济普查活动经费和统计工作专项经费。</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2010599 其他统计信息事务支出30万元，主要用于粮食产量大县工作经费。</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2080501归口管理的行政单位离退休0.72万元，主要用于退休职工体检费。</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2080505 机关事业单位基本养老保险缴费支出38.18万元，主要用于基本养老保险缴费。</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2210201住房公积金31.13万元，主要用于住房公积金。</w:t>
      </w:r>
      <w:r>
        <w:rPr>
          <w:rFonts w:hint="default" w:ascii="font-size:10.5pt;font-style:nor" w:hAnsi="font-size:10.5pt;font-style:nor" w:eastAsia="font-size:10.5pt;font-style:nor" w:cs="font-size:10.5pt;font-style:nor"/>
          <w:b w:val="0"/>
          <w:i w:val="0"/>
          <w:caps w:val="0"/>
          <w:color w:val="000000"/>
          <w:spacing w:val="0"/>
          <w:sz w:val="24"/>
          <w:szCs w:val="24"/>
        </w:rPr>
        <w:t>                                                                         （二）</w:t>
      </w:r>
      <w:r>
        <w:rPr>
          <w:rFonts w:hint="eastAsia" w:ascii="宋体" w:hAnsi="宋体" w:eastAsia="宋体" w:cs="宋体"/>
          <w:b w:val="0"/>
          <w:i w:val="0"/>
          <w:caps w:val="0"/>
          <w:color w:val="000000"/>
          <w:spacing w:val="0"/>
          <w:sz w:val="24"/>
          <w:szCs w:val="24"/>
        </w:rPr>
        <w:t>财政拨款安排支出按经济科目分类情况</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7208" w:right="0" w:hanging="360"/>
        <w:rPr>
          <w:rFonts w:hint="eastAsia" w:ascii="宋体" w:hAnsi="宋体" w:eastAsia="宋体" w:cs="宋体"/>
          <w:b w:val="0"/>
          <w:i w:val="0"/>
          <w:color w:val="000000"/>
          <w:sz w:val="28"/>
          <w:szCs w:val="28"/>
        </w:rPr>
      </w:pP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648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按部门预算支出经济分类</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648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2010501 行政运行296.29万元其中：基本支出296.29万元，主要用于301工资福利支出283.79万元，302商品和服务支出12.5万元,项目支出0万元。</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648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2010505 专项统计业务22万元其中：基本支出0万元，项目支出22万元，主要用于302商品和服务支出22万元。</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648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2010507 专项普查活动119.99万元其中：基本支出0万元，项目支出119.99万元，主要用于302商品和服务支出111.99万元,310资本性支出8万元。</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648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2010599 其他统计信息事务支出30万元其中：基本支出0万元，项目支出30万元，主要用于302商品和服务支出30万元。</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648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2080501归口管理的行政单位离退休0.72万元其中：基本支出0.72万元，主要用于302商品和服务支出0.72万元，项目支出0万元。</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648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2080505 机关事业单位基本养老保险缴费支出38.18万元其中：基本支出38.18万元，主要用于301工资福利支出中的单位基本养老保险缴费支出38.18万元，项目支出0万元。</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6488"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2210201 住房公积金31.13万元其中：基本支出31.13万元，主要用于301工资福利支出中的住房公积金31.13万元，项目支出0万元。</w:t>
      </w:r>
      <w:r>
        <w:rPr>
          <w:rFonts w:hint="default" w:ascii="font-size:10.5pt;font-style:nor" w:hAnsi="font-size:10.5pt;font-style:nor" w:eastAsia="font-size:10.5pt;font-style:nor" w:cs="font-size:10.5pt;font-style:nor"/>
          <w:b w:val="0"/>
          <w:i w:val="0"/>
          <w:caps w:val="0"/>
          <w:color w:val="000000"/>
          <w:spacing w:val="0"/>
          <w:sz w:val="24"/>
          <w:szCs w:val="24"/>
        </w:rPr>
        <w:t>                                                                                                                            五、</w:t>
      </w:r>
      <w:r>
        <w:rPr>
          <w:rFonts w:hint="eastAsia" w:ascii="宋体" w:hAnsi="宋体" w:eastAsia="宋体" w:cs="宋体"/>
          <w:b w:val="0"/>
          <w:i w:val="0"/>
          <w:caps w:val="0"/>
          <w:color w:val="000000"/>
          <w:spacing w:val="0"/>
          <w:sz w:val="24"/>
          <w:szCs w:val="24"/>
        </w:rPr>
        <w:t>县对下专项转移支付情况</w:t>
      </w:r>
      <w:r>
        <w:rPr>
          <w:rFonts w:hint="default" w:ascii="font-size:10.5pt;font-style:nor" w:hAnsi="font-size:10.5pt;font-style:nor" w:eastAsia="font-size:10.5pt;font-style:nor" w:cs="font-size:10.5pt;font-style:nor"/>
          <w:b w:val="0"/>
          <w:i w:val="0"/>
          <w:caps w:val="0"/>
          <w:color w:val="000000"/>
          <w:spacing w:val="0"/>
          <w:sz w:val="24"/>
          <w:szCs w:val="24"/>
        </w:rPr>
        <w:t>                                                                                                                             </w:t>
      </w:r>
      <w:r>
        <w:rPr>
          <w:rFonts w:hint="eastAsia" w:ascii="宋体" w:hAnsi="宋体" w:eastAsia="宋体" w:cs="宋体"/>
          <w:b w:val="0"/>
          <w:i w:val="0"/>
          <w:caps w:val="0"/>
          <w:color w:val="000000"/>
          <w:spacing w:val="0"/>
          <w:sz w:val="24"/>
          <w:szCs w:val="24"/>
        </w:rPr>
        <w:t>本单位2019年无县对下专项转移支付项目</w:t>
      </w:r>
      <w:r>
        <w:rPr>
          <w:rFonts w:hint="default" w:ascii="font-size:10.5pt;font-style:nor" w:hAnsi="font-size:10.5pt;font-style:nor" w:eastAsia="font-size:10.5pt;font-style:nor" w:cs="font-size:10.5pt;font-style:nor"/>
          <w:b w:val="0"/>
          <w:i w:val="0"/>
          <w:caps w:val="0"/>
          <w:color w:val="000000"/>
          <w:spacing w:val="0"/>
          <w:sz w:val="24"/>
          <w:szCs w:val="24"/>
        </w:rPr>
        <w:t>                                                                                                     </w:t>
      </w:r>
      <w:r>
        <w:rPr>
          <w:rFonts w:hint="eastAsia" w:ascii="宋体" w:hAnsi="宋体" w:eastAsia="宋体" w:cs="宋体"/>
          <w:b w:val="0"/>
          <w:i w:val="0"/>
          <w:caps w:val="0"/>
          <w:color w:val="000000"/>
          <w:spacing w:val="0"/>
          <w:sz w:val="24"/>
          <w:szCs w:val="24"/>
        </w:rPr>
        <w:t>六、政府采购预算情况</w:t>
      </w:r>
      <w:r>
        <w:rPr>
          <w:rFonts w:hint="default" w:ascii="font-size:10.5pt;font-style:nor" w:hAnsi="font-size:10.5pt;font-style:nor" w:eastAsia="font-size:10.5pt;font-style:nor" w:cs="font-size:10.5pt;font-style:nor"/>
          <w:b w:val="0"/>
          <w:i w:val="0"/>
          <w:caps w:val="0"/>
          <w:color w:val="000000"/>
          <w:spacing w:val="0"/>
          <w:sz w:val="24"/>
          <w:szCs w:val="24"/>
        </w:rPr>
        <w:t>                                                                                                                                           </w:t>
      </w:r>
      <w:r>
        <w:rPr>
          <w:rFonts w:hint="eastAsia" w:ascii="宋体" w:hAnsi="宋体" w:eastAsia="宋体" w:cs="宋体"/>
          <w:b w:val="0"/>
          <w:i w:val="0"/>
          <w:caps w:val="0"/>
          <w:color w:val="000000"/>
          <w:spacing w:val="0"/>
          <w:sz w:val="24"/>
          <w:szCs w:val="24"/>
        </w:rPr>
        <w:t>根据《中华人民共和国政府采购法》的有关规定，编制了政府采购预算，共涉及采购项目1个，采购预算资金8万元。</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6488" w:right="0" w:hanging="360"/>
        <w:rPr>
          <w:rFonts w:hint="eastAsia" w:ascii="宋体" w:hAnsi="宋体" w:eastAsia="宋体" w:cs="宋体"/>
          <w:b w:val="0"/>
          <w:i w:val="0"/>
          <w:color w:val="000000"/>
          <w:sz w:val="28"/>
          <w:szCs w:val="28"/>
        </w:rPr>
      </w:pP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2160"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七、预算收支增减变化情况说明</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2160"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720" w:right="0" w:firstLine="420"/>
        <w:jc w:val="left"/>
        <w:rPr>
          <w:rFonts w:hint="default" w:ascii="font-size:10.5pt;font-style:nor" w:hAnsi="font-size:10.5pt;font-style:nor" w:eastAsia="font-size:10.5pt;font-style:nor" w:cs="font-size:10.5pt;font-style:nor"/>
          <w:color w:val="000000"/>
          <w:sz w:val="24"/>
          <w:szCs w:val="24"/>
        </w:rPr>
      </w:pPr>
      <w:r>
        <w:rPr>
          <w:rFonts w:hint="eastAsia" w:ascii="宋体" w:hAnsi="宋体" w:eastAsia="宋体" w:cs="宋体"/>
          <w:b w:val="0"/>
          <w:i w:val="0"/>
          <w:caps w:val="0"/>
          <w:color w:val="000000"/>
          <w:spacing w:val="0"/>
          <w:sz w:val="24"/>
          <w:szCs w:val="24"/>
        </w:rPr>
        <w:t>（一）部门“三公”经费增减变化情况及原因说明</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2160" w:right="0" w:hanging="360"/>
        <w:rPr>
          <w:rFonts w:hint="eastAsia" w:ascii="宋体" w:hAnsi="宋体" w:eastAsia="宋体" w:cs="宋体"/>
          <w:b w:val="0"/>
          <w:i w:val="0"/>
          <w:color w:val="000000"/>
          <w:sz w:val="28"/>
          <w:szCs w:val="28"/>
        </w:rPr>
      </w:pP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2019年盈江县统计局“三公”经费预算数为8.5万元，其中：因公出国（境）费用0万元、公务接待费3万元、公务用车购置及运行费5.5万元,其中:公务用车购置费0万元、公务用车运行费3万元。与上年三公”经费预算数8.5万元相比持平。其中:因公出国（境）费用0万元与上年预算数0万元持平，公务接待费3万元与上年预算数3万元持平，公务用车购置及运行费5.5万元;其中:公务用车购置费0万元、公务用车运行费5.5万元与上年预算数5.5万元持平。</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（二）预算收入增减变化情况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2019年部门预算收入538.31万元，比上年预算数404.23万元增134.08万元，增33.17%。增加原因：调增人员工资。</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（三）部门基本支出预算变动的主要原因，对本年与上年同口径数据比对情况分析</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2019 年盈江县统计局基本支出366.32万元与上年同期数282.23万元相比，增加84.09万元增幅为29.79%，主要是在职职工调增基本工资标准和津贴补贴。</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（四）部门项目支出预算变动的主要原因，对本年与上年同口径数据比对情况分析</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2019 年盈江县统计局项目支出171.99万元与上年同期数122万元相比，增加49.99万元增幅为40.98%，主要是新增统计工作专项经费20万元和粮食产量大县工作经费30万元。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八、其他公开信息</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（一）专业名词解释</w:t>
      </w:r>
    </w:p>
    <w:p>
      <w:pPr>
        <w:pStyle w:val="6"/>
        <w:keepNext w:val="0"/>
        <w:keepLines w:val="0"/>
        <w:widowControl/>
        <w:suppressLineNumbers w:val="0"/>
        <w:spacing w:before="0" w:beforeAutospacing="0" w:after="0" w:afterAutospacing="0" w:line="56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1.财政拨款（补助）收入指财政部门当年拨付的资金。</w:t>
      </w:r>
    </w:p>
    <w:p>
      <w:pPr>
        <w:pStyle w:val="6"/>
        <w:keepNext w:val="0"/>
        <w:keepLines w:val="0"/>
        <w:widowControl/>
        <w:suppressLineNumbers w:val="0"/>
        <w:spacing w:before="0" w:beforeAutospacing="0" w:after="0" w:afterAutospacing="0" w:line="56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2.事业收入指事业单位开展业务活动取得的收入。</w:t>
      </w:r>
    </w:p>
    <w:p>
      <w:pPr>
        <w:pStyle w:val="6"/>
        <w:keepNext w:val="0"/>
        <w:keepLines w:val="0"/>
        <w:widowControl/>
        <w:suppressLineNumbers w:val="0"/>
        <w:spacing w:before="0" w:beforeAutospacing="0" w:after="0" w:afterAutospacing="0" w:line="56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3.事业单位经营收入指事业单位在业务活动之外开展非独立核算经营活动取得的收入。</w:t>
      </w:r>
    </w:p>
    <w:p>
      <w:pPr>
        <w:pStyle w:val="6"/>
        <w:keepNext w:val="0"/>
        <w:keepLines w:val="0"/>
        <w:widowControl/>
        <w:suppressLineNumbers w:val="0"/>
        <w:spacing w:before="0" w:beforeAutospacing="0" w:after="0" w:afterAutospacing="0" w:line="56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4.其他收入指预算单位在“财政拨款收入”、“事业收入”、“经营收入”之外取得的收入。</w:t>
      </w:r>
    </w:p>
    <w:p>
      <w:pPr>
        <w:pStyle w:val="6"/>
        <w:keepNext w:val="0"/>
        <w:keepLines w:val="0"/>
        <w:widowControl/>
        <w:suppressLineNumbers w:val="0"/>
        <w:spacing w:before="0" w:beforeAutospacing="0" w:after="0" w:afterAutospacing="0" w:line="56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5.基本支出指为保障机构正常运转、完成日常工作任务而发生的人员支出和公用支出。</w:t>
      </w:r>
    </w:p>
    <w:p>
      <w:pPr>
        <w:pStyle w:val="6"/>
        <w:keepNext w:val="0"/>
        <w:keepLines w:val="0"/>
        <w:widowControl/>
        <w:suppressLineNumbers w:val="0"/>
        <w:spacing w:before="0" w:beforeAutospacing="0" w:after="0" w:afterAutospacing="0" w:line="56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6.项目支出指在基本支出之外为完成相关行政任务和事业发展目标所发生的支出。</w:t>
      </w:r>
    </w:p>
    <w:p>
      <w:pPr>
        <w:pStyle w:val="6"/>
        <w:keepNext w:val="0"/>
        <w:keepLines w:val="0"/>
        <w:widowControl/>
        <w:suppressLineNumbers w:val="0"/>
        <w:spacing w:before="0" w:beforeAutospacing="0" w:after="0" w:afterAutospacing="0" w:line="56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pStyle w:val="6"/>
        <w:keepNext w:val="0"/>
        <w:keepLines w:val="0"/>
        <w:widowControl/>
        <w:suppressLineNumbers w:val="0"/>
        <w:spacing w:before="0" w:beforeAutospacing="0" w:after="0" w:afterAutospacing="0" w:line="56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pStyle w:val="6"/>
        <w:keepNext w:val="0"/>
        <w:keepLines w:val="0"/>
        <w:widowControl/>
        <w:suppressLineNumbers w:val="0"/>
        <w:spacing w:before="0" w:beforeAutospacing="0" w:after="0" w:afterAutospacing="0" w:line="56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9.一般公共预算是对以税收为主体的财政收入，安排用于保障和改善民生、推动经济社会发展、维护国家安全、维护国家机构正常运转等方面的收支预算。</w:t>
      </w:r>
    </w:p>
    <w:p>
      <w:pPr>
        <w:pStyle w:val="6"/>
        <w:keepNext w:val="0"/>
        <w:keepLines w:val="0"/>
        <w:widowControl/>
        <w:suppressLineNumbers w:val="0"/>
        <w:spacing w:before="0" w:beforeAutospacing="0" w:after="0" w:afterAutospacing="0" w:line="56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10.非税收入是各级政府及其所属部门和单位依法利用行政权力、政府信誉、国家资源、国有资产或提供特定公共服务征收、收取、提取、募集的除税收和政府债务收入以外的财政收入。</w:t>
      </w:r>
    </w:p>
    <w:p>
      <w:pPr>
        <w:pStyle w:val="6"/>
        <w:keepNext w:val="0"/>
        <w:keepLines w:val="0"/>
        <w:widowControl/>
        <w:suppressLineNumbers w:val="0"/>
        <w:spacing w:before="0" w:beforeAutospacing="0" w:after="0" w:afterAutospacing="0" w:line="56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11.工资福利支出反映单位开支的在职职工和编制外长期聘用人员的各类劳动报酬，以及为上述人员缴纳的各项社会保险费等。</w:t>
      </w:r>
    </w:p>
    <w:p>
      <w:pPr>
        <w:pStyle w:val="6"/>
        <w:keepNext w:val="0"/>
        <w:keepLines w:val="0"/>
        <w:widowControl/>
        <w:suppressLineNumbers w:val="0"/>
        <w:spacing w:before="0" w:beforeAutospacing="0" w:after="0" w:afterAutospacing="0" w:line="56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12.商品和服务支出反映单位购买商品和服务的支出（不包括用于购置固定资产的支出、战略性和应急储备支出）。</w:t>
      </w:r>
    </w:p>
    <w:p>
      <w:pPr>
        <w:pStyle w:val="6"/>
        <w:keepNext w:val="0"/>
        <w:keepLines w:val="0"/>
        <w:widowControl/>
        <w:suppressLineNumbers w:val="0"/>
        <w:spacing w:before="0" w:beforeAutospacing="0" w:after="0" w:afterAutospacing="0" w:line="56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13.对个人和家庭的补助反映政府用于对个人和家庭的补助支出。</w:t>
      </w:r>
    </w:p>
    <w:p>
      <w:pPr>
        <w:pStyle w:val="6"/>
        <w:keepNext w:val="0"/>
        <w:keepLines w:val="0"/>
        <w:widowControl/>
        <w:suppressLineNumbers w:val="0"/>
        <w:spacing w:before="0" w:beforeAutospacing="0" w:after="0" w:afterAutospacing="0" w:line="56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14.政府采购是指各级国家机关、事业单位和团体组织，使用财政性资金采购依法制定的集中采购目录以内的或者采购限额标准以上的货物、工程和服务的行为。</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（二）机关运行经费安排</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机关运行经费2019年共安排</w:t>
      </w:r>
      <w:r>
        <w:rPr>
          <w:rFonts w:hint="eastAsia" w:ascii="宋体" w:hAnsi="宋体" w:eastAsia="宋体" w:cs="宋体"/>
          <w:i w:val="0"/>
          <w:caps w:val="0"/>
          <w:color w:val="333333"/>
          <w:spacing w:val="0"/>
          <w:sz w:val="28"/>
          <w:szCs w:val="28"/>
        </w:rPr>
        <w:t>13.22万元，与2018年同期数13.22万元相比持平。2019年机关运行经费主要用于办公费2.22万元、印刷费1万元、差旅费2万元、培训费4万元、公务接待费1万元、劳务费1万元、公务用车运行维护费2万元。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（三）</w:t>
      </w:r>
      <w:r>
        <w:rPr>
          <w:rFonts w:hint="eastAsia" w:ascii="宋体" w:hAnsi="宋体" w:eastAsia="宋体" w:cs="宋体"/>
          <w:i w:val="0"/>
          <w:caps w:val="0"/>
          <w:color w:val="333333"/>
          <w:spacing w:val="0"/>
          <w:sz w:val="24"/>
          <w:szCs w:val="24"/>
        </w:rPr>
        <w:t>国有资产占用情况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鉴于截至</w:t>
      </w:r>
      <w:r>
        <w:rPr>
          <w:rFonts w:hint="eastAsia" w:ascii="宋体" w:hAnsi="宋体" w:eastAsia="宋体" w:cs="宋体"/>
          <w:i w:val="0"/>
          <w:caps w:val="0"/>
          <w:color w:val="333333"/>
          <w:spacing w:val="0"/>
          <w:sz w:val="28"/>
          <w:szCs w:val="28"/>
        </w:rPr>
        <w:t>2019年12月31日的国有资产占有使用情况需在完成2019年决算编制后才能统计汇总相关数据，因此，将在公开2019年度部门决算时一并公开部门截至2019年12月31日的国有资产占有使用情况。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（四）</w:t>
      </w:r>
      <w:r>
        <w:rPr>
          <w:rFonts w:hint="eastAsia" w:ascii="宋体" w:hAnsi="宋体" w:eastAsia="宋体" w:cs="宋体"/>
          <w:i w:val="0"/>
          <w:caps w:val="0"/>
          <w:color w:val="333333"/>
          <w:spacing w:val="0"/>
          <w:sz w:val="24"/>
          <w:szCs w:val="24"/>
        </w:rPr>
        <w:t>本部门预算绩效情况说明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8"/>
          <w:szCs w:val="28"/>
        </w:rPr>
        <w:t> 2019年单位支出预算为538.31</w:t>
      </w:r>
      <w:r>
        <w:rPr>
          <w:rFonts w:hint="eastAsia" w:ascii="宋体" w:hAnsi="宋体" w:eastAsia="宋体" w:cs="宋体"/>
          <w:i w:val="0"/>
          <w:caps w:val="0"/>
          <w:color w:val="333333"/>
          <w:spacing w:val="0"/>
          <w:sz w:val="24"/>
          <w:szCs w:val="24"/>
        </w:rPr>
        <w:t>万元，其中：基本支出</w:t>
      </w:r>
      <w:r>
        <w:rPr>
          <w:rFonts w:hint="eastAsia" w:ascii="宋体" w:hAnsi="宋体" w:eastAsia="宋体" w:cs="宋体"/>
          <w:i w:val="0"/>
          <w:caps w:val="0"/>
          <w:color w:val="333333"/>
          <w:spacing w:val="0"/>
          <w:sz w:val="28"/>
          <w:szCs w:val="28"/>
        </w:rPr>
        <w:t>366.32</w:t>
      </w:r>
      <w:r>
        <w:rPr>
          <w:rFonts w:hint="eastAsia" w:ascii="宋体" w:hAnsi="宋体" w:eastAsia="宋体" w:cs="宋体"/>
          <w:i w:val="0"/>
          <w:caps w:val="0"/>
          <w:color w:val="333333"/>
          <w:spacing w:val="0"/>
          <w:sz w:val="24"/>
          <w:szCs w:val="24"/>
        </w:rPr>
        <w:t>万元，主要用于发放职工工资，归口管理的行政单位离退休、基本养老保险缴费，住房公积金，支付公用经费确保机构正常运转。项目支出</w:t>
      </w:r>
      <w:r>
        <w:rPr>
          <w:rFonts w:hint="eastAsia" w:ascii="宋体" w:hAnsi="宋体" w:eastAsia="宋体" w:cs="宋体"/>
          <w:i w:val="0"/>
          <w:caps w:val="0"/>
          <w:color w:val="333333"/>
          <w:spacing w:val="0"/>
          <w:sz w:val="28"/>
          <w:szCs w:val="28"/>
        </w:rPr>
        <w:t>171.99</w:t>
      </w:r>
      <w:r>
        <w:rPr>
          <w:rFonts w:hint="eastAsia" w:ascii="宋体" w:hAnsi="宋体" w:eastAsia="宋体" w:cs="宋体"/>
          <w:i w:val="0"/>
          <w:caps w:val="0"/>
          <w:color w:val="333333"/>
          <w:spacing w:val="0"/>
          <w:sz w:val="24"/>
          <w:szCs w:val="24"/>
        </w:rPr>
        <w:t>万元，主要用于全县城乡一体化住户调查、物价调查及畜禽调查三项调查工作、第四次全国经济普查工作、粮食产量大县工作及各项统计调查工作，确保我县经济社会持续健康稳定发展。</w:t>
      </w:r>
    </w:p>
    <w:p/>
    <w:p>
      <w:pPr>
        <w:widowControl/>
        <w:jc w:val="left"/>
        <w:rPr>
          <w:rFonts w:ascii="仿宋_GB2312" w:eastAsia="仿宋_GB2312"/>
          <w:kern w:val="0"/>
          <w:sz w:val="30"/>
          <w:szCs w:val="30"/>
        </w:rPr>
      </w:pPr>
      <w:bookmarkStart w:id="0" w:name="_GoBack"/>
      <w:bookmarkEnd w:id="0"/>
    </w:p>
    <w:p>
      <w:pPr>
        <w:rPr>
          <w:rFonts w:ascii="Arial" w:hAnsi="Arial" w:eastAsia="Arial" w:cs="Arial"/>
          <w:b/>
          <w:sz w:val="36"/>
        </w:rPr>
      </w:pPr>
      <w:r>
        <w:rPr>
          <w:rFonts w:ascii="Arial" w:hAnsi="Arial" w:eastAsia="Arial" w:cs="Arial"/>
          <w:b/>
          <w:sz w:val="36"/>
        </w:rPr>
        <w:t>监督索引号53312300441000111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altName w:val="Arial Unicode MS"/>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font-size:10.5pt;font-style:no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09186"/>
    <w:multiLevelType w:val="multilevel"/>
    <w:tmpl w:val="5E00918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5E009191"/>
    <w:multiLevelType w:val="multilevel"/>
    <w:tmpl w:val="5E00919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5E00919C"/>
    <w:multiLevelType w:val="multilevel"/>
    <w:tmpl w:val="5E00919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178B0"/>
    <w:rsid w:val="000237AB"/>
    <w:rsid w:val="0003248D"/>
    <w:rsid w:val="00034005"/>
    <w:rsid w:val="0005317B"/>
    <w:rsid w:val="000543CA"/>
    <w:rsid w:val="00054EA9"/>
    <w:rsid w:val="000559B2"/>
    <w:rsid w:val="00060B5F"/>
    <w:rsid w:val="00063177"/>
    <w:rsid w:val="00064C37"/>
    <w:rsid w:val="00070204"/>
    <w:rsid w:val="000721B3"/>
    <w:rsid w:val="00073344"/>
    <w:rsid w:val="00074721"/>
    <w:rsid w:val="00081157"/>
    <w:rsid w:val="00083CB1"/>
    <w:rsid w:val="00085843"/>
    <w:rsid w:val="000860FB"/>
    <w:rsid w:val="00090B50"/>
    <w:rsid w:val="000932D9"/>
    <w:rsid w:val="000952C1"/>
    <w:rsid w:val="00096A53"/>
    <w:rsid w:val="000A03E5"/>
    <w:rsid w:val="000A07EA"/>
    <w:rsid w:val="000A1122"/>
    <w:rsid w:val="000A1D87"/>
    <w:rsid w:val="000A3EF2"/>
    <w:rsid w:val="000A6A4C"/>
    <w:rsid w:val="000A74AF"/>
    <w:rsid w:val="000A7B19"/>
    <w:rsid w:val="000B0125"/>
    <w:rsid w:val="000B509A"/>
    <w:rsid w:val="000B59B5"/>
    <w:rsid w:val="000B5BAB"/>
    <w:rsid w:val="000B7EA9"/>
    <w:rsid w:val="000C3AE5"/>
    <w:rsid w:val="000C5123"/>
    <w:rsid w:val="000D4394"/>
    <w:rsid w:val="000D4B48"/>
    <w:rsid w:val="000E2B18"/>
    <w:rsid w:val="000E530D"/>
    <w:rsid w:val="000F365A"/>
    <w:rsid w:val="000F4C86"/>
    <w:rsid w:val="001046C0"/>
    <w:rsid w:val="00104701"/>
    <w:rsid w:val="00107DD6"/>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87C8B"/>
    <w:rsid w:val="00192C05"/>
    <w:rsid w:val="001970F4"/>
    <w:rsid w:val="00197C06"/>
    <w:rsid w:val="00197CAA"/>
    <w:rsid w:val="00197E5D"/>
    <w:rsid w:val="001A1B3A"/>
    <w:rsid w:val="001A3CEE"/>
    <w:rsid w:val="001A784A"/>
    <w:rsid w:val="001B045D"/>
    <w:rsid w:val="001C1C89"/>
    <w:rsid w:val="001C4FE6"/>
    <w:rsid w:val="001C55D5"/>
    <w:rsid w:val="001D120C"/>
    <w:rsid w:val="001D1788"/>
    <w:rsid w:val="001E03BD"/>
    <w:rsid w:val="001E043A"/>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274"/>
    <w:rsid w:val="00262BAD"/>
    <w:rsid w:val="00267F40"/>
    <w:rsid w:val="002726B1"/>
    <w:rsid w:val="002727D0"/>
    <w:rsid w:val="002749C8"/>
    <w:rsid w:val="00275325"/>
    <w:rsid w:val="00281C06"/>
    <w:rsid w:val="00283B1F"/>
    <w:rsid w:val="00285DC4"/>
    <w:rsid w:val="00294AE7"/>
    <w:rsid w:val="00295786"/>
    <w:rsid w:val="002A7BAE"/>
    <w:rsid w:val="002A7F0F"/>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2D9"/>
    <w:rsid w:val="002E4B20"/>
    <w:rsid w:val="002E5FC6"/>
    <w:rsid w:val="002E6D7D"/>
    <w:rsid w:val="002F2C1E"/>
    <w:rsid w:val="002F6E99"/>
    <w:rsid w:val="00300C47"/>
    <w:rsid w:val="003014F1"/>
    <w:rsid w:val="003050B6"/>
    <w:rsid w:val="0030726B"/>
    <w:rsid w:val="0031118B"/>
    <w:rsid w:val="0031122F"/>
    <w:rsid w:val="00315EFA"/>
    <w:rsid w:val="00316408"/>
    <w:rsid w:val="003179FB"/>
    <w:rsid w:val="00323A51"/>
    <w:rsid w:val="003244C9"/>
    <w:rsid w:val="0032468B"/>
    <w:rsid w:val="00327119"/>
    <w:rsid w:val="00327EFE"/>
    <w:rsid w:val="003333E4"/>
    <w:rsid w:val="00336580"/>
    <w:rsid w:val="0034184B"/>
    <w:rsid w:val="003535EB"/>
    <w:rsid w:val="00354D29"/>
    <w:rsid w:val="00356356"/>
    <w:rsid w:val="00360593"/>
    <w:rsid w:val="00360EF7"/>
    <w:rsid w:val="00361A07"/>
    <w:rsid w:val="00364EEC"/>
    <w:rsid w:val="00366B62"/>
    <w:rsid w:val="003710A2"/>
    <w:rsid w:val="00371FE2"/>
    <w:rsid w:val="00372470"/>
    <w:rsid w:val="00376707"/>
    <w:rsid w:val="0037788A"/>
    <w:rsid w:val="0038029B"/>
    <w:rsid w:val="00383096"/>
    <w:rsid w:val="00392AA8"/>
    <w:rsid w:val="003931E6"/>
    <w:rsid w:val="003A324A"/>
    <w:rsid w:val="003A73EF"/>
    <w:rsid w:val="003B2514"/>
    <w:rsid w:val="003B54C2"/>
    <w:rsid w:val="003B5BA8"/>
    <w:rsid w:val="003B7746"/>
    <w:rsid w:val="003C0093"/>
    <w:rsid w:val="003C1BE1"/>
    <w:rsid w:val="003C6315"/>
    <w:rsid w:val="003D1204"/>
    <w:rsid w:val="003D160D"/>
    <w:rsid w:val="003D250A"/>
    <w:rsid w:val="003D35F4"/>
    <w:rsid w:val="003D6601"/>
    <w:rsid w:val="003D6C9A"/>
    <w:rsid w:val="003E2D1F"/>
    <w:rsid w:val="003E2DE1"/>
    <w:rsid w:val="003E4778"/>
    <w:rsid w:val="003E48D6"/>
    <w:rsid w:val="003E5754"/>
    <w:rsid w:val="003F171F"/>
    <w:rsid w:val="003F201E"/>
    <w:rsid w:val="003F3C0C"/>
    <w:rsid w:val="003F7F93"/>
    <w:rsid w:val="0040002C"/>
    <w:rsid w:val="00400C3B"/>
    <w:rsid w:val="00402B1E"/>
    <w:rsid w:val="00403507"/>
    <w:rsid w:val="00403546"/>
    <w:rsid w:val="00404DA0"/>
    <w:rsid w:val="004113F9"/>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4547"/>
    <w:rsid w:val="00476EC1"/>
    <w:rsid w:val="0047723F"/>
    <w:rsid w:val="00480582"/>
    <w:rsid w:val="0048694C"/>
    <w:rsid w:val="004911B1"/>
    <w:rsid w:val="00495E43"/>
    <w:rsid w:val="004A362F"/>
    <w:rsid w:val="004A742B"/>
    <w:rsid w:val="004B29ED"/>
    <w:rsid w:val="004B345C"/>
    <w:rsid w:val="004B50FC"/>
    <w:rsid w:val="004B5BE1"/>
    <w:rsid w:val="004C064B"/>
    <w:rsid w:val="004C1CDF"/>
    <w:rsid w:val="004D26D3"/>
    <w:rsid w:val="004D394A"/>
    <w:rsid w:val="004D3A59"/>
    <w:rsid w:val="004D6E1D"/>
    <w:rsid w:val="004E7B2C"/>
    <w:rsid w:val="004F1A56"/>
    <w:rsid w:val="004F2C44"/>
    <w:rsid w:val="004F4F9F"/>
    <w:rsid w:val="004F53C4"/>
    <w:rsid w:val="004F5C1B"/>
    <w:rsid w:val="005054B5"/>
    <w:rsid w:val="00505533"/>
    <w:rsid w:val="00506344"/>
    <w:rsid w:val="00510393"/>
    <w:rsid w:val="005148D7"/>
    <w:rsid w:val="00520242"/>
    <w:rsid w:val="00521069"/>
    <w:rsid w:val="005248EA"/>
    <w:rsid w:val="0052572D"/>
    <w:rsid w:val="005431C8"/>
    <w:rsid w:val="005463F4"/>
    <w:rsid w:val="0055173F"/>
    <w:rsid w:val="00552BA8"/>
    <w:rsid w:val="0055409A"/>
    <w:rsid w:val="00563EEF"/>
    <w:rsid w:val="005653A2"/>
    <w:rsid w:val="00572E90"/>
    <w:rsid w:val="00575EDA"/>
    <w:rsid w:val="005864CC"/>
    <w:rsid w:val="00591B91"/>
    <w:rsid w:val="005952DC"/>
    <w:rsid w:val="005A00B7"/>
    <w:rsid w:val="005A1F0D"/>
    <w:rsid w:val="005A51EE"/>
    <w:rsid w:val="005B0445"/>
    <w:rsid w:val="005B0A4A"/>
    <w:rsid w:val="005B3C65"/>
    <w:rsid w:val="005B5412"/>
    <w:rsid w:val="005B679B"/>
    <w:rsid w:val="005B77D3"/>
    <w:rsid w:val="005C1C10"/>
    <w:rsid w:val="005C470B"/>
    <w:rsid w:val="005C66D3"/>
    <w:rsid w:val="005D245F"/>
    <w:rsid w:val="005D3061"/>
    <w:rsid w:val="005D6260"/>
    <w:rsid w:val="005D6D58"/>
    <w:rsid w:val="005E6A58"/>
    <w:rsid w:val="005F310F"/>
    <w:rsid w:val="00602B8A"/>
    <w:rsid w:val="0060314C"/>
    <w:rsid w:val="00610CF7"/>
    <w:rsid w:val="00612D63"/>
    <w:rsid w:val="0061307F"/>
    <w:rsid w:val="00614B12"/>
    <w:rsid w:val="006150EC"/>
    <w:rsid w:val="006164DB"/>
    <w:rsid w:val="0061679D"/>
    <w:rsid w:val="006253D8"/>
    <w:rsid w:val="00626153"/>
    <w:rsid w:val="00630F93"/>
    <w:rsid w:val="006374A1"/>
    <w:rsid w:val="00651B6C"/>
    <w:rsid w:val="00653654"/>
    <w:rsid w:val="006540CB"/>
    <w:rsid w:val="0065750C"/>
    <w:rsid w:val="00660B2A"/>
    <w:rsid w:val="00663D84"/>
    <w:rsid w:val="006742AC"/>
    <w:rsid w:val="00682553"/>
    <w:rsid w:val="0068515C"/>
    <w:rsid w:val="0068667C"/>
    <w:rsid w:val="00690A6A"/>
    <w:rsid w:val="006A26A0"/>
    <w:rsid w:val="006A4FDA"/>
    <w:rsid w:val="006B1C07"/>
    <w:rsid w:val="006B3DA5"/>
    <w:rsid w:val="006B5B25"/>
    <w:rsid w:val="006B7827"/>
    <w:rsid w:val="006C059F"/>
    <w:rsid w:val="006D0172"/>
    <w:rsid w:val="006E123A"/>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061F"/>
    <w:rsid w:val="0074138A"/>
    <w:rsid w:val="00750940"/>
    <w:rsid w:val="00751AB4"/>
    <w:rsid w:val="00751D1A"/>
    <w:rsid w:val="0076269B"/>
    <w:rsid w:val="00765E00"/>
    <w:rsid w:val="00766131"/>
    <w:rsid w:val="0077005A"/>
    <w:rsid w:val="00772DB4"/>
    <w:rsid w:val="00780AAD"/>
    <w:rsid w:val="0078371A"/>
    <w:rsid w:val="00783A4C"/>
    <w:rsid w:val="0078565D"/>
    <w:rsid w:val="0079250C"/>
    <w:rsid w:val="00794375"/>
    <w:rsid w:val="007A05BD"/>
    <w:rsid w:val="007A7078"/>
    <w:rsid w:val="007A725D"/>
    <w:rsid w:val="007B4A0F"/>
    <w:rsid w:val="007C05CB"/>
    <w:rsid w:val="007C1922"/>
    <w:rsid w:val="007C3153"/>
    <w:rsid w:val="007C5592"/>
    <w:rsid w:val="007C7656"/>
    <w:rsid w:val="007D066F"/>
    <w:rsid w:val="007D1AE5"/>
    <w:rsid w:val="007D4168"/>
    <w:rsid w:val="007D5A91"/>
    <w:rsid w:val="007E3441"/>
    <w:rsid w:val="007E460F"/>
    <w:rsid w:val="007E68C9"/>
    <w:rsid w:val="007E76F1"/>
    <w:rsid w:val="007F1DA0"/>
    <w:rsid w:val="00803F6B"/>
    <w:rsid w:val="00805901"/>
    <w:rsid w:val="00807250"/>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53AAE"/>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4B88"/>
    <w:rsid w:val="00905BB4"/>
    <w:rsid w:val="00906400"/>
    <w:rsid w:val="00907813"/>
    <w:rsid w:val="00911B9D"/>
    <w:rsid w:val="009142F4"/>
    <w:rsid w:val="00921C07"/>
    <w:rsid w:val="00930A10"/>
    <w:rsid w:val="0093199F"/>
    <w:rsid w:val="00932958"/>
    <w:rsid w:val="00947CC7"/>
    <w:rsid w:val="00951519"/>
    <w:rsid w:val="00951C5E"/>
    <w:rsid w:val="009535AF"/>
    <w:rsid w:val="0096301A"/>
    <w:rsid w:val="00964D6C"/>
    <w:rsid w:val="00965133"/>
    <w:rsid w:val="00965E0F"/>
    <w:rsid w:val="00971AD3"/>
    <w:rsid w:val="009734D9"/>
    <w:rsid w:val="00976F14"/>
    <w:rsid w:val="00980F62"/>
    <w:rsid w:val="00981123"/>
    <w:rsid w:val="00982629"/>
    <w:rsid w:val="0098468C"/>
    <w:rsid w:val="0098667C"/>
    <w:rsid w:val="009907B9"/>
    <w:rsid w:val="00992351"/>
    <w:rsid w:val="009A08B6"/>
    <w:rsid w:val="009A2377"/>
    <w:rsid w:val="009A4D11"/>
    <w:rsid w:val="009B3ED3"/>
    <w:rsid w:val="009B4ADC"/>
    <w:rsid w:val="009C1730"/>
    <w:rsid w:val="009D258A"/>
    <w:rsid w:val="009D6232"/>
    <w:rsid w:val="009E15D4"/>
    <w:rsid w:val="009F088F"/>
    <w:rsid w:val="009F25BD"/>
    <w:rsid w:val="009F3C7E"/>
    <w:rsid w:val="009F5646"/>
    <w:rsid w:val="009F7873"/>
    <w:rsid w:val="009F7979"/>
    <w:rsid w:val="009F7AE7"/>
    <w:rsid w:val="00A03FA7"/>
    <w:rsid w:val="00A04D46"/>
    <w:rsid w:val="00A06395"/>
    <w:rsid w:val="00A06AEF"/>
    <w:rsid w:val="00A10700"/>
    <w:rsid w:val="00A14D49"/>
    <w:rsid w:val="00A15184"/>
    <w:rsid w:val="00A1637D"/>
    <w:rsid w:val="00A22B48"/>
    <w:rsid w:val="00A2566B"/>
    <w:rsid w:val="00A32086"/>
    <w:rsid w:val="00A34E84"/>
    <w:rsid w:val="00A352B0"/>
    <w:rsid w:val="00A37886"/>
    <w:rsid w:val="00A37EDD"/>
    <w:rsid w:val="00A472C6"/>
    <w:rsid w:val="00A51E75"/>
    <w:rsid w:val="00A51E78"/>
    <w:rsid w:val="00A52491"/>
    <w:rsid w:val="00A570A1"/>
    <w:rsid w:val="00A60974"/>
    <w:rsid w:val="00A61DCD"/>
    <w:rsid w:val="00A65535"/>
    <w:rsid w:val="00A724CF"/>
    <w:rsid w:val="00A7532F"/>
    <w:rsid w:val="00A761CF"/>
    <w:rsid w:val="00A81682"/>
    <w:rsid w:val="00A84D92"/>
    <w:rsid w:val="00A84E65"/>
    <w:rsid w:val="00A86229"/>
    <w:rsid w:val="00A95B6C"/>
    <w:rsid w:val="00AA6DD8"/>
    <w:rsid w:val="00AA7480"/>
    <w:rsid w:val="00AB1481"/>
    <w:rsid w:val="00AB16EB"/>
    <w:rsid w:val="00AB1A9E"/>
    <w:rsid w:val="00AB2ABB"/>
    <w:rsid w:val="00AB5C67"/>
    <w:rsid w:val="00AB7C98"/>
    <w:rsid w:val="00AC47D9"/>
    <w:rsid w:val="00AD0DA1"/>
    <w:rsid w:val="00AD18BB"/>
    <w:rsid w:val="00AE0209"/>
    <w:rsid w:val="00AE2095"/>
    <w:rsid w:val="00AE5322"/>
    <w:rsid w:val="00AE5FEF"/>
    <w:rsid w:val="00AE73E2"/>
    <w:rsid w:val="00AF1CF9"/>
    <w:rsid w:val="00AF2AE3"/>
    <w:rsid w:val="00AF520B"/>
    <w:rsid w:val="00AF7B4F"/>
    <w:rsid w:val="00AF7C58"/>
    <w:rsid w:val="00B02D5B"/>
    <w:rsid w:val="00B05787"/>
    <w:rsid w:val="00B10153"/>
    <w:rsid w:val="00B15323"/>
    <w:rsid w:val="00B259AC"/>
    <w:rsid w:val="00B268D9"/>
    <w:rsid w:val="00B26EC9"/>
    <w:rsid w:val="00B31B8F"/>
    <w:rsid w:val="00B333B0"/>
    <w:rsid w:val="00B413A0"/>
    <w:rsid w:val="00B43561"/>
    <w:rsid w:val="00B440DB"/>
    <w:rsid w:val="00B4415D"/>
    <w:rsid w:val="00B45103"/>
    <w:rsid w:val="00B45D24"/>
    <w:rsid w:val="00B52992"/>
    <w:rsid w:val="00B538C6"/>
    <w:rsid w:val="00B62018"/>
    <w:rsid w:val="00B63114"/>
    <w:rsid w:val="00B64A22"/>
    <w:rsid w:val="00B67D14"/>
    <w:rsid w:val="00B700C3"/>
    <w:rsid w:val="00B7414D"/>
    <w:rsid w:val="00B8042D"/>
    <w:rsid w:val="00B810FF"/>
    <w:rsid w:val="00B8418B"/>
    <w:rsid w:val="00B84519"/>
    <w:rsid w:val="00B87463"/>
    <w:rsid w:val="00B91E5C"/>
    <w:rsid w:val="00BA00E2"/>
    <w:rsid w:val="00BA4255"/>
    <w:rsid w:val="00BA4F5A"/>
    <w:rsid w:val="00BA7BBA"/>
    <w:rsid w:val="00BB3DE5"/>
    <w:rsid w:val="00BB4394"/>
    <w:rsid w:val="00BB5ABD"/>
    <w:rsid w:val="00BB5F45"/>
    <w:rsid w:val="00BC1BA9"/>
    <w:rsid w:val="00BC41E1"/>
    <w:rsid w:val="00BD2FC7"/>
    <w:rsid w:val="00BD6EC1"/>
    <w:rsid w:val="00BE25AF"/>
    <w:rsid w:val="00BE3811"/>
    <w:rsid w:val="00BE3F11"/>
    <w:rsid w:val="00BF2793"/>
    <w:rsid w:val="00BF3FBF"/>
    <w:rsid w:val="00BF5FFA"/>
    <w:rsid w:val="00BF65E1"/>
    <w:rsid w:val="00C002E5"/>
    <w:rsid w:val="00C01D14"/>
    <w:rsid w:val="00C0414E"/>
    <w:rsid w:val="00C04DD5"/>
    <w:rsid w:val="00C073D6"/>
    <w:rsid w:val="00C07645"/>
    <w:rsid w:val="00C12785"/>
    <w:rsid w:val="00C14D2D"/>
    <w:rsid w:val="00C15327"/>
    <w:rsid w:val="00C205DD"/>
    <w:rsid w:val="00C242B2"/>
    <w:rsid w:val="00C25F74"/>
    <w:rsid w:val="00C26ABA"/>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2BF0"/>
    <w:rsid w:val="00C8367C"/>
    <w:rsid w:val="00C83EC8"/>
    <w:rsid w:val="00C84EC9"/>
    <w:rsid w:val="00C90645"/>
    <w:rsid w:val="00C92A41"/>
    <w:rsid w:val="00C95E0F"/>
    <w:rsid w:val="00CA3BAD"/>
    <w:rsid w:val="00CB1858"/>
    <w:rsid w:val="00CC0087"/>
    <w:rsid w:val="00CC7A87"/>
    <w:rsid w:val="00CD0085"/>
    <w:rsid w:val="00CE1BDC"/>
    <w:rsid w:val="00CF3E52"/>
    <w:rsid w:val="00D00043"/>
    <w:rsid w:val="00D003BE"/>
    <w:rsid w:val="00D0163D"/>
    <w:rsid w:val="00D0309B"/>
    <w:rsid w:val="00D03468"/>
    <w:rsid w:val="00D03E18"/>
    <w:rsid w:val="00D06094"/>
    <w:rsid w:val="00D110CC"/>
    <w:rsid w:val="00D1310A"/>
    <w:rsid w:val="00D165B0"/>
    <w:rsid w:val="00D2036D"/>
    <w:rsid w:val="00D249EC"/>
    <w:rsid w:val="00D30CFE"/>
    <w:rsid w:val="00D314BC"/>
    <w:rsid w:val="00D319FC"/>
    <w:rsid w:val="00D37964"/>
    <w:rsid w:val="00D40468"/>
    <w:rsid w:val="00D41BD8"/>
    <w:rsid w:val="00D450B6"/>
    <w:rsid w:val="00D45FD5"/>
    <w:rsid w:val="00D501E4"/>
    <w:rsid w:val="00D51F3A"/>
    <w:rsid w:val="00D6213F"/>
    <w:rsid w:val="00D62340"/>
    <w:rsid w:val="00D63F18"/>
    <w:rsid w:val="00D6527D"/>
    <w:rsid w:val="00D6795D"/>
    <w:rsid w:val="00D729EC"/>
    <w:rsid w:val="00D74B92"/>
    <w:rsid w:val="00D77EE5"/>
    <w:rsid w:val="00D81D2F"/>
    <w:rsid w:val="00D83A9A"/>
    <w:rsid w:val="00D841C1"/>
    <w:rsid w:val="00D93010"/>
    <w:rsid w:val="00D946E9"/>
    <w:rsid w:val="00D9604F"/>
    <w:rsid w:val="00D9737C"/>
    <w:rsid w:val="00DA3255"/>
    <w:rsid w:val="00DA66BE"/>
    <w:rsid w:val="00DA76AC"/>
    <w:rsid w:val="00DB3D0C"/>
    <w:rsid w:val="00DB4D49"/>
    <w:rsid w:val="00DB767D"/>
    <w:rsid w:val="00DC07E5"/>
    <w:rsid w:val="00DC395D"/>
    <w:rsid w:val="00DC634D"/>
    <w:rsid w:val="00DD0FFA"/>
    <w:rsid w:val="00DD202C"/>
    <w:rsid w:val="00DD3863"/>
    <w:rsid w:val="00DD739A"/>
    <w:rsid w:val="00DE3C32"/>
    <w:rsid w:val="00DE5376"/>
    <w:rsid w:val="00DE60D1"/>
    <w:rsid w:val="00DF050A"/>
    <w:rsid w:val="00DF2896"/>
    <w:rsid w:val="00DF59BD"/>
    <w:rsid w:val="00DF6A21"/>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57C98"/>
    <w:rsid w:val="00E62839"/>
    <w:rsid w:val="00E62E85"/>
    <w:rsid w:val="00E6467D"/>
    <w:rsid w:val="00E64EE1"/>
    <w:rsid w:val="00E65C1E"/>
    <w:rsid w:val="00E70820"/>
    <w:rsid w:val="00E75F13"/>
    <w:rsid w:val="00E76022"/>
    <w:rsid w:val="00E83456"/>
    <w:rsid w:val="00E97D8E"/>
    <w:rsid w:val="00EA25E4"/>
    <w:rsid w:val="00EA3E87"/>
    <w:rsid w:val="00EA7A22"/>
    <w:rsid w:val="00EA7DE2"/>
    <w:rsid w:val="00EB004F"/>
    <w:rsid w:val="00EB39B5"/>
    <w:rsid w:val="00EB4F1D"/>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1A4E"/>
    <w:rsid w:val="00F03838"/>
    <w:rsid w:val="00F03945"/>
    <w:rsid w:val="00F04C86"/>
    <w:rsid w:val="00F0598E"/>
    <w:rsid w:val="00F11D4E"/>
    <w:rsid w:val="00F12CC8"/>
    <w:rsid w:val="00F155C1"/>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3E05"/>
    <w:rsid w:val="00F642E5"/>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193F"/>
    <w:rsid w:val="00FD228E"/>
    <w:rsid w:val="00FD408C"/>
    <w:rsid w:val="00FD4E9B"/>
    <w:rsid w:val="00FD7D5F"/>
    <w:rsid w:val="00FE1A2F"/>
    <w:rsid w:val="00FE5F50"/>
    <w:rsid w:val="00FE743F"/>
    <w:rsid w:val="00FF1B25"/>
    <w:rsid w:val="00FF6C77"/>
    <w:rsid w:val="00FF7A85"/>
    <w:rsid w:val="025737A0"/>
    <w:rsid w:val="03F0214E"/>
    <w:rsid w:val="06325B44"/>
    <w:rsid w:val="0AB77A2F"/>
    <w:rsid w:val="14E01271"/>
    <w:rsid w:val="1A0B3DDD"/>
    <w:rsid w:val="208C23C5"/>
    <w:rsid w:val="25EA2FDD"/>
    <w:rsid w:val="2D7B7E3A"/>
    <w:rsid w:val="39466C4F"/>
    <w:rsid w:val="4DB44642"/>
    <w:rsid w:val="6209349D"/>
    <w:rsid w:val="724A4A01"/>
    <w:rsid w:val="7B1E5394"/>
    <w:rsid w:val="7FB12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jc w:val="left"/>
    </w:pPr>
    <w:rPr>
      <w:rFonts w:ascii="宋体" w:hAnsi="宋体" w:cs="宋体"/>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zhlx</Company>
  <Pages>11</Pages>
  <Words>844</Words>
  <Characters>4816</Characters>
  <Lines>40</Lines>
  <Paragraphs>11</Paragraphs>
  <TotalTime>0</TotalTime>
  <ScaleCrop>false</ScaleCrop>
  <LinksUpToDate>false</LinksUpToDate>
  <CharactersWithSpaces>5649</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2019-12-26T02:59:20Z</dcterms:modified>
  <dc:title>年部门预算编制说明</dc:title>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